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4B6921" w14:textId="77777777" w:rsidR="00942A12" w:rsidRDefault="00744432" w:rsidP="001F3504">
      <w:pPr>
        <w:pStyle w:val="Title"/>
        <w:jc w:val="center"/>
        <w:rPr>
          <w:rFonts w:ascii="Garamond" w:hAnsi="Garamond" w:cs="Times New Roman"/>
          <w:b/>
        </w:rPr>
      </w:pPr>
      <w:bookmarkStart w:id="0" w:name="_Toc382831521"/>
      <w:bookmarkStart w:id="1" w:name="_GoBack"/>
      <w:bookmarkEnd w:id="1"/>
      <w:r w:rsidRPr="00B639F0">
        <w:rPr>
          <w:rFonts w:ascii="Garamond" w:hAnsi="Garamond" w:cs="Times New Roman"/>
          <w:b/>
        </w:rPr>
        <w:t>Listing Methodology</w:t>
      </w:r>
      <w:r w:rsidR="008829B1" w:rsidRPr="00B639F0">
        <w:rPr>
          <w:rFonts w:ascii="Garamond" w:hAnsi="Garamond" w:cs="Times New Roman"/>
          <w:b/>
        </w:rPr>
        <w:t xml:space="preserve"> </w:t>
      </w:r>
    </w:p>
    <w:p w14:paraId="5E21E896" w14:textId="1D0CE0DF" w:rsidR="00942A12" w:rsidRDefault="008829B1" w:rsidP="001F3504">
      <w:pPr>
        <w:pStyle w:val="Title"/>
        <w:jc w:val="center"/>
        <w:rPr>
          <w:rFonts w:ascii="Garamond" w:hAnsi="Garamond" w:cs="Times New Roman"/>
          <w:b/>
        </w:rPr>
      </w:pPr>
      <w:r w:rsidRPr="00B639F0">
        <w:rPr>
          <w:rFonts w:ascii="Garamond" w:hAnsi="Garamond" w:cs="Times New Roman"/>
          <w:b/>
        </w:rPr>
        <w:t xml:space="preserve">for Determining Water Quality Impairments </w:t>
      </w:r>
    </w:p>
    <w:p w14:paraId="5C5EB861" w14:textId="55E4AE9D" w:rsidR="008829B1" w:rsidRPr="00B639F0" w:rsidRDefault="00D15F30" w:rsidP="001F3504">
      <w:pPr>
        <w:pStyle w:val="Title"/>
        <w:jc w:val="center"/>
        <w:rPr>
          <w:rFonts w:ascii="Garamond" w:hAnsi="Garamond" w:cs="Times New Roman"/>
          <w:b/>
        </w:rPr>
      </w:pPr>
      <w:r w:rsidRPr="00B639F0">
        <w:rPr>
          <w:rFonts w:ascii="Garamond" w:hAnsi="Garamond" w:cs="Times New Roman"/>
          <w:b/>
        </w:rPr>
        <w:t>from</w:t>
      </w:r>
      <w:r w:rsidR="008829B1" w:rsidRPr="00B639F0">
        <w:rPr>
          <w:rFonts w:ascii="Garamond" w:hAnsi="Garamond" w:cs="Times New Roman"/>
          <w:b/>
        </w:rPr>
        <w:t xml:space="preserve"> Petroleum Hydrocarbons, Oils and Grease</w:t>
      </w:r>
    </w:p>
    <w:p w14:paraId="38D45B5F" w14:textId="77777777" w:rsidR="00744432" w:rsidRPr="00B639F0" w:rsidRDefault="00744432" w:rsidP="00744432">
      <w:pPr>
        <w:pStyle w:val="Title"/>
        <w:jc w:val="center"/>
        <w:rPr>
          <w:rFonts w:ascii="Garamond" w:hAnsi="Garamond" w:cs="Times New Roman"/>
          <w:b/>
        </w:rPr>
      </w:pPr>
    </w:p>
    <w:p w14:paraId="45C22833" w14:textId="77777777" w:rsidR="00744432" w:rsidRPr="00B639F0" w:rsidRDefault="00744432" w:rsidP="00744432">
      <w:pPr>
        <w:pStyle w:val="Title"/>
        <w:jc w:val="center"/>
        <w:rPr>
          <w:rFonts w:ascii="Garamond" w:hAnsi="Garamond" w:cs="Times New Roman"/>
          <w:b/>
        </w:rPr>
      </w:pPr>
      <w:r w:rsidRPr="00B639F0">
        <w:rPr>
          <w:rFonts w:ascii="Garamond" w:hAnsi="Garamond" w:cs="Times New Roman"/>
          <w:b/>
        </w:rPr>
        <w:t>GUIDANCE</w:t>
      </w:r>
    </w:p>
    <w:p w14:paraId="448CFA74" w14:textId="77777777" w:rsidR="001F3504" w:rsidRPr="00B639F0" w:rsidRDefault="001F3504" w:rsidP="00B639F0">
      <w:pPr>
        <w:spacing w:line="276" w:lineRule="auto"/>
        <w:rPr>
          <w:rFonts w:cs="Times New Roman"/>
        </w:rPr>
      </w:pPr>
    </w:p>
    <w:p w14:paraId="6F710A61" w14:textId="77777777" w:rsidR="00744432" w:rsidRPr="00B639F0" w:rsidRDefault="00744432" w:rsidP="00B639F0">
      <w:pPr>
        <w:spacing w:line="276" w:lineRule="auto"/>
        <w:rPr>
          <w:rFonts w:cs="Times New Roman"/>
        </w:rPr>
      </w:pPr>
    </w:p>
    <w:p w14:paraId="5EA82E10" w14:textId="55A07149" w:rsidR="001F3504" w:rsidRPr="00B639F0" w:rsidRDefault="00E717E8" w:rsidP="00B639F0">
      <w:pPr>
        <w:spacing w:line="276" w:lineRule="auto"/>
        <w:jc w:val="center"/>
        <w:rPr>
          <w:rFonts w:cs="Times New Roman"/>
          <w:sz w:val="40"/>
          <w:szCs w:val="40"/>
        </w:rPr>
      </w:pPr>
      <w:r>
        <w:rPr>
          <w:rFonts w:cs="Times New Roman"/>
          <w:sz w:val="40"/>
          <w:szCs w:val="40"/>
        </w:rPr>
        <w:t>Final</w:t>
      </w:r>
    </w:p>
    <w:p w14:paraId="74FBFB58" w14:textId="792C0A10" w:rsidR="001F3504" w:rsidRPr="00B639F0" w:rsidRDefault="00D2042D" w:rsidP="00B639F0">
      <w:pPr>
        <w:spacing w:line="276" w:lineRule="auto"/>
        <w:jc w:val="center"/>
        <w:rPr>
          <w:rFonts w:cs="Times New Roman"/>
          <w:sz w:val="40"/>
          <w:szCs w:val="40"/>
        </w:rPr>
      </w:pPr>
      <w:r>
        <w:rPr>
          <w:rFonts w:cs="Times New Roman"/>
          <w:sz w:val="40"/>
          <w:szCs w:val="40"/>
        </w:rPr>
        <w:t>December 14</w:t>
      </w:r>
      <w:r w:rsidR="005C471B" w:rsidRPr="00B639F0">
        <w:rPr>
          <w:rFonts w:cs="Times New Roman"/>
          <w:sz w:val="40"/>
          <w:szCs w:val="40"/>
        </w:rPr>
        <w:t>, 2015</w:t>
      </w:r>
    </w:p>
    <w:p w14:paraId="39015F02" w14:textId="374A4AFD" w:rsidR="003A72E6" w:rsidRPr="00B639F0" w:rsidRDefault="003A72E6" w:rsidP="00B639F0">
      <w:pPr>
        <w:spacing w:line="276" w:lineRule="auto"/>
        <w:jc w:val="center"/>
        <w:rPr>
          <w:rFonts w:cs="Times New Roman"/>
          <w:sz w:val="20"/>
          <w:szCs w:val="20"/>
        </w:rPr>
      </w:pPr>
      <w:r w:rsidRPr="00B639F0">
        <w:rPr>
          <w:rFonts w:cs="Times New Roman"/>
          <w:sz w:val="20"/>
          <w:szCs w:val="20"/>
        </w:rPr>
        <w:t>(Ver. 1.0)</w:t>
      </w:r>
    </w:p>
    <w:p w14:paraId="01E64F84" w14:textId="77777777" w:rsidR="001F3504" w:rsidRPr="0071303F" w:rsidRDefault="001F3504" w:rsidP="00B639F0">
      <w:pPr>
        <w:spacing w:line="276" w:lineRule="auto"/>
      </w:pPr>
    </w:p>
    <w:p w14:paraId="7B8527D5" w14:textId="77777777" w:rsidR="001F3504" w:rsidRPr="0071303F" w:rsidRDefault="001F3504" w:rsidP="00B639F0">
      <w:pPr>
        <w:spacing w:line="276" w:lineRule="auto"/>
        <w:jc w:val="center"/>
      </w:pPr>
      <w:r w:rsidRPr="00B639F0">
        <w:rPr>
          <w:rFonts w:cs="Arial"/>
          <w:noProof/>
          <w:szCs w:val="24"/>
        </w:rPr>
        <w:drawing>
          <wp:inline distT="0" distB="0" distL="0" distR="0" wp14:anchorId="74040055" wp14:editId="588DA5B4">
            <wp:extent cx="2220432" cy="2220432"/>
            <wp:effectExtent l="0" t="0" r="8890" b="8890"/>
            <wp:docPr id="2" name="Picture 2" descr="DEC Log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C Logo 1"/>
                    <pic:cNvPicPr>
                      <a:picLocks noChangeAspect="1" noChangeArrowheads="1"/>
                    </pic:cNvPicPr>
                  </pic:nvPicPr>
                  <pic:blipFill>
                    <a:blip r:embed="rId8" cstate="print"/>
                    <a:srcRect/>
                    <a:stretch>
                      <a:fillRect/>
                    </a:stretch>
                  </pic:blipFill>
                  <pic:spPr bwMode="auto">
                    <a:xfrm>
                      <a:off x="0" y="0"/>
                      <a:ext cx="2220904" cy="2220904"/>
                    </a:xfrm>
                    <a:prstGeom prst="rect">
                      <a:avLst/>
                    </a:prstGeom>
                    <a:noFill/>
                    <a:ln w="9525">
                      <a:noFill/>
                      <a:miter lim="800000"/>
                      <a:headEnd/>
                      <a:tailEnd/>
                    </a:ln>
                  </pic:spPr>
                </pic:pic>
              </a:graphicData>
            </a:graphic>
          </wp:inline>
        </w:drawing>
      </w:r>
    </w:p>
    <w:p w14:paraId="3E560F04" w14:textId="77777777" w:rsidR="000A4734" w:rsidRPr="0071303F" w:rsidRDefault="000A4734" w:rsidP="000A4734">
      <w:pPr>
        <w:pStyle w:val="Subtitle"/>
        <w:jc w:val="center"/>
      </w:pPr>
    </w:p>
    <w:p w14:paraId="068AE7F2" w14:textId="77777777" w:rsidR="000A4734" w:rsidRPr="00B639F0" w:rsidRDefault="000A4734" w:rsidP="00DB5EF1">
      <w:pPr>
        <w:pStyle w:val="Title"/>
        <w:jc w:val="center"/>
        <w:rPr>
          <w:rFonts w:ascii="Garamond" w:hAnsi="Garamond" w:cs="Times New Roman"/>
        </w:rPr>
      </w:pPr>
      <w:r w:rsidRPr="00B639F0">
        <w:rPr>
          <w:rFonts w:ascii="Garamond" w:hAnsi="Garamond" w:cs="Times New Roman"/>
        </w:rPr>
        <w:t>Alaska Department of Environmental Conservation</w:t>
      </w:r>
    </w:p>
    <w:p w14:paraId="19F0DA13" w14:textId="77777777" w:rsidR="000A4734" w:rsidRPr="00B639F0" w:rsidRDefault="000A4734" w:rsidP="00DB5EF1">
      <w:pPr>
        <w:pStyle w:val="Title"/>
        <w:jc w:val="center"/>
        <w:rPr>
          <w:rFonts w:ascii="Garamond" w:hAnsi="Garamond" w:cs="Times New Roman"/>
        </w:rPr>
      </w:pPr>
      <w:r w:rsidRPr="00B639F0">
        <w:rPr>
          <w:rFonts w:ascii="Garamond" w:hAnsi="Garamond" w:cs="Times New Roman"/>
        </w:rPr>
        <w:t>Division of Water</w:t>
      </w:r>
    </w:p>
    <w:p w14:paraId="47EAD65B" w14:textId="77777777" w:rsidR="008829B1" w:rsidRPr="00B639F0" w:rsidRDefault="008829B1" w:rsidP="00B639F0">
      <w:pPr>
        <w:spacing w:line="276" w:lineRule="auto"/>
        <w:rPr>
          <w:rFonts w:eastAsiaTheme="majorEastAsia" w:cstheme="majorBidi"/>
          <w:color w:val="2E74B5" w:themeColor="accent1" w:themeShade="BF"/>
          <w:sz w:val="32"/>
          <w:szCs w:val="32"/>
        </w:rPr>
      </w:pPr>
      <w:r w:rsidRPr="0071303F">
        <w:br w:type="page"/>
      </w:r>
    </w:p>
    <w:p w14:paraId="172E3787" w14:textId="77777777" w:rsidR="00AA7475" w:rsidRPr="0071303F" w:rsidRDefault="00AA7475">
      <w:pPr>
        <w:pStyle w:val="TOCHeading"/>
        <w:sectPr w:rsidR="00AA7475" w:rsidRPr="0071303F" w:rsidSect="00F83630">
          <w:headerReference w:type="default" r:id="rId9"/>
          <w:footerReference w:type="default" r:id="rId10"/>
          <w:footerReference w:type="first" r:id="rId11"/>
          <w:pgSz w:w="12240" w:h="15840"/>
          <w:pgMar w:top="1440" w:right="1440" w:bottom="1440" w:left="1440" w:header="720" w:footer="720" w:gutter="0"/>
          <w:pgNumType w:fmt="lowerRoman" w:start="1"/>
          <w:cols w:space="720"/>
          <w:titlePg/>
          <w:docGrid w:linePitch="360"/>
        </w:sectPr>
      </w:pPr>
    </w:p>
    <w:sdt>
      <w:sdtPr>
        <w:rPr>
          <w:rFonts w:eastAsiaTheme="minorHAnsi" w:cstheme="minorBidi"/>
          <w:b w:val="0"/>
          <w:color w:val="auto"/>
          <w:sz w:val="22"/>
          <w:szCs w:val="22"/>
        </w:rPr>
        <w:id w:val="-250360519"/>
        <w:docPartObj>
          <w:docPartGallery w:val="Table of Contents"/>
          <w:docPartUnique/>
        </w:docPartObj>
      </w:sdtPr>
      <w:sdtEndPr>
        <w:rPr>
          <w:rFonts w:cs="Times New Roman"/>
          <w:bCs/>
          <w:noProof/>
          <w:sz w:val="24"/>
        </w:rPr>
      </w:sdtEndPr>
      <w:sdtContent>
        <w:p w14:paraId="6315010B" w14:textId="77777777" w:rsidR="008829B1" w:rsidRPr="00B639F0" w:rsidRDefault="008829B1">
          <w:pPr>
            <w:pStyle w:val="TOCHeading"/>
            <w:rPr>
              <w:b w:val="0"/>
            </w:rPr>
          </w:pPr>
          <w:r w:rsidRPr="00B639F0">
            <w:rPr>
              <w:b w:val="0"/>
            </w:rPr>
            <w:t>Contents</w:t>
          </w:r>
        </w:p>
        <w:p w14:paraId="3C68C133" w14:textId="7D1F3D57" w:rsidR="000E3B63" w:rsidRPr="0071303F" w:rsidRDefault="008829B1" w:rsidP="00B639F0">
          <w:pPr>
            <w:pStyle w:val="TOC1"/>
            <w:spacing w:line="276" w:lineRule="auto"/>
            <w:rPr>
              <w:rFonts w:eastAsiaTheme="minorEastAsia"/>
              <w:noProof/>
            </w:rPr>
          </w:pPr>
          <w:r w:rsidRPr="00B639F0">
            <w:rPr>
              <w:sz w:val="22"/>
            </w:rPr>
            <w:fldChar w:fldCharType="begin"/>
          </w:r>
          <w:r w:rsidRPr="0071303F">
            <w:instrText xml:space="preserve"> TOC \o "1-3" \h \z \u </w:instrText>
          </w:r>
          <w:r w:rsidRPr="00B639F0">
            <w:rPr>
              <w:sz w:val="22"/>
            </w:rPr>
            <w:fldChar w:fldCharType="separate"/>
          </w:r>
          <w:hyperlink w:anchor="_Toc424721498" w:history="1">
            <w:r w:rsidR="000E3B63" w:rsidRPr="0071303F">
              <w:rPr>
                <w:rStyle w:val="Hyperlink"/>
                <w:noProof/>
              </w:rPr>
              <w:t>1</w:t>
            </w:r>
            <w:r w:rsidR="000E3B63" w:rsidRPr="0071303F">
              <w:rPr>
                <w:rFonts w:eastAsiaTheme="minorEastAsia"/>
                <w:noProof/>
              </w:rPr>
              <w:tab/>
            </w:r>
            <w:r w:rsidR="00B27E92">
              <w:rPr>
                <w:rFonts w:eastAsiaTheme="minorEastAsia"/>
                <w:noProof/>
              </w:rPr>
              <w:t xml:space="preserve">Purpose and </w:t>
            </w:r>
            <w:r w:rsidR="000E3B63" w:rsidRPr="0071303F">
              <w:rPr>
                <w:rStyle w:val="Hyperlink"/>
                <w:noProof/>
              </w:rPr>
              <w:t>Background</w:t>
            </w:r>
            <w:r w:rsidR="000E3B63" w:rsidRPr="0071303F">
              <w:rPr>
                <w:noProof/>
                <w:webHidden/>
              </w:rPr>
              <w:tab/>
            </w:r>
            <w:r w:rsidR="000E3B63" w:rsidRPr="00B639F0">
              <w:rPr>
                <w:noProof/>
                <w:webHidden/>
              </w:rPr>
              <w:fldChar w:fldCharType="begin"/>
            </w:r>
            <w:r w:rsidR="000E3B63" w:rsidRPr="0071303F">
              <w:rPr>
                <w:noProof/>
                <w:webHidden/>
              </w:rPr>
              <w:instrText xml:space="preserve"> PAGEREF _Toc424721498 \h </w:instrText>
            </w:r>
            <w:r w:rsidR="000E3B63" w:rsidRPr="00B639F0">
              <w:rPr>
                <w:noProof/>
                <w:webHidden/>
              </w:rPr>
            </w:r>
            <w:r w:rsidR="000E3B63" w:rsidRPr="00B639F0">
              <w:rPr>
                <w:noProof/>
                <w:webHidden/>
              </w:rPr>
              <w:fldChar w:fldCharType="separate"/>
            </w:r>
            <w:r w:rsidR="00E717E8">
              <w:rPr>
                <w:noProof/>
                <w:webHidden/>
              </w:rPr>
              <w:t>1</w:t>
            </w:r>
            <w:r w:rsidR="000E3B63" w:rsidRPr="00B639F0">
              <w:rPr>
                <w:noProof/>
                <w:webHidden/>
              </w:rPr>
              <w:fldChar w:fldCharType="end"/>
            </w:r>
          </w:hyperlink>
        </w:p>
        <w:p w14:paraId="19C889B0" w14:textId="77777777" w:rsidR="000E3B63" w:rsidRPr="0071303F" w:rsidRDefault="00AD39AF" w:rsidP="00B639F0">
          <w:pPr>
            <w:pStyle w:val="TOC2"/>
            <w:tabs>
              <w:tab w:val="left" w:pos="880"/>
              <w:tab w:val="right" w:leader="dot" w:pos="9350"/>
            </w:tabs>
            <w:spacing w:line="276" w:lineRule="auto"/>
            <w:rPr>
              <w:rFonts w:eastAsiaTheme="minorEastAsia"/>
              <w:noProof/>
            </w:rPr>
          </w:pPr>
          <w:hyperlink w:anchor="_Toc424721499" w:history="1">
            <w:r w:rsidR="000E3B63" w:rsidRPr="0071303F">
              <w:rPr>
                <w:rStyle w:val="Hyperlink"/>
                <w:noProof/>
              </w:rPr>
              <w:t>1.1</w:t>
            </w:r>
            <w:r w:rsidR="000E3B63" w:rsidRPr="0071303F">
              <w:rPr>
                <w:rFonts w:eastAsiaTheme="minorEastAsia"/>
                <w:noProof/>
              </w:rPr>
              <w:tab/>
            </w:r>
            <w:r w:rsidR="000E3B63" w:rsidRPr="0071303F">
              <w:rPr>
                <w:rStyle w:val="Hyperlink"/>
                <w:noProof/>
              </w:rPr>
              <w:t>Parameter-Specific Regulations and Criteria</w:t>
            </w:r>
            <w:r w:rsidR="000E3B63" w:rsidRPr="0071303F">
              <w:rPr>
                <w:noProof/>
                <w:webHidden/>
              </w:rPr>
              <w:tab/>
            </w:r>
            <w:r w:rsidR="000E3B63" w:rsidRPr="00B639F0">
              <w:rPr>
                <w:noProof/>
                <w:webHidden/>
              </w:rPr>
              <w:fldChar w:fldCharType="begin"/>
            </w:r>
            <w:r w:rsidR="000E3B63" w:rsidRPr="0071303F">
              <w:rPr>
                <w:noProof/>
                <w:webHidden/>
              </w:rPr>
              <w:instrText xml:space="preserve"> PAGEREF _Toc424721499 \h </w:instrText>
            </w:r>
            <w:r w:rsidR="000E3B63" w:rsidRPr="00B639F0">
              <w:rPr>
                <w:noProof/>
                <w:webHidden/>
              </w:rPr>
            </w:r>
            <w:r w:rsidR="000E3B63" w:rsidRPr="00B639F0">
              <w:rPr>
                <w:noProof/>
                <w:webHidden/>
              </w:rPr>
              <w:fldChar w:fldCharType="separate"/>
            </w:r>
            <w:r w:rsidR="00E717E8">
              <w:rPr>
                <w:noProof/>
                <w:webHidden/>
              </w:rPr>
              <w:t>1</w:t>
            </w:r>
            <w:r w:rsidR="000E3B63" w:rsidRPr="00B639F0">
              <w:rPr>
                <w:noProof/>
                <w:webHidden/>
              </w:rPr>
              <w:fldChar w:fldCharType="end"/>
            </w:r>
          </w:hyperlink>
        </w:p>
        <w:p w14:paraId="3D56D557" w14:textId="177ED791" w:rsidR="000E3B63" w:rsidRPr="0071303F" w:rsidRDefault="00AD39AF" w:rsidP="00B639F0">
          <w:pPr>
            <w:pStyle w:val="TOC3"/>
            <w:tabs>
              <w:tab w:val="left" w:pos="1320"/>
              <w:tab w:val="right" w:leader="dot" w:pos="9350"/>
            </w:tabs>
            <w:spacing w:line="276" w:lineRule="auto"/>
            <w:rPr>
              <w:rFonts w:eastAsiaTheme="minorEastAsia"/>
              <w:noProof/>
            </w:rPr>
          </w:pPr>
          <w:hyperlink w:anchor="_Toc424721500" w:history="1">
            <w:r w:rsidR="000E3B63" w:rsidRPr="0071303F">
              <w:rPr>
                <w:rStyle w:val="Hyperlink"/>
                <w:noProof/>
              </w:rPr>
              <w:t>1.1.1</w:t>
            </w:r>
            <w:r w:rsidR="000E3B63" w:rsidRPr="0071303F">
              <w:rPr>
                <w:rFonts w:eastAsiaTheme="minorEastAsia"/>
                <w:noProof/>
              </w:rPr>
              <w:tab/>
            </w:r>
            <w:r w:rsidR="000E3B63" w:rsidRPr="0071303F">
              <w:rPr>
                <w:rStyle w:val="Hyperlink"/>
                <w:noProof/>
              </w:rPr>
              <w:t>Numeric Aquatic Life Criteria for Petroleum Hydrocarbons</w:t>
            </w:r>
            <w:r w:rsidR="000E3B63" w:rsidRPr="0071303F">
              <w:rPr>
                <w:noProof/>
                <w:webHidden/>
              </w:rPr>
              <w:tab/>
            </w:r>
            <w:r w:rsidR="000E3B63" w:rsidRPr="00B639F0">
              <w:rPr>
                <w:noProof/>
                <w:webHidden/>
              </w:rPr>
              <w:fldChar w:fldCharType="begin"/>
            </w:r>
            <w:r w:rsidR="000E3B63" w:rsidRPr="0071303F">
              <w:rPr>
                <w:noProof/>
                <w:webHidden/>
              </w:rPr>
              <w:instrText xml:space="preserve"> PAGEREF _Toc424721500 \h </w:instrText>
            </w:r>
            <w:r w:rsidR="000E3B63" w:rsidRPr="00B639F0">
              <w:rPr>
                <w:noProof/>
                <w:webHidden/>
              </w:rPr>
            </w:r>
            <w:r w:rsidR="000E3B63" w:rsidRPr="00B639F0">
              <w:rPr>
                <w:noProof/>
                <w:webHidden/>
              </w:rPr>
              <w:fldChar w:fldCharType="separate"/>
            </w:r>
            <w:r w:rsidR="00E717E8">
              <w:rPr>
                <w:noProof/>
                <w:webHidden/>
              </w:rPr>
              <w:t>5</w:t>
            </w:r>
            <w:r w:rsidR="000E3B63" w:rsidRPr="00B639F0">
              <w:rPr>
                <w:noProof/>
                <w:webHidden/>
              </w:rPr>
              <w:fldChar w:fldCharType="end"/>
            </w:r>
          </w:hyperlink>
        </w:p>
        <w:p w14:paraId="4743517B" w14:textId="78209D4E" w:rsidR="000E3B63" w:rsidRPr="0071303F" w:rsidRDefault="00AD39AF" w:rsidP="00B639F0">
          <w:pPr>
            <w:pStyle w:val="TOC3"/>
            <w:tabs>
              <w:tab w:val="left" w:pos="1320"/>
              <w:tab w:val="right" w:leader="dot" w:pos="9350"/>
            </w:tabs>
            <w:spacing w:line="276" w:lineRule="auto"/>
            <w:rPr>
              <w:rFonts w:eastAsiaTheme="minorEastAsia"/>
              <w:noProof/>
            </w:rPr>
          </w:pPr>
          <w:hyperlink w:anchor="_Toc424721501" w:history="1">
            <w:r w:rsidR="000E3B63" w:rsidRPr="0071303F">
              <w:rPr>
                <w:rStyle w:val="Hyperlink"/>
                <w:noProof/>
              </w:rPr>
              <w:t>1.1.2</w:t>
            </w:r>
            <w:r w:rsidR="000E3B63" w:rsidRPr="0071303F">
              <w:rPr>
                <w:rFonts w:eastAsiaTheme="minorEastAsia"/>
                <w:noProof/>
              </w:rPr>
              <w:tab/>
            </w:r>
            <w:r w:rsidR="000E3B63" w:rsidRPr="0071303F">
              <w:rPr>
                <w:rStyle w:val="Hyperlink"/>
                <w:noProof/>
              </w:rPr>
              <w:t>Magnitude</w:t>
            </w:r>
            <w:r w:rsidR="000E3B63" w:rsidRPr="0071303F">
              <w:rPr>
                <w:noProof/>
                <w:webHidden/>
              </w:rPr>
              <w:tab/>
            </w:r>
            <w:r w:rsidR="000E3B63" w:rsidRPr="00B639F0">
              <w:rPr>
                <w:noProof/>
                <w:webHidden/>
              </w:rPr>
              <w:fldChar w:fldCharType="begin"/>
            </w:r>
            <w:r w:rsidR="000E3B63" w:rsidRPr="0071303F">
              <w:rPr>
                <w:noProof/>
                <w:webHidden/>
              </w:rPr>
              <w:instrText xml:space="preserve"> PAGEREF _Toc424721501 \h </w:instrText>
            </w:r>
            <w:r w:rsidR="000E3B63" w:rsidRPr="00B639F0">
              <w:rPr>
                <w:noProof/>
                <w:webHidden/>
              </w:rPr>
            </w:r>
            <w:r w:rsidR="000E3B63" w:rsidRPr="00B639F0">
              <w:rPr>
                <w:noProof/>
                <w:webHidden/>
              </w:rPr>
              <w:fldChar w:fldCharType="separate"/>
            </w:r>
            <w:r w:rsidR="00E717E8">
              <w:rPr>
                <w:noProof/>
                <w:webHidden/>
              </w:rPr>
              <w:t>6</w:t>
            </w:r>
            <w:r w:rsidR="000E3B63" w:rsidRPr="00B639F0">
              <w:rPr>
                <w:noProof/>
                <w:webHidden/>
              </w:rPr>
              <w:fldChar w:fldCharType="end"/>
            </w:r>
          </w:hyperlink>
        </w:p>
        <w:p w14:paraId="7C99C494" w14:textId="163FAC0E" w:rsidR="000E3B63" w:rsidRPr="0071303F" w:rsidRDefault="00AD39AF" w:rsidP="00B639F0">
          <w:pPr>
            <w:pStyle w:val="TOC3"/>
            <w:tabs>
              <w:tab w:val="left" w:pos="1320"/>
              <w:tab w:val="right" w:leader="dot" w:pos="9350"/>
            </w:tabs>
            <w:spacing w:line="276" w:lineRule="auto"/>
            <w:rPr>
              <w:rFonts w:eastAsiaTheme="minorEastAsia"/>
              <w:noProof/>
            </w:rPr>
          </w:pPr>
          <w:hyperlink w:anchor="_Toc424721502" w:history="1">
            <w:r w:rsidR="000E3B63" w:rsidRPr="0071303F">
              <w:rPr>
                <w:rStyle w:val="Hyperlink"/>
                <w:noProof/>
              </w:rPr>
              <w:t>1.1.3</w:t>
            </w:r>
            <w:r w:rsidR="000E3B63" w:rsidRPr="0071303F">
              <w:rPr>
                <w:rFonts w:eastAsiaTheme="minorEastAsia"/>
                <w:noProof/>
              </w:rPr>
              <w:tab/>
            </w:r>
            <w:r w:rsidR="000E3B63" w:rsidRPr="0071303F">
              <w:rPr>
                <w:rStyle w:val="Hyperlink"/>
                <w:noProof/>
              </w:rPr>
              <w:t>Persistence and Frequency of Exceedance</w:t>
            </w:r>
            <w:r w:rsidR="000E3B63" w:rsidRPr="0071303F">
              <w:rPr>
                <w:noProof/>
                <w:webHidden/>
              </w:rPr>
              <w:tab/>
            </w:r>
            <w:r w:rsidR="000E3B63" w:rsidRPr="00B639F0">
              <w:rPr>
                <w:noProof/>
                <w:webHidden/>
              </w:rPr>
              <w:fldChar w:fldCharType="begin"/>
            </w:r>
            <w:r w:rsidR="000E3B63" w:rsidRPr="0071303F">
              <w:rPr>
                <w:noProof/>
                <w:webHidden/>
              </w:rPr>
              <w:instrText xml:space="preserve"> PAGEREF _Toc424721502 \h </w:instrText>
            </w:r>
            <w:r w:rsidR="000E3B63" w:rsidRPr="00B639F0">
              <w:rPr>
                <w:noProof/>
                <w:webHidden/>
              </w:rPr>
            </w:r>
            <w:r w:rsidR="000E3B63" w:rsidRPr="00B639F0">
              <w:rPr>
                <w:noProof/>
                <w:webHidden/>
              </w:rPr>
              <w:fldChar w:fldCharType="separate"/>
            </w:r>
            <w:r w:rsidR="00E717E8">
              <w:rPr>
                <w:noProof/>
                <w:webHidden/>
              </w:rPr>
              <w:t>7</w:t>
            </w:r>
            <w:r w:rsidR="000E3B63" w:rsidRPr="00B639F0">
              <w:rPr>
                <w:noProof/>
                <w:webHidden/>
              </w:rPr>
              <w:fldChar w:fldCharType="end"/>
            </w:r>
          </w:hyperlink>
        </w:p>
        <w:p w14:paraId="32176D5C" w14:textId="23B84C29" w:rsidR="000E3B63" w:rsidRPr="0071303F" w:rsidRDefault="00AD39AF" w:rsidP="00B639F0">
          <w:pPr>
            <w:pStyle w:val="TOC3"/>
            <w:tabs>
              <w:tab w:val="left" w:pos="1320"/>
              <w:tab w:val="right" w:leader="dot" w:pos="9350"/>
            </w:tabs>
            <w:spacing w:line="276" w:lineRule="auto"/>
            <w:rPr>
              <w:rFonts w:eastAsiaTheme="minorEastAsia"/>
              <w:noProof/>
            </w:rPr>
          </w:pPr>
          <w:hyperlink w:anchor="_Toc424721503" w:history="1">
            <w:r w:rsidR="000E3B63" w:rsidRPr="0071303F">
              <w:rPr>
                <w:rStyle w:val="Hyperlink"/>
                <w:noProof/>
              </w:rPr>
              <w:t>1.1.4</w:t>
            </w:r>
            <w:r w:rsidR="000E3B63" w:rsidRPr="0071303F">
              <w:rPr>
                <w:rFonts w:eastAsiaTheme="minorEastAsia"/>
                <w:noProof/>
              </w:rPr>
              <w:tab/>
            </w:r>
            <w:r w:rsidR="000E3B63" w:rsidRPr="0071303F">
              <w:rPr>
                <w:rStyle w:val="Hyperlink"/>
                <w:noProof/>
              </w:rPr>
              <w:t>Duration of Exposure</w:t>
            </w:r>
            <w:r w:rsidR="000E3B63" w:rsidRPr="0071303F">
              <w:rPr>
                <w:noProof/>
                <w:webHidden/>
              </w:rPr>
              <w:tab/>
            </w:r>
            <w:r w:rsidR="000E3B63" w:rsidRPr="00B639F0">
              <w:rPr>
                <w:noProof/>
                <w:webHidden/>
              </w:rPr>
              <w:fldChar w:fldCharType="begin"/>
            </w:r>
            <w:r w:rsidR="000E3B63" w:rsidRPr="0071303F">
              <w:rPr>
                <w:noProof/>
                <w:webHidden/>
              </w:rPr>
              <w:instrText xml:space="preserve"> PAGEREF _Toc424721503 \h </w:instrText>
            </w:r>
            <w:r w:rsidR="000E3B63" w:rsidRPr="00B639F0">
              <w:rPr>
                <w:noProof/>
                <w:webHidden/>
              </w:rPr>
            </w:r>
            <w:r w:rsidR="000E3B63" w:rsidRPr="00B639F0">
              <w:rPr>
                <w:noProof/>
                <w:webHidden/>
              </w:rPr>
              <w:fldChar w:fldCharType="separate"/>
            </w:r>
            <w:r w:rsidR="00E717E8">
              <w:rPr>
                <w:noProof/>
                <w:webHidden/>
              </w:rPr>
              <w:t>8</w:t>
            </w:r>
            <w:r w:rsidR="000E3B63" w:rsidRPr="00B639F0">
              <w:rPr>
                <w:noProof/>
                <w:webHidden/>
              </w:rPr>
              <w:fldChar w:fldCharType="end"/>
            </w:r>
          </w:hyperlink>
        </w:p>
        <w:p w14:paraId="47CB252F" w14:textId="704E87C6" w:rsidR="000E3B63" w:rsidRPr="0071303F" w:rsidRDefault="00AD39AF" w:rsidP="00B639F0">
          <w:pPr>
            <w:pStyle w:val="TOC1"/>
            <w:spacing w:line="276" w:lineRule="auto"/>
            <w:rPr>
              <w:rFonts w:eastAsiaTheme="minorEastAsia"/>
              <w:noProof/>
            </w:rPr>
          </w:pPr>
          <w:hyperlink w:anchor="_Toc424721504" w:history="1">
            <w:r w:rsidR="000E3B63" w:rsidRPr="0071303F">
              <w:rPr>
                <w:rStyle w:val="Hyperlink"/>
                <w:noProof/>
              </w:rPr>
              <w:t>2</w:t>
            </w:r>
            <w:r w:rsidR="000E3B63" w:rsidRPr="0071303F">
              <w:rPr>
                <w:rFonts w:eastAsiaTheme="minorEastAsia"/>
                <w:noProof/>
              </w:rPr>
              <w:tab/>
            </w:r>
            <w:r w:rsidR="000E3B63" w:rsidRPr="0071303F">
              <w:rPr>
                <w:rStyle w:val="Hyperlink"/>
                <w:noProof/>
              </w:rPr>
              <w:t>Implementing Methods</w:t>
            </w:r>
            <w:r w:rsidR="000E3B63" w:rsidRPr="0071303F">
              <w:rPr>
                <w:noProof/>
                <w:webHidden/>
              </w:rPr>
              <w:tab/>
            </w:r>
            <w:r w:rsidR="000E3B63" w:rsidRPr="00B639F0">
              <w:rPr>
                <w:noProof/>
                <w:webHidden/>
              </w:rPr>
              <w:fldChar w:fldCharType="begin"/>
            </w:r>
            <w:r w:rsidR="000E3B63" w:rsidRPr="0071303F">
              <w:rPr>
                <w:noProof/>
                <w:webHidden/>
              </w:rPr>
              <w:instrText xml:space="preserve"> PAGEREF _Toc424721504 \h </w:instrText>
            </w:r>
            <w:r w:rsidR="000E3B63" w:rsidRPr="00B639F0">
              <w:rPr>
                <w:noProof/>
                <w:webHidden/>
              </w:rPr>
            </w:r>
            <w:r w:rsidR="000E3B63" w:rsidRPr="00B639F0">
              <w:rPr>
                <w:noProof/>
                <w:webHidden/>
              </w:rPr>
              <w:fldChar w:fldCharType="separate"/>
            </w:r>
            <w:r w:rsidR="00E717E8">
              <w:rPr>
                <w:noProof/>
                <w:webHidden/>
              </w:rPr>
              <w:t>9</w:t>
            </w:r>
            <w:r w:rsidR="000E3B63" w:rsidRPr="00B639F0">
              <w:rPr>
                <w:noProof/>
                <w:webHidden/>
              </w:rPr>
              <w:fldChar w:fldCharType="end"/>
            </w:r>
          </w:hyperlink>
        </w:p>
        <w:p w14:paraId="575E4FD8" w14:textId="0FBBB0B1" w:rsidR="000E3B63" w:rsidRPr="0071303F" w:rsidRDefault="00AD39AF" w:rsidP="00B639F0">
          <w:pPr>
            <w:pStyle w:val="TOC2"/>
            <w:tabs>
              <w:tab w:val="left" w:pos="880"/>
              <w:tab w:val="right" w:leader="dot" w:pos="9350"/>
            </w:tabs>
            <w:spacing w:line="276" w:lineRule="auto"/>
            <w:rPr>
              <w:rFonts w:eastAsiaTheme="minorEastAsia"/>
              <w:noProof/>
            </w:rPr>
          </w:pPr>
          <w:hyperlink w:anchor="_Toc424721505" w:history="1">
            <w:r w:rsidR="000E3B63" w:rsidRPr="0071303F">
              <w:rPr>
                <w:rStyle w:val="Hyperlink"/>
                <w:noProof/>
              </w:rPr>
              <w:t>2.1</w:t>
            </w:r>
            <w:r w:rsidR="000E3B63" w:rsidRPr="0071303F">
              <w:rPr>
                <w:rFonts w:eastAsiaTheme="minorEastAsia"/>
                <w:noProof/>
              </w:rPr>
              <w:tab/>
            </w:r>
            <w:r w:rsidR="000E3B63" w:rsidRPr="0071303F">
              <w:rPr>
                <w:rStyle w:val="Hyperlink"/>
                <w:noProof/>
              </w:rPr>
              <w:t>Sampling and Laboratory Analysis Methods</w:t>
            </w:r>
            <w:r w:rsidR="000E3B63" w:rsidRPr="0071303F">
              <w:rPr>
                <w:noProof/>
                <w:webHidden/>
              </w:rPr>
              <w:tab/>
            </w:r>
            <w:r w:rsidR="000E3B63" w:rsidRPr="00B639F0">
              <w:rPr>
                <w:noProof/>
                <w:webHidden/>
              </w:rPr>
              <w:fldChar w:fldCharType="begin"/>
            </w:r>
            <w:r w:rsidR="000E3B63" w:rsidRPr="0071303F">
              <w:rPr>
                <w:noProof/>
                <w:webHidden/>
              </w:rPr>
              <w:instrText xml:space="preserve"> PAGEREF _Toc424721505 \h </w:instrText>
            </w:r>
            <w:r w:rsidR="000E3B63" w:rsidRPr="00B639F0">
              <w:rPr>
                <w:noProof/>
                <w:webHidden/>
              </w:rPr>
            </w:r>
            <w:r w:rsidR="000E3B63" w:rsidRPr="00B639F0">
              <w:rPr>
                <w:noProof/>
                <w:webHidden/>
              </w:rPr>
              <w:fldChar w:fldCharType="separate"/>
            </w:r>
            <w:r w:rsidR="00E717E8">
              <w:rPr>
                <w:noProof/>
                <w:webHidden/>
              </w:rPr>
              <w:t>9</w:t>
            </w:r>
            <w:r w:rsidR="000E3B63" w:rsidRPr="00B639F0">
              <w:rPr>
                <w:noProof/>
                <w:webHidden/>
              </w:rPr>
              <w:fldChar w:fldCharType="end"/>
            </w:r>
          </w:hyperlink>
        </w:p>
        <w:p w14:paraId="5829EE27" w14:textId="2E763039" w:rsidR="000E3B63" w:rsidRPr="0071303F" w:rsidRDefault="00AD39AF" w:rsidP="00B639F0">
          <w:pPr>
            <w:pStyle w:val="TOC2"/>
            <w:tabs>
              <w:tab w:val="left" w:pos="880"/>
              <w:tab w:val="right" w:leader="dot" w:pos="9350"/>
            </w:tabs>
            <w:spacing w:line="276" w:lineRule="auto"/>
            <w:rPr>
              <w:rFonts w:eastAsiaTheme="minorEastAsia"/>
              <w:noProof/>
            </w:rPr>
          </w:pPr>
          <w:hyperlink w:anchor="_Toc424721506" w:history="1">
            <w:r w:rsidR="000E3B63" w:rsidRPr="0071303F">
              <w:rPr>
                <w:rStyle w:val="Hyperlink"/>
                <w:noProof/>
              </w:rPr>
              <w:t>2.2</w:t>
            </w:r>
            <w:r w:rsidR="000E3B63" w:rsidRPr="0071303F">
              <w:rPr>
                <w:rFonts w:eastAsiaTheme="minorEastAsia"/>
                <w:noProof/>
              </w:rPr>
              <w:tab/>
            </w:r>
            <w:r w:rsidR="000E3B63" w:rsidRPr="0071303F">
              <w:rPr>
                <w:rStyle w:val="Hyperlink"/>
                <w:noProof/>
              </w:rPr>
              <w:t>Sediment Sampling</w:t>
            </w:r>
            <w:r w:rsidR="000E3B63" w:rsidRPr="0071303F">
              <w:rPr>
                <w:noProof/>
                <w:webHidden/>
              </w:rPr>
              <w:tab/>
            </w:r>
            <w:r w:rsidR="000E3B63" w:rsidRPr="00B639F0">
              <w:rPr>
                <w:noProof/>
                <w:webHidden/>
              </w:rPr>
              <w:fldChar w:fldCharType="begin"/>
            </w:r>
            <w:r w:rsidR="000E3B63" w:rsidRPr="0071303F">
              <w:rPr>
                <w:noProof/>
                <w:webHidden/>
              </w:rPr>
              <w:instrText xml:space="preserve"> PAGEREF _Toc424721506 \h </w:instrText>
            </w:r>
            <w:r w:rsidR="000E3B63" w:rsidRPr="00B639F0">
              <w:rPr>
                <w:noProof/>
                <w:webHidden/>
              </w:rPr>
            </w:r>
            <w:r w:rsidR="000E3B63" w:rsidRPr="00B639F0">
              <w:rPr>
                <w:noProof/>
                <w:webHidden/>
              </w:rPr>
              <w:fldChar w:fldCharType="separate"/>
            </w:r>
            <w:r w:rsidR="00E717E8">
              <w:rPr>
                <w:noProof/>
                <w:webHidden/>
              </w:rPr>
              <w:t>10</w:t>
            </w:r>
            <w:r w:rsidR="000E3B63" w:rsidRPr="00B639F0">
              <w:rPr>
                <w:noProof/>
                <w:webHidden/>
              </w:rPr>
              <w:fldChar w:fldCharType="end"/>
            </w:r>
          </w:hyperlink>
        </w:p>
        <w:p w14:paraId="5BA24275" w14:textId="0724BDD9" w:rsidR="000E3B63" w:rsidRPr="0071303F" w:rsidRDefault="00AD39AF" w:rsidP="00B639F0">
          <w:pPr>
            <w:pStyle w:val="TOC2"/>
            <w:tabs>
              <w:tab w:val="left" w:pos="880"/>
              <w:tab w:val="right" w:leader="dot" w:pos="9350"/>
            </w:tabs>
            <w:spacing w:line="276" w:lineRule="auto"/>
            <w:rPr>
              <w:rFonts w:eastAsiaTheme="minorEastAsia"/>
              <w:noProof/>
            </w:rPr>
          </w:pPr>
          <w:hyperlink w:anchor="_Toc424721507" w:history="1">
            <w:r w:rsidR="000E3B63" w:rsidRPr="0071303F">
              <w:rPr>
                <w:rStyle w:val="Hyperlink"/>
                <w:noProof/>
              </w:rPr>
              <w:t>2.3</w:t>
            </w:r>
            <w:r w:rsidR="000E3B63" w:rsidRPr="0071303F">
              <w:rPr>
                <w:rFonts w:eastAsiaTheme="minorEastAsia"/>
                <w:noProof/>
              </w:rPr>
              <w:tab/>
            </w:r>
            <w:r w:rsidR="000E3B63" w:rsidRPr="0071303F">
              <w:rPr>
                <w:rStyle w:val="Hyperlink"/>
                <w:noProof/>
              </w:rPr>
              <w:t>Sample-Specific Methods</w:t>
            </w:r>
            <w:r w:rsidR="000E3B63" w:rsidRPr="0071303F">
              <w:rPr>
                <w:noProof/>
                <w:webHidden/>
              </w:rPr>
              <w:tab/>
            </w:r>
            <w:r w:rsidR="000E3B63" w:rsidRPr="00B639F0">
              <w:rPr>
                <w:noProof/>
                <w:webHidden/>
              </w:rPr>
              <w:fldChar w:fldCharType="begin"/>
            </w:r>
            <w:r w:rsidR="000E3B63" w:rsidRPr="0071303F">
              <w:rPr>
                <w:noProof/>
                <w:webHidden/>
              </w:rPr>
              <w:instrText xml:space="preserve"> PAGEREF _Toc424721507 \h </w:instrText>
            </w:r>
            <w:r w:rsidR="000E3B63" w:rsidRPr="00B639F0">
              <w:rPr>
                <w:noProof/>
                <w:webHidden/>
              </w:rPr>
            </w:r>
            <w:r w:rsidR="000E3B63" w:rsidRPr="00B639F0">
              <w:rPr>
                <w:noProof/>
                <w:webHidden/>
              </w:rPr>
              <w:fldChar w:fldCharType="separate"/>
            </w:r>
            <w:r w:rsidR="00E717E8">
              <w:rPr>
                <w:noProof/>
                <w:webHidden/>
              </w:rPr>
              <w:t>10</w:t>
            </w:r>
            <w:r w:rsidR="000E3B63" w:rsidRPr="00B639F0">
              <w:rPr>
                <w:noProof/>
                <w:webHidden/>
              </w:rPr>
              <w:fldChar w:fldCharType="end"/>
            </w:r>
          </w:hyperlink>
        </w:p>
        <w:p w14:paraId="7ADC58BE" w14:textId="2793D7B8" w:rsidR="000E3B63" w:rsidRPr="0071303F" w:rsidRDefault="00AD39AF" w:rsidP="00B639F0">
          <w:pPr>
            <w:pStyle w:val="TOC3"/>
            <w:tabs>
              <w:tab w:val="left" w:pos="1320"/>
              <w:tab w:val="right" w:leader="dot" w:pos="9350"/>
            </w:tabs>
            <w:spacing w:line="276" w:lineRule="auto"/>
            <w:rPr>
              <w:rFonts w:eastAsiaTheme="minorEastAsia"/>
              <w:noProof/>
            </w:rPr>
          </w:pPr>
          <w:hyperlink w:anchor="_Toc424721508" w:history="1">
            <w:r w:rsidR="000E3B63" w:rsidRPr="0071303F">
              <w:rPr>
                <w:rStyle w:val="Hyperlink"/>
                <w:noProof/>
              </w:rPr>
              <w:t>2.3.1</w:t>
            </w:r>
            <w:r w:rsidR="000E3B63" w:rsidRPr="0071303F">
              <w:rPr>
                <w:rFonts w:eastAsiaTheme="minorEastAsia"/>
                <w:noProof/>
              </w:rPr>
              <w:tab/>
            </w:r>
            <w:r w:rsidR="000E3B63" w:rsidRPr="0071303F">
              <w:rPr>
                <w:rStyle w:val="Hyperlink"/>
                <w:noProof/>
              </w:rPr>
              <w:t>Water Surface, Floor, and Adjoining Shoreline</w:t>
            </w:r>
            <w:r w:rsidR="000E3B63" w:rsidRPr="0071303F">
              <w:rPr>
                <w:noProof/>
                <w:webHidden/>
              </w:rPr>
              <w:tab/>
            </w:r>
            <w:r w:rsidR="000E3B63" w:rsidRPr="00B639F0">
              <w:rPr>
                <w:noProof/>
                <w:webHidden/>
              </w:rPr>
              <w:fldChar w:fldCharType="begin"/>
            </w:r>
            <w:r w:rsidR="000E3B63" w:rsidRPr="0071303F">
              <w:rPr>
                <w:noProof/>
                <w:webHidden/>
              </w:rPr>
              <w:instrText xml:space="preserve"> PAGEREF _Toc424721508 \h </w:instrText>
            </w:r>
            <w:r w:rsidR="000E3B63" w:rsidRPr="00B639F0">
              <w:rPr>
                <w:noProof/>
                <w:webHidden/>
              </w:rPr>
            </w:r>
            <w:r w:rsidR="000E3B63" w:rsidRPr="00B639F0">
              <w:rPr>
                <w:noProof/>
                <w:webHidden/>
              </w:rPr>
              <w:fldChar w:fldCharType="separate"/>
            </w:r>
            <w:r w:rsidR="00E717E8">
              <w:rPr>
                <w:noProof/>
                <w:webHidden/>
              </w:rPr>
              <w:t>10</w:t>
            </w:r>
            <w:r w:rsidR="000E3B63" w:rsidRPr="00B639F0">
              <w:rPr>
                <w:noProof/>
                <w:webHidden/>
              </w:rPr>
              <w:fldChar w:fldCharType="end"/>
            </w:r>
          </w:hyperlink>
        </w:p>
        <w:p w14:paraId="724573D8" w14:textId="6DC775EC" w:rsidR="000E3B63" w:rsidRPr="0071303F" w:rsidRDefault="00AD39AF" w:rsidP="00B639F0">
          <w:pPr>
            <w:pStyle w:val="TOC3"/>
            <w:tabs>
              <w:tab w:val="left" w:pos="1320"/>
              <w:tab w:val="right" w:leader="dot" w:pos="9350"/>
            </w:tabs>
            <w:spacing w:line="276" w:lineRule="auto"/>
            <w:rPr>
              <w:rFonts w:eastAsiaTheme="minorEastAsia"/>
              <w:noProof/>
            </w:rPr>
          </w:pPr>
          <w:hyperlink w:anchor="_Toc424721509" w:history="1">
            <w:r w:rsidR="000E3B63" w:rsidRPr="0071303F">
              <w:rPr>
                <w:rStyle w:val="Hyperlink"/>
                <w:noProof/>
              </w:rPr>
              <w:t>2.3.2</w:t>
            </w:r>
            <w:r w:rsidR="000E3B63" w:rsidRPr="0071303F">
              <w:rPr>
                <w:rFonts w:eastAsiaTheme="minorEastAsia"/>
                <w:noProof/>
              </w:rPr>
              <w:tab/>
            </w:r>
            <w:r w:rsidR="000E3B63" w:rsidRPr="0071303F">
              <w:rPr>
                <w:rStyle w:val="Hyperlink"/>
                <w:noProof/>
              </w:rPr>
              <w:t>Bottom Sediments</w:t>
            </w:r>
            <w:r w:rsidR="000E3B63" w:rsidRPr="0071303F">
              <w:rPr>
                <w:noProof/>
                <w:webHidden/>
              </w:rPr>
              <w:tab/>
            </w:r>
            <w:r w:rsidR="000E3B63" w:rsidRPr="00B639F0">
              <w:rPr>
                <w:noProof/>
                <w:webHidden/>
              </w:rPr>
              <w:fldChar w:fldCharType="begin"/>
            </w:r>
            <w:r w:rsidR="000E3B63" w:rsidRPr="0071303F">
              <w:rPr>
                <w:noProof/>
                <w:webHidden/>
              </w:rPr>
              <w:instrText xml:space="preserve"> PAGEREF _Toc424721509 \h </w:instrText>
            </w:r>
            <w:r w:rsidR="000E3B63" w:rsidRPr="00B639F0">
              <w:rPr>
                <w:noProof/>
                <w:webHidden/>
              </w:rPr>
            </w:r>
            <w:r w:rsidR="000E3B63" w:rsidRPr="00B639F0">
              <w:rPr>
                <w:noProof/>
                <w:webHidden/>
              </w:rPr>
              <w:fldChar w:fldCharType="separate"/>
            </w:r>
            <w:r w:rsidR="00E717E8">
              <w:rPr>
                <w:noProof/>
                <w:webHidden/>
              </w:rPr>
              <w:t>12</w:t>
            </w:r>
            <w:r w:rsidR="000E3B63" w:rsidRPr="00B639F0">
              <w:rPr>
                <w:noProof/>
                <w:webHidden/>
              </w:rPr>
              <w:fldChar w:fldCharType="end"/>
            </w:r>
          </w:hyperlink>
        </w:p>
        <w:p w14:paraId="6D7A2B5D" w14:textId="1803D4E6" w:rsidR="000E3B63" w:rsidRPr="0071303F" w:rsidRDefault="00AD39AF" w:rsidP="00B639F0">
          <w:pPr>
            <w:pStyle w:val="TOC3"/>
            <w:tabs>
              <w:tab w:val="left" w:pos="1320"/>
              <w:tab w:val="right" w:leader="dot" w:pos="9350"/>
            </w:tabs>
            <w:spacing w:line="276" w:lineRule="auto"/>
            <w:rPr>
              <w:rFonts w:eastAsiaTheme="minorEastAsia"/>
              <w:noProof/>
            </w:rPr>
          </w:pPr>
          <w:hyperlink w:anchor="_Toc424721510" w:history="1">
            <w:r w:rsidR="000E3B63" w:rsidRPr="0071303F">
              <w:rPr>
                <w:rStyle w:val="Hyperlink"/>
                <w:noProof/>
              </w:rPr>
              <w:t>2.3.3</w:t>
            </w:r>
            <w:r w:rsidR="000E3B63" w:rsidRPr="0071303F">
              <w:rPr>
                <w:rFonts w:eastAsiaTheme="minorEastAsia"/>
                <w:noProof/>
              </w:rPr>
              <w:tab/>
            </w:r>
            <w:r w:rsidR="000E3B63" w:rsidRPr="0071303F">
              <w:rPr>
                <w:rStyle w:val="Hyperlink"/>
                <w:noProof/>
              </w:rPr>
              <w:t>Water Column</w:t>
            </w:r>
            <w:r w:rsidR="000E3B63" w:rsidRPr="0071303F">
              <w:rPr>
                <w:noProof/>
                <w:webHidden/>
              </w:rPr>
              <w:tab/>
            </w:r>
            <w:r w:rsidR="000E3B63" w:rsidRPr="00B639F0">
              <w:rPr>
                <w:noProof/>
                <w:webHidden/>
              </w:rPr>
              <w:fldChar w:fldCharType="begin"/>
            </w:r>
            <w:r w:rsidR="000E3B63" w:rsidRPr="0071303F">
              <w:rPr>
                <w:noProof/>
                <w:webHidden/>
              </w:rPr>
              <w:instrText xml:space="preserve"> PAGEREF _Toc424721510 \h </w:instrText>
            </w:r>
            <w:r w:rsidR="000E3B63" w:rsidRPr="00B639F0">
              <w:rPr>
                <w:noProof/>
                <w:webHidden/>
              </w:rPr>
            </w:r>
            <w:r w:rsidR="000E3B63" w:rsidRPr="00B639F0">
              <w:rPr>
                <w:noProof/>
                <w:webHidden/>
              </w:rPr>
              <w:fldChar w:fldCharType="separate"/>
            </w:r>
            <w:r w:rsidR="00E717E8">
              <w:rPr>
                <w:noProof/>
                <w:webHidden/>
              </w:rPr>
              <w:t>12</w:t>
            </w:r>
            <w:r w:rsidR="000E3B63" w:rsidRPr="00B639F0">
              <w:rPr>
                <w:noProof/>
                <w:webHidden/>
              </w:rPr>
              <w:fldChar w:fldCharType="end"/>
            </w:r>
          </w:hyperlink>
        </w:p>
        <w:p w14:paraId="02DE7F68" w14:textId="660B4043" w:rsidR="000E3B63" w:rsidRPr="0071303F" w:rsidRDefault="00AD39AF" w:rsidP="00B639F0">
          <w:pPr>
            <w:pStyle w:val="TOC2"/>
            <w:tabs>
              <w:tab w:val="left" w:pos="880"/>
              <w:tab w:val="right" w:leader="dot" w:pos="9350"/>
            </w:tabs>
            <w:spacing w:line="276" w:lineRule="auto"/>
            <w:rPr>
              <w:rFonts w:eastAsiaTheme="minorEastAsia"/>
              <w:noProof/>
            </w:rPr>
          </w:pPr>
          <w:hyperlink w:anchor="_Toc424721511" w:history="1">
            <w:r w:rsidR="000E3B63" w:rsidRPr="0071303F">
              <w:rPr>
                <w:rStyle w:val="Hyperlink"/>
                <w:noProof/>
              </w:rPr>
              <w:t>2.4</w:t>
            </w:r>
            <w:r w:rsidR="000E3B63" w:rsidRPr="0071303F">
              <w:rPr>
                <w:rFonts w:eastAsiaTheme="minorEastAsia"/>
                <w:noProof/>
              </w:rPr>
              <w:tab/>
            </w:r>
            <w:r w:rsidR="000E3B63" w:rsidRPr="0071303F">
              <w:rPr>
                <w:rStyle w:val="Hyperlink"/>
                <w:noProof/>
              </w:rPr>
              <w:t>Other Methods</w:t>
            </w:r>
            <w:r w:rsidR="000E3B63" w:rsidRPr="0071303F">
              <w:rPr>
                <w:noProof/>
                <w:webHidden/>
              </w:rPr>
              <w:tab/>
            </w:r>
            <w:r w:rsidR="000E3B63" w:rsidRPr="00B639F0">
              <w:rPr>
                <w:noProof/>
                <w:webHidden/>
              </w:rPr>
              <w:fldChar w:fldCharType="begin"/>
            </w:r>
            <w:r w:rsidR="000E3B63" w:rsidRPr="0071303F">
              <w:rPr>
                <w:noProof/>
                <w:webHidden/>
              </w:rPr>
              <w:instrText xml:space="preserve"> PAGEREF _Toc424721511 \h </w:instrText>
            </w:r>
            <w:r w:rsidR="000E3B63" w:rsidRPr="00B639F0">
              <w:rPr>
                <w:noProof/>
                <w:webHidden/>
              </w:rPr>
            </w:r>
            <w:r w:rsidR="000E3B63" w:rsidRPr="00B639F0">
              <w:rPr>
                <w:noProof/>
                <w:webHidden/>
              </w:rPr>
              <w:fldChar w:fldCharType="separate"/>
            </w:r>
            <w:r w:rsidR="00E717E8">
              <w:rPr>
                <w:noProof/>
                <w:webHidden/>
              </w:rPr>
              <w:t>14</w:t>
            </w:r>
            <w:r w:rsidR="000E3B63" w:rsidRPr="00B639F0">
              <w:rPr>
                <w:noProof/>
                <w:webHidden/>
              </w:rPr>
              <w:fldChar w:fldCharType="end"/>
            </w:r>
          </w:hyperlink>
        </w:p>
        <w:p w14:paraId="2CCA6C8F" w14:textId="58AD39D5" w:rsidR="000E3B63" w:rsidRPr="0071303F" w:rsidRDefault="00AD39AF" w:rsidP="00B639F0">
          <w:pPr>
            <w:pStyle w:val="TOC1"/>
            <w:spacing w:line="276" w:lineRule="auto"/>
            <w:rPr>
              <w:rFonts w:eastAsiaTheme="minorEastAsia"/>
              <w:noProof/>
            </w:rPr>
          </w:pPr>
          <w:hyperlink w:anchor="_Toc424721512" w:history="1">
            <w:r w:rsidR="000E3B63" w:rsidRPr="0071303F">
              <w:rPr>
                <w:rStyle w:val="Hyperlink"/>
                <w:noProof/>
              </w:rPr>
              <w:t>3</w:t>
            </w:r>
            <w:r w:rsidR="000E3B63" w:rsidRPr="0071303F">
              <w:rPr>
                <w:rFonts w:eastAsiaTheme="minorEastAsia"/>
                <w:noProof/>
              </w:rPr>
              <w:tab/>
            </w:r>
            <w:r w:rsidR="000E3B63" w:rsidRPr="0071303F">
              <w:rPr>
                <w:rStyle w:val="Hyperlink"/>
                <w:noProof/>
              </w:rPr>
              <w:t>Removal of a Waterbody from the Section 303(d) List for Petroleum Hydrocarbons, Oils and Grease</w:t>
            </w:r>
            <w:r w:rsidR="000E3B63" w:rsidRPr="0071303F">
              <w:rPr>
                <w:noProof/>
                <w:webHidden/>
              </w:rPr>
              <w:tab/>
            </w:r>
            <w:r w:rsidR="000E3B63" w:rsidRPr="00B639F0">
              <w:rPr>
                <w:noProof/>
                <w:webHidden/>
              </w:rPr>
              <w:fldChar w:fldCharType="begin"/>
            </w:r>
            <w:r w:rsidR="000E3B63" w:rsidRPr="0071303F">
              <w:rPr>
                <w:noProof/>
                <w:webHidden/>
              </w:rPr>
              <w:instrText xml:space="preserve"> PAGEREF _Toc424721512 \h </w:instrText>
            </w:r>
            <w:r w:rsidR="000E3B63" w:rsidRPr="00B639F0">
              <w:rPr>
                <w:noProof/>
                <w:webHidden/>
              </w:rPr>
            </w:r>
            <w:r w:rsidR="000E3B63" w:rsidRPr="00B639F0">
              <w:rPr>
                <w:noProof/>
                <w:webHidden/>
              </w:rPr>
              <w:fldChar w:fldCharType="separate"/>
            </w:r>
            <w:r w:rsidR="00E717E8">
              <w:rPr>
                <w:noProof/>
                <w:webHidden/>
              </w:rPr>
              <w:t>14</w:t>
            </w:r>
            <w:r w:rsidR="000E3B63" w:rsidRPr="00B639F0">
              <w:rPr>
                <w:noProof/>
                <w:webHidden/>
              </w:rPr>
              <w:fldChar w:fldCharType="end"/>
            </w:r>
          </w:hyperlink>
        </w:p>
        <w:p w14:paraId="6CB37122" w14:textId="08908503" w:rsidR="000E3B63" w:rsidRPr="0071303F" w:rsidRDefault="00AD39AF" w:rsidP="00B639F0">
          <w:pPr>
            <w:pStyle w:val="TOC1"/>
            <w:spacing w:line="276" w:lineRule="auto"/>
            <w:rPr>
              <w:rFonts w:eastAsiaTheme="minorEastAsia"/>
              <w:noProof/>
            </w:rPr>
          </w:pPr>
          <w:hyperlink w:anchor="_Toc424721513" w:history="1">
            <w:r w:rsidR="000E3B63" w:rsidRPr="0071303F">
              <w:rPr>
                <w:rStyle w:val="Hyperlink"/>
                <w:noProof/>
              </w:rPr>
              <w:t>4</w:t>
            </w:r>
            <w:r w:rsidR="000E3B63" w:rsidRPr="0071303F">
              <w:rPr>
                <w:rFonts w:eastAsiaTheme="minorEastAsia"/>
                <w:noProof/>
              </w:rPr>
              <w:tab/>
            </w:r>
            <w:r w:rsidR="000E3B63" w:rsidRPr="0071303F">
              <w:rPr>
                <w:rStyle w:val="Hyperlink"/>
                <w:noProof/>
              </w:rPr>
              <w:t>References</w:t>
            </w:r>
            <w:r w:rsidR="000E3B63" w:rsidRPr="0071303F">
              <w:rPr>
                <w:noProof/>
                <w:webHidden/>
              </w:rPr>
              <w:tab/>
            </w:r>
            <w:r w:rsidR="000E3B63" w:rsidRPr="00B639F0">
              <w:rPr>
                <w:noProof/>
                <w:webHidden/>
              </w:rPr>
              <w:fldChar w:fldCharType="begin"/>
            </w:r>
            <w:r w:rsidR="000E3B63" w:rsidRPr="0071303F">
              <w:rPr>
                <w:noProof/>
                <w:webHidden/>
              </w:rPr>
              <w:instrText xml:space="preserve"> PAGEREF _Toc424721513 \h </w:instrText>
            </w:r>
            <w:r w:rsidR="000E3B63" w:rsidRPr="00B639F0">
              <w:rPr>
                <w:noProof/>
                <w:webHidden/>
              </w:rPr>
            </w:r>
            <w:r w:rsidR="000E3B63" w:rsidRPr="00B639F0">
              <w:rPr>
                <w:noProof/>
                <w:webHidden/>
              </w:rPr>
              <w:fldChar w:fldCharType="separate"/>
            </w:r>
            <w:r w:rsidR="00E717E8">
              <w:rPr>
                <w:noProof/>
                <w:webHidden/>
              </w:rPr>
              <w:t>15</w:t>
            </w:r>
            <w:r w:rsidR="000E3B63" w:rsidRPr="00B639F0">
              <w:rPr>
                <w:noProof/>
                <w:webHidden/>
              </w:rPr>
              <w:fldChar w:fldCharType="end"/>
            </w:r>
          </w:hyperlink>
        </w:p>
        <w:p w14:paraId="3B080543" w14:textId="2B4B7565" w:rsidR="000E3B63" w:rsidRPr="0071303F" w:rsidRDefault="00AD39AF" w:rsidP="00B639F0">
          <w:pPr>
            <w:pStyle w:val="TOC1"/>
            <w:spacing w:line="276" w:lineRule="auto"/>
            <w:rPr>
              <w:rFonts w:eastAsiaTheme="minorEastAsia"/>
              <w:noProof/>
            </w:rPr>
          </w:pPr>
          <w:hyperlink w:anchor="_Toc424721514" w:history="1">
            <w:r w:rsidR="000E3B63" w:rsidRPr="0071303F">
              <w:rPr>
                <w:rStyle w:val="Hyperlink"/>
                <w:noProof/>
              </w:rPr>
              <w:t>Appendix A – Visible Oil Sheen Standard Operating Procedure</w:t>
            </w:r>
            <w:r w:rsidR="000E3B63" w:rsidRPr="0071303F">
              <w:rPr>
                <w:noProof/>
                <w:webHidden/>
              </w:rPr>
              <w:tab/>
            </w:r>
            <w:r w:rsidR="000E3B63" w:rsidRPr="00B639F0">
              <w:rPr>
                <w:noProof/>
                <w:webHidden/>
              </w:rPr>
              <w:fldChar w:fldCharType="begin"/>
            </w:r>
            <w:r w:rsidR="000E3B63" w:rsidRPr="0071303F">
              <w:rPr>
                <w:noProof/>
                <w:webHidden/>
              </w:rPr>
              <w:instrText xml:space="preserve"> PAGEREF _Toc424721514 \h </w:instrText>
            </w:r>
            <w:r w:rsidR="000E3B63" w:rsidRPr="00B639F0">
              <w:rPr>
                <w:noProof/>
                <w:webHidden/>
              </w:rPr>
            </w:r>
            <w:r w:rsidR="000E3B63" w:rsidRPr="00B639F0">
              <w:rPr>
                <w:noProof/>
                <w:webHidden/>
              </w:rPr>
              <w:fldChar w:fldCharType="separate"/>
            </w:r>
            <w:r w:rsidR="00E717E8">
              <w:rPr>
                <w:noProof/>
                <w:webHidden/>
              </w:rPr>
              <w:t>16</w:t>
            </w:r>
            <w:r w:rsidR="000E3B63" w:rsidRPr="00B639F0">
              <w:rPr>
                <w:noProof/>
                <w:webHidden/>
              </w:rPr>
              <w:fldChar w:fldCharType="end"/>
            </w:r>
          </w:hyperlink>
        </w:p>
        <w:p w14:paraId="122CF0AD" w14:textId="59C2836A" w:rsidR="008829B1" w:rsidRPr="00B639F0" w:rsidRDefault="008829B1" w:rsidP="00B639F0">
          <w:pPr>
            <w:spacing w:line="276" w:lineRule="auto"/>
            <w:rPr>
              <w:rFonts w:cs="Times New Roman"/>
            </w:rPr>
          </w:pPr>
          <w:r w:rsidRPr="00B639F0">
            <w:rPr>
              <w:rFonts w:cs="Times New Roman"/>
              <w:b/>
              <w:bCs/>
              <w:noProof/>
            </w:rPr>
            <w:fldChar w:fldCharType="end"/>
          </w:r>
        </w:p>
      </w:sdtContent>
    </w:sdt>
    <w:p w14:paraId="36B2EDD1" w14:textId="4D755A2A" w:rsidR="00C9504F" w:rsidRPr="00BF1F0D" w:rsidRDefault="00BF1F0D" w:rsidP="00E51D5E">
      <w:pPr>
        <w:pStyle w:val="TOCHeading"/>
      </w:pPr>
      <w:r w:rsidRPr="00BF1F0D">
        <w:t>Tables</w:t>
      </w:r>
    </w:p>
    <w:p w14:paraId="17727F7E" w14:textId="77777777" w:rsidR="00BF1F0D" w:rsidRDefault="00BF1F0D">
      <w:pPr>
        <w:pStyle w:val="TableofFigures"/>
        <w:tabs>
          <w:tab w:val="right" w:leader="dot" w:pos="9350"/>
        </w:tabs>
        <w:rPr>
          <w:noProof/>
        </w:rPr>
      </w:pPr>
      <w:r>
        <w:fldChar w:fldCharType="begin"/>
      </w:r>
      <w:r>
        <w:instrText xml:space="preserve"> TOC \h \z \c "Table" </w:instrText>
      </w:r>
      <w:r>
        <w:fldChar w:fldCharType="separate"/>
      </w:r>
      <w:hyperlink w:anchor="_Toc430263204" w:history="1">
        <w:r w:rsidRPr="008E6E2F">
          <w:rPr>
            <w:rStyle w:val="Hyperlink"/>
            <w:noProof/>
          </w:rPr>
          <w:t>Table 1.1. Petroleum hydrocarbon, oils and grease criteria for fresh water uses</w:t>
        </w:r>
        <w:r>
          <w:rPr>
            <w:noProof/>
            <w:webHidden/>
          </w:rPr>
          <w:tab/>
        </w:r>
        <w:r>
          <w:rPr>
            <w:noProof/>
            <w:webHidden/>
          </w:rPr>
          <w:fldChar w:fldCharType="begin"/>
        </w:r>
        <w:r>
          <w:rPr>
            <w:noProof/>
            <w:webHidden/>
          </w:rPr>
          <w:instrText xml:space="preserve"> PAGEREF _Toc430263204 \h </w:instrText>
        </w:r>
        <w:r>
          <w:rPr>
            <w:noProof/>
            <w:webHidden/>
          </w:rPr>
        </w:r>
        <w:r>
          <w:rPr>
            <w:noProof/>
            <w:webHidden/>
          </w:rPr>
          <w:fldChar w:fldCharType="separate"/>
        </w:r>
        <w:r>
          <w:rPr>
            <w:noProof/>
            <w:webHidden/>
          </w:rPr>
          <w:t>1</w:t>
        </w:r>
        <w:r>
          <w:rPr>
            <w:noProof/>
            <w:webHidden/>
          </w:rPr>
          <w:fldChar w:fldCharType="end"/>
        </w:r>
      </w:hyperlink>
    </w:p>
    <w:p w14:paraId="1E91BFE5" w14:textId="77777777" w:rsidR="00BF1F0D" w:rsidRDefault="00AD39AF">
      <w:pPr>
        <w:pStyle w:val="TableofFigures"/>
        <w:tabs>
          <w:tab w:val="right" w:leader="dot" w:pos="9350"/>
        </w:tabs>
        <w:rPr>
          <w:noProof/>
        </w:rPr>
      </w:pPr>
      <w:hyperlink w:anchor="_Toc430263205" w:history="1">
        <w:r w:rsidR="00BF1F0D" w:rsidRPr="008E6E2F">
          <w:rPr>
            <w:rStyle w:val="Hyperlink"/>
            <w:noProof/>
          </w:rPr>
          <w:t>Table 1.2. Petroleum hydrocarbon, oils and grease criteria for marine waters uses</w:t>
        </w:r>
        <w:r w:rsidR="00BF1F0D">
          <w:rPr>
            <w:noProof/>
            <w:webHidden/>
          </w:rPr>
          <w:tab/>
        </w:r>
        <w:r w:rsidR="00BF1F0D">
          <w:rPr>
            <w:noProof/>
            <w:webHidden/>
          </w:rPr>
          <w:fldChar w:fldCharType="begin"/>
        </w:r>
        <w:r w:rsidR="00BF1F0D">
          <w:rPr>
            <w:noProof/>
            <w:webHidden/>
          </w:rPr>
          <w:instrText xml:space="preserve"> PAGEREF _Toc430263205 \h </w:instrText>
        </w:r>
        <w:r w:rsidR="00BF1F0D">
          <w:rPr>
            <w:noProof/>
            <w:webHidden/>
          </w:rPr>
        </w:r>
        <w:r w:rsidR="00BF1F0D">
          <w:rPr>
            <w:noProof/>
            <w:webHidden/>
          </w:rPr>
          <w:fldChar w:fldCharType="separate"/>
        </w:r>
        <w:r w:rsidR="00BF1F0D">
          <w:rPr>
            <w:noProof/>
            <w:webHidden/>
          </w:rPr>
          <w:t>3</w:t>
        </w:r>
        <w:r w:rsidR="00BF1F0D">
          <w:rPr>
            <w:noProof/>
            <w:webHidden/>
          </w:rPr>
          <w:fldChar w:fldCharType="end"/>
        </w:r>
      </w:hyperlink>
    </w:p>
    <w:p w14:paraId="2CAAE2D6" w14:textId="77777777" w:rsidR="00BF1F0D" w:rsidRDefault="00BF1F0D" w:rsidP="00E51D5E">
      <w:pPr>
        <w:spacing w:line="276" w:lineRule="auto"/>
        <w:sectPr w:rsidR="00BF1F0D" w:rsidSect="00AA7475">
          <w:headerReference w:type="first" r:id="rId12"/>
          <w:footerReference w:type="first" r:id="rId13"/>
          <w:pgSz w:w="12240" w:h="15840"/>
          <w:pgMar w:top="1440" w:right="1440" w:bottom="1440" w:left="1440" w:header="720" w:footer="720" w:gutter="0"/>
          <w:pgNumType w:fmt="lowerRoman" w:start="1"/>
          <w:cols w:space="720"/>
          <w:titlePg/>
          <w:docGrid w:linePitch="360"/>
        </w:sectPr>
      </w:pPr>
      <w:r>
        <w:fldChar w:fldCharType="end"/>
      </w:r>
    </w:p>
    <w:p w14:paraId="6515DB81" w14:textId="77777777" w:rsidR="00D35284" w:rsidRPr="00B639F0" w:rsidRDefault="00D35284" w:rsidP="00E51D5E">
      <w:pPr>
        <w:spacing w:line="276" w:lineRule="auto"/>
        <w:rPr>
          <w:rFonts w:cs="Times New Roman"/>
          <w:b/>
          <w:color w:val="5B9BD5" w:themeColor="accent1"/>
          <w:sz w:val="32"/>
        </w:rPr>
      </w:pPr>
      <w:r w:rsidRPr="00B639F0">
        <w:rPr>
          <w:rFonts w:cs="Times New Roman"/>
          <w:b/>
          <w:color w:val="4472C4" w:themeColor="accent5"/>
          <w:sz w:val="32"/>
        </w:rPr>
        <w:lastRenderedPageBreak/>
        <w:t xml:space="preserve">Acronyms </w:t>
      </w:r>
    </w:p>
    <w:p w14:paraId="1292DBE7" w14:textId="77777777" w:rsidR="00D35284" w:rsidRPr="00B639F0" w:rsidRDefault="00D35284" w:rsidP="00E51D5E">
      <w:pPr>
        <w:spacing w:line="276" w:lineRule="auto"/>
        <w:rPr>
          <w:rFonts w:cs="Times New Roman"/>
        </w:rPr>
      </w:pPr>
      <w:r w:rsidRPr="00B639F0">
        <w:rPr>
          <w:rFonts w:cs="Times New Roman"/>
        </w:rPr>
        <w:t>µg/L</w:t>
      </w:r>
      <w:r w:rsidRPr="00B639F0">
        <w:rPr>
          <w:rFonts w:cs="Times New Roman"/>
        </w:rPr>
        <w:tab/>
      </w:r>
      <w:r w:rsidRPr="00B639F0">
        <w:rPr>
          <w:rFonts w:cs="Times New Roman"/>
        </w:rPr>
        <w:tab/>
        <w:t xml:space="preserve">micrograms per liter </w:t>
      </w:r>
    </w:p>
    <w:p w14:paraId="270ADFF2" w14:textId="77777777" w:rsidR="00D35284" w:rsidRPr="00B639F0" w:rsidRDefault="00D35284" w:rsidP="00E51D5E">
      <w:pPr>
        <w:spacing w:line="276" w:lineRule="auto"/>
        <w:rPr>
          <w:rFonts w:cs="Times New Roman"/>
        </w:rPr>
      </w:pPr>
      <w:r w:rsidRPr="00B639F0">
        <w:rPr>
          <w:rFonts w:cs="Times New Roman"/>
        </w:rPr>
        <w:t>AAC</w:t>
      </w:r>
      <w:r w:rsidRPr="00B639F0">
        <w:rPr>
          <w:rFonts w:cs="Times New Roman"/>
        </w:rPr>
        <w:tab/>
      </w:r>
      <w:r w:rsidRPr="00B639F0">
        <w:rPr>
          <w:rFonts w:cs="Times New Roman"/>
        </w:rPr>
        <w:tab/>
        <w:t>Alaska Administrative Code</w:t>
      </w:r>
    </w:p>
    <w:p w14:paraId="673E1523" w14:textId="77777777" w:rsidR="00D35284" w:rsidRPr="00B639F0" w:rsidRDefault="00D35284" w:rsidP="00E51D5E">
      <w:pPr>
        <w:spacing w:line="276" w:lineRule="auto"/>
        <w:rPr>
          <w:rFonts w:cs="Times New Roman"/>
        </w:rPr>
      </w:pPr>
      <w:r w:rsidRPr="00B639F0">
        <w:rPr>
          <w:rFonts w:cs="Times New Roman"/>
        </w:rPr>
        <w:t>BTEX</w:t>
      </w:r>
      <w:r w:rsidRPr="00B639F0">
        <w:rPr>
          <w:rFonts w:cs="Times New Roman"/>
        </w:rPr>
        <w:tab/>
      </w:r>
      <w:r w:rsidRPr="00B639F0">
        <w:rPr>
          <w:rFonts w:cs="Times New Roman"/>
        </w:rPr>
        <w:tab/>
        <w:t>benzene, toluene, ethylbenzene, and xylenes</w:t>
      </w:r>
    </w:p>
    <w:p w14:paraId="53BDD1D4" w14:textId="77777777" w:rsidR="00D35284" w:rsidRPr="00B639F0" w:rsidRDefault="00D35284" w:rsidP="00E51D5E">
      <w:pPr>
        <w:spacing w:line="276" w:lineRule="auto"/>
        <w:rPr>
          <w:rFonts w:cs="Times New Roman"/>
        </w:rPr>
      </w:pPr>
      <w:r w:rsidRPr="00B639F0">
        <w:rPr>
          <w:rFonts w:cs="Times New Roman"/>
        </w:rPr>
        <w:t>DEC</w:t>
      </w:r>
      <w:r w:rsidRPr="00B639F0">
        <w:rPr>
          <w:rFonts w:cs="Times New Roman"/>
        </w:rPr>
        <w:tab/>
      </w:r>
      <w:r w:rsidRPr="00B639F0">
        <w:rPr>
          <w:rFonts w:cs="Times New Roman"/>
        </w:rPr>
        <w:tab/>
        <w:t>Alaska Department of Environmental Conservation</w:t>
      </w:r>
    </w:p>
    <w:p w14:paraId="3427A45B" w14:textId="77777777" w:rsidR="00D35284" w:rsidRPr="00B639F0" w:rsidRDefault="00D35284" w:rsidP="00E51D5E">
      <w:pPr>
        <w:spacing w:line="276" w:lineRule="auto"/>
        <w:rPr>
          <w:rFonts w:cs="Times New Roman"/>
        </w:rPr>
      </w:pPr>
      <w:r w:rsidRPr="00B639F0">
        <w:rPr>
          <w:rFonts w:cs="Times New Roman"/>
        </w:rPr>
        <w:t>CWA</w:t>
      </w:r>
      <w:r w:rsidRPr="00B639F0">
        <w:rPr>
          <w:rFonts w:cs="Times New Roman"/>
        </w:rPr>
        <w:tab/>
      </w:r>
      <w:r w:rsidRPr="00B639F0">
        <w:rPr>
          <w:rFonts w:cs="Times New Roman"/>
        </w:rPr>
        <w:tab/>
        <w:t>Clean Water Act</w:t>
      </w:r>
    </w:p>
    <w:p w14:paraId="6FD917F0" w14:textId="77777777" w:rsidR="00D35284" w:rsidRPr="00B639F0" w:rsidRDefault="00D35284" w:rsidP="00E51D5E">
      <w:pPr>
        <w:spacing w:line="276" w:lineRule="auto"/>
        <w:rPr>
          <w:rFonts w:cs="Times New Roman"/>
        </w:rPr>
      </w:pPr>
      <w:r w:rsidRPr="00B639F0">
        <w:rPr>
          <w:rFonts w:cs="Times New Roman"/>
        </w:rPr>
        <w:t>DNR</w:t>
      </w:r>
      <w:r w:rsidRPr="00B639F0">
        <w:rPr>
          <w:rFonts w:cs="Times New Roman"/>
        </w:rPr>
        <w:tab/>
      </w:r>
      <w:r w:rsidRPr="00B639F0">
        <w:rPr>
          <w:rFonts w:cs="Times New Roman"/>
        </w:rPr>
        <w:tab/>
        <w:t>Alaska Department of Natural Resources</w:t>
      </w:r>
    </w:p>
    <w:p w14:paraId="76784D11" w14:textId="77777777" w:rsidR="00D35284" w:rsidRPr="00B639F0" w:rsidRDefault="00D35284" w:rsidP="00E51D5E">
      <w:pPr>
        <w:spacing w:line="276" w:lineRule="auto"/>
        <w:rPr>
          <w:rFonts w:cs="Times New Roman"/>
        </w:rPr>
      </w:pPr>
      <w:r w:rsidRPr="00B639F0">
        <w:rPr>
          <w:rFonts w:cs="Times New Roman"/>
        </w:rPr>
        <w:t>EPA</w:t>
      </w:r>
      <w:r w:rsidRPr="00B639F0">
        <w:rPr>
          <w:rFonts w:cs="Times New Roman"/>
        </w:rPr>
        <w:tab/>
      </w:r>
      <w:r w:rsidRPr="00B639F0">
        <w:rPr>
          <w:rFonts w:cs="Times New Roman"/>
        </w:rPr>
        <w:tab/>
        <w:t>U.S. Environmental Protection Agency</w:t>
      </w:r>
    </w:p>
    <w:p w14:paraId="0635B33B" w14:textId="77777777" w:rsidR="00D35284" w:rsidRPr="00B639F0" w:rsidRDefault="00D35284" w:rsidP="00E51D5E">
      <w:pPr>
        <w:spacing w:line="276" w:lineRule="auto"/>
        <w:rPr>
          <w:rFonts w:cs="Times New Roman"/>
        </w:rPr>
      </w:pPr>
      <w:r w:rsidRPr="00B639F0">
        <w:rPr>
          <w:rFonts w:cs="Times New Roman"/>
        </w:rPr>
        <w:t>NOAA</w:t>
      </w:r>
      <w:r w:rsidRPr="00B639F0">
        <w:rPr>
          <w:rFonts w:cs="Times New Roman"/>
        </w:rPr>
        <w:tab/>
      </w:r>
      <w:r w:rsidRPr="00B639F0">
        <w:rPr>
          <w:rFonts w:cs="Times New Roman"/>
        </w:rPr>
        <w:tab/>
        <w:t xml:space="preserve">National Oceanic and Atmospheric Administration </w:t>
      </w:r>
    </w:p>
    <w:p w14:paraId="55299907" w14:textId="77777777" w:rsidR="00D35284" w:rsidRPr="00B639F0" w:rsidRDefault="00D35284" w:rsidP="00E51D5E">
      <w:pPr>
        <w:spacing w:line="276" w:lineRule="auto"/>
        <w:rPr>
          <w:rFonts w:cs="Times New Roman"/>
        </w:rPr>
      </w:pPr>
      <w:r w:rsidRPr="00B639F0">
        <w:rPr>
          <w:rFonts w:cs="Times New Roman"/>
        </w:rPr>
        <w:t>PAH</w:t>
      </w:r>
      <w:r w:rsidRPr="00B639F0">
        <w:rPr>
          <w:rFonts w:cs="Times New Roman"/>
        </w:rPr>
        <w:tab/>
      </w:r>
      <w:r w:rsidRPr="00B639F0">
        <w:rPr>
          <w:rFonts w:cs="Times New Roman"/>
        </w:rPr>
        <w:tab/>
        <w:t>polynuclear or polycyclic aromatic hydrocarbons</w:t>
      </w:r>
    </w:p>
    <w:p w14:paraId="37E08B67" w14:textId="26420C37" w:rsidR="00D35284" w:rsidRPr="00B639F0" w:rsidRDefault="00D35284" w:rsidP="00E51D5E">
      <w:pPr>
        <w:spacing w:line="276" w:lineRule="auto"/>
        <w:rPr>
          <w:rFonts w:cs="Times New Roman"/>
        </w:rPr>
      </w:pPr>
      <w:r w:rsidRPr="00B639F0">
        <w:rPr>
          <w:rFonts w:cs="Times New Roman"/>
        </w:rPr>
        <w:t>PEL</w:t>
      </w:r>
      <w:r w:rsidRPr="00B639F0">
        <w:rPr>
          <w:rFonts w:cs="Times New Roman"/>
        </w:rPr>
        <w:tab/>
      </w:r>
      <w:r w:rsidRPr="00B639F0">
        <w:rPr>
          <w:rFonts w:cs="Times New Roman"/>
        </w:rPr>
        <w:tab/>
        <w:t>probable effects level</w:t>
      </w:r>
    </w:p>
    <w:p w14:paraId="3C50CAA8" w14:textId="77777777" w:rsidR="00D35284" w:rsidRPr="00B639F0" w:rsidRDefault="00D35284" w:rsidP="00E51D5E">
      <w:pPr>
        <w:spacing w:line="276" w:lineRule="auto"/>
        <w:rPr>
          <w:rFonts w:cs="Times New Roman"/>
        </w:rPr>
      </w:pPr>
      <w:r w:rsidRPr="00B639F0">
        <w:rPr>
          <w:rFonts w:cs="Times New Roman"/>
        </w:rPr>
        <w:t>QAPP</w:t>
      </w:r>
      <w:r w:rsidRPr="00B639F0">
        <w:rPr>
          <w:rFonts w:cs="Times New Roman"/>
        </w:rPr>
        <w:tab/>
      </w:r>
      <w:r w:rsidRPr="00B639F0">
        <w:rPr>
          <w:rFonts w:cs="Times New Roman"/>
        </w:rPr>
        <w:tab/>
        <w:t>quality assurance project plan</w:t>
      </w:r>
    </w:p>
    <w:p w14:paraId="027B5984" w14:textId="77777777" w:rsidR="00D35284" w:rsidRPr="00B639F0" w:rsidRDefault="00D35284" w:rsidP="00E51D5E">
      <w:pPr>
        <w:spacing w:line="276" w:lineRule="auto"/>
        <w:rPr>
          <w:rFonts w:cs="Times New Roman"/>
        </w:rPr>
      </w:pPr>
      <w:r w:rsidRPr="00B639F0">
        <w:rPr>
          <w:rFonts w:cs="Times New Roman"/>
        </w:rPr>
        <w:t>SPAR</w:t>
      </w:r>
      <w:r w:rsidRPr="00B639F0">
        <w:rPr>
          <w:rFonts w:cs="Times New Roman"/>
        </w:rPr>
        <w:tab/>
      </w:r>
      <w:r w:rsidRPr="00B639F0">
        <w:rPr>
          <w:rFonts w:cs="Times New Roman"/>
        </w:rPr>
        <w:tab/>
        <w:t>DEC’s Division of Spill Prevention and Response</w:t>
      </w:r>
    </w:p>
    <w:p w14:paraId="5125BF32" w14:textId="7052C0ED" w:rsidR="00D35284" w:rsidRPr="00B639F0" w:rsidRDefault="00D35284" w:rsidP="00394F81">
      <w:pPr>
        <w:spacing w:line="276" w:lineRule="auto"/>
        <w:ind w:left="1440" w:hanging="1440"/>
        <w:rPr>
          <w:rFonts w:cs="Times New Roman"/>
        </w:rPr>
      </w:pPr>
      <w:r w:rsidRPr="00B639F0">
        <w:rPr>
          <w:rFonts w:cs="Times New Roman"/>
        </w:rPr>
        <w:t>SQuiRT</w:t>
      </w:r>
      <w:r w:rsidRPr="00B639F0">
        <w:rPr>
          <w:rFonts w:cs="Times New Roman"/>
        </w:rPr>
        <w:tab/>
        <w:t>NOAA Screening Quick Reference Tables (http://response.restoration.noaa.gov/sites/default/files/SQuiRTs.pdf)</w:t>
      </w:r>
    </w:p>
    <w:p w14:paraId="3024BB62" w14:textId="3346468E" w:rsidR="00D35284" w:rsidRPr="00B639F0" w:rsidRDefault="00D35284" w:rsidP="00394F81">
      <w:pPr>
        <w:spacing w:line="276" w:lineRule="auto"/>
        <w:rPr>
          <w:rFonts w:cs="Times New Roman"/>
        </w:rPr>
      </w:pPr>
      <w:r w:rsidRPr="00B639F0">
        <w:rPr>
          <w:rFonts w:cs="Times New Roman"/>
        </w:rPr>
        <w:t>TEL</w:t>
      </w:r>
      <w:r w:rsidRPr="00B639F0">
        <w:rPr>
          <w:rFonts w:cs="Times New Roman"/>
        </w:rPr>
        <w:tab/>
      </w:r>
      <w:r w:rsidRPr="00B639F0">
        <w:rPr>
          <w:rFonts w:cs="Times New Roman"/>
        </w:rPr>
        <w:tab/>
        <w:t>threshold effects level</w:t>
      </w:r>
    </w:p>
    <w:p w14:paraId="0C355D65" w14:textId="77777777" w:rsidR="00D35284" w:rsidRPr="00B639F0" w:rsidRDefault="00D35284" w:rsidP="00394F81">
      <w:pPr>
        <w:spacing w:line="276" w:lineRule="auto"/>
        <w:rPr>
          <w:rFonts w:cs="Times New Roman"/>
        </w:rPr>
      </w:pPr>
      <w:r w:rsidRPr="00B639F0">
        <w:rPr>
          <w:rFonts w:cs="Times New Roman"/>
        </w:rPr>
        <w:t>TAH</w:t>
      </w:r>
      <w:r w:rsidRPr="00B639F0">
        <w:rPr>
          <w:rFonts w:cs="Times New Roman"/>
        </w:rPr>
        <w:tab/>
      </w:r>
      <w:r w:rsidRPr="00B639F0">
        <w:rPr>
          <w:rFonts w:cs="Times New Roman"/>
        </w:rPr>
        <w:tab/>
        <w:t>total aromatic hydrocarbons</w:t>
      </w:r>
    </w:p>
    <w:p w14:paraId="764CA768" w14:textId="77777777" w:rsidR="00D35284" w:rsidRPr="00B639F0" w:rsidRDefault="00D35284" w:rsidP="00394F81">
      <w:pPr>
        <w:spacing w:line="276" w:lineRule="auto"/>
        <w:rPr>
          <w:rFonts w:cs="Times New Roman"/>
        </w:rPr>
      </w:pPr>
      <w:r w:rsidRPr="00B639F0">
        <w:rPr>
          <w:rFonts w:cs="Times New Roman"/>
        </w:rPr>
        <w:t>TAqH</w:t>
      </w:r>
      <w:r w:rsidRPr="00B639F0">
        <w:rPr>
          <w:rFonts w:cs="Times New Roman"/>
        </w:rPr>
        <w:tab/>
      </w:r>
      <w:r w:rsidRPr="00B639F0">
        <w:rPr>
          <w:rFonts w:cs="Times New Roman"/>
        </w:rPr>
        <w:tab/>
        <w:t>total aqueous hydrocarbons</w:t>
      </w:r>
    </w:p>
    <w:p w14:paraId="75BF3810" w14:textId="77777777" w:rsidR="00D35284" w:rsidRPr="00B639F0" w:rsidRDefault="00D35284" w:rsidP="00394F81">
      <w:pPr>
        <w:spacing w:line="276" w:lineRule="auto"/>
        <w:rPr>
          <w:rFonts w:cs="Times New Roman"/>
        </w:rPr>
      </w:pPr>
      <w:r w:rsidRPr="00B639F0">
        <w:rPr>
          <w:rFonts w:cs="Times New Roman"/>
        </w:rPr>
        <w:t>TH</w:t>
      </w:r>
      <w:r w:rsidRPr="00B639F0">
        <w:rPr>
          <w:rFonts w:cs="Times New Roman"/>
        </w:rPr>
        <w:tab/>
      </w:r>
      <w:r w:rsidRPr="00B639F0">
        <w:rPr>
          <w:rFonts w:cs="Times New Roman"/>
        </w:rPr>
        <w:tab/>
        <w:t>total hydrocarbons</w:t>
      </w:r>
    </w:p>
    <w:p w14:paraId="43D6C49C" w14:textId="2FF94F3A" w:rsidR="00D35284" w:rsidRPr="0071303F" w:rsidRDefault="005E2224" w:rsidP="00394F81">
      <w:pPr>
        <w:spacing w:line="276" w:lineRule="auto"/>
      </w:pPr>
      <w:r>
        <w:t>WQS</w:t>
      </w:r>
      <w:r>
        <w:tab/>
      </w:r>
      <w:r>
        <w:tab/>
        <w:t>Water Quality Standards</w:t>
      </w:r>
    </w:p>
    <w:p w14:paraId="214165D2" w14:textId="77777777" w:rsidR="00C9504F" w:rsidRDefault="00C9504F" w:rsidP="00394F81">
      <w:pPr>
        <w:spacing w:line="276" w:lineRule="auto"/>
        <w:sectPr w:rsidR="00C9504F" w:rsidSect="00F83630">
          <w:pgSz w:w="12240" w:h="15840"/>
          <w:pgMar w:top="1440" w:right="1440" w:bottom="1440" w:left="1440" w:header="720" w:footer="720" w:gutter="0"/>
          <w:pgNumType w:fmt="lowerRoman"/>
          <w:cols w:space="720"/>
          <w:docGrid w:linePitch="360"/>
        </w:sectPr>
      </w:pPr>
    </w:p>
    <w:bookmarkEnd w:id="0"/>
    <w:p w14:paraId="64EBF843" w14:textId="328124CC" w:rsidR="009143BC" w:rsidRPr="00F52183" w:rsidRDefault="00671A29" w:rsidP="00746C2E">
      <w:pPr>
        <w:pStyle w:val="Heading1"/>
      </w:pPr>
      <w:r w:rsidRPr="00F52183">
        <w:rPr>
          <w:color w:val="0070C0"/>
        </w:rPr>
        <w:lastRenderedPageBreak/>
        <w:t>Purpose</w:t>
      </w:r>
      <w:r w:rsidR="00B27E92" w:rsidRPr="00F52183">
        <w:rPr>
          <w:color w:val="0070C0"/>
        </w:rPr>
        <w:t xml:space="preserve"> and Background</w:t>
      </w:r>
    </w:p>
    <w:p w14:paraId="4BA00D69" w14:textId="6AD49F4D" w:rsidR="009143BC" w:rsidRPr="00B639F0" w:rsidRDefault="00FA7C59" w:rsidP="00B639F0">
      <w:pPr>
        <w:spacing w:line="276" w:lineRule="auto"/>
      </w:pPr>
      <w:r w:rsidRPr="00B639F0">
        <w:t>This</w:t>
      </w:r>
      <w:r w:rsidR="009143BC" w:rsidRPr="00B639F0">
        <w:t xml:space="preserve"> </w:t>
      </w:r>
      <w:r w:rsidRPr="00B639F0">
        <w:t>listing methodology</w:t>
      </w:r>
      <w:r w:rsidR="009143BC" w:rsidRPr="00B639F0">
        <w:t xml:space="preserve"> is intended to be used by </w:t>
      </w:r>
      <w:r w:rsidR="005C471B" w:rsidRPr="00B639F0">
        <w:t>Alaska Department of Environmental Conservation (</w:t>
      </w:r>
      <w:r w:rsidR="009143BC" w:rsidRPr="00B639F0">
        <w:t>DEC</w:t>
      </w:r>
      <w:r w:rsidR="005C471B" w:rsidRPr="00B639F0">
        <w:t>)</w:t>
      </w:r>
      <w:r w:rsidR="009143BC" w:rsidRPr="00B639F0">
        <w:t xml:space="preserve"> staff </w:t>
      </w:r>
      <w:r w:rsidR="00D15F30" w:rsidRPr="00B639F0">
        <w:t>as guidance for</w:t>
      </w:r>
      <w:r w:rsidR="009143BC" w:rsidRPr="00B639F0">
        <w:t xml:space="preserve"> listing or delisting a waterbody on the </w:t>
      </w:r>
      <w:r w:rsidR="00A82FED" w:rsidRPr="00B639F0">
        <w:t xml:space="preserve">Clean Water Act </w:t>
      </w:r>
      <w:r w:rsidR="00977B6D" w:rsidRPr="00B639F0">
        <w:rPr>
          <w:rFonts w:cs="Times New Roman"/>
        </w:rPr>
        <w:t>§</w:t>
      </w:r>
      <w:r w:rsidR="009143BC" w:rsidRPr="00B639F0">
        <w:t xml:space="preserve">303(d) list as impaired </w:t>
      </w:r>
      <w:r w:rsidR="00D15F30" w:rsidRPr="00B639F0">
        <w:t>from</w:t>
      </w:r>
      <w:r w:rsidR="009143BC" w:rsidRPr="00B639F0">
        <w:t xml:space="preserve"> </w:t>
      </w:r>
      <w:r w:rsidR="00A542AF" w:rsidRPr="00B639F0">
        <w:t>petroleum hydrocarbons, oils and grease</w:t>
      </w:r>
      <w:r w:rsidR="009143BC" w:rsidRPr="00B639F0">
        <w:t xml:space="preserve">. The </w:t>
      </w:r>
      <w:r w:rsidR="00D15F30" w:rsidRPr="00B639F0">
        <w:t>methodology</w:t>
      </w:r>
      <w:r w:rsidR="009143BC" w:rsidRPr="00B639F0">
        <w:t xml:space="preserve"> includes information on the quantity and characteristics of data needed to be deemed sufficient and credible for th</w:t>
      </w:r>
      <w:r w:rsidR="00935FD6" w:rsidRPr="00B639F0">
        <w:t>e</w:t>
      </w:r>
      <w:r w:rsidR="009143BC" w:rsidRPr="00B639F0">
        <w:t>s</w:t>
      </w:r>
      <w:r w:rsidR="00935FD6" w:rsidRPr="00B639F0">
        <w:t>e</w:t>
      </w:r>
      <w:r w:rsidR="009143BC" w:rsidRPr="00B639F0">
        <w:t xml:space="preserve"> decision</w:t>
      </w:r>
      <w:r w:rsidR="00935FD6" w:rsidRPr="00B639F0">
        <w:t>s</w:t>
      </w:r>
      <w:r w:rsidR="009143BC" w:rsidRPr="00B639F0">
        <w:t xml:space="preserve">. The </w:t>
      </w:r>
      <w:r w:rsidR="00D15F30" w:rsidRPr="00B639F0">
        <w:t>methodology</w:t>
      </w:r>
      <w:r w:rsidR="009143BC" w:rsidRPr="00B639F0">
        <w:t xml:space="preserve"> presents the applicable regulations as adopted in the Alaska </w:t>
      </w:r>
      <w:r w:rsidR="00A82FED" w:rsidRPr="00B639F0">
        <w:t>Water Quality Standards (</w:t>
      </w:r>
      <w:r w:rsidR="009143BC" w:rsidRPr="00B639F0">
        <w:t>WQS</w:t>
      </w:r>
      <w:r w:rsidR="00A82FED" w:rsidRPr="00B639F0">
        <w:t>) in</w:t>
      </w:r>
      <w:r w:rsidR="009143BC" w:rsidRPr="00B639F0">
        <w:t xml:space="preserve"> 18 AAC 70, </w:t>
      </w:r>
      <w:r w:rsidR="00671A29">
        <w:t xml:space="preserve">and </w:t>
      </w:r>
      <w:r w:rsidR="009143BC" w:rsidRPr="00B639F0">
        <w:t>discusses challenges to mak</w:t>
      </w:r>
      <w:r w:rsidR="00184197" w:rsidRPr="00B639F0">
        <w:t>ing</w:t>
      </w:r>
      <w:r w:rsidR="009143BC" w:rsidRPr="00B639F0">
        <w:t xml:space="preserve"> listing and delisting determinations based on sampling data for volatile and semi-volatile chemicals</w:t>
      </w:r>
      <w:r w:rsidR="00FE5249" w:rsidRPr="00B639F0">
        <w:t>.</w:t>
      </w:r>
      <w:r w:rsidR="009143BC" w:rsidRPr="00B639F0">
        <w:t xml:space="preserve"> </w:t>
      </w:r>
      <w:r w:rsidR="00FE5249" w:rsidRPr="00B639F0">
        <w:t xml:space="preserve">These guidelines are designed to </w:t>
      </w:r>
      <w:r w:rsidR="00671A29">
        <w:t xml:space="preserve">assure that sufficient data are gathered </w:t>
      </w:r>
      <w:r w:rsidR="00FE5249" w:rsidRPr="00B639F0">
        <w:t xml:space="preserve">to </w:t>
      </w:r>
      <w:r w:rsidR="009143BC" w:rsidRPr="00B639F0">
        <w:t>determin</w:t>
      </w:r>
      <w:r w:rsidR="00FE5249" w:rsidRPr="00B639F0">
        <w:t>e</w:t>
      </w:r>
      <w:r w:rsidR="009143BC" w:rsidRPr="00B639F0">
        <w:t xml:space="preserve"> if a waterbody is impaired</w:t>
      </w:r>
      <w:r w:rsidR="008F591D" w:rsidRPr="00B639F0">
        <w:t xml:space="preserve"> or attaining </w:t>
      </w:r>
      <w:r w:rsidR="005E2224">
        <w:t>WQS</w:t>
      </w:r>
      <w:r w:rsidR="00671A29">
        <w:t>,</w:t>
      </w:r>
      <w:r w:rsidR="00FE5249" w:rsidRPr="00B639F0">
        <w:t xml:space="preserve"> and </w:t>
      </w:r>
      <w:r w:rsidR="000E3B63" w:rsidRPr="00B639F0">
        <w:t xml:space="preserve">to </w:t>
      </w:r>
      <w:r w:rsidR="00FE5249" w:rsidRPr="00B639F0">
        <w:t>characterize the areal extent of the impairment (if necessary)</w:t>
      </w:r>
      <w:r w:rsidR="009143BC" w:rsidRPr="00B639F0">
        <w:t>.</w:t>
      </w:r>
    </w:p>
    <w:p w14:paraId="562F64A3" w14:textId="488EDA73" w:rsidR="009143BC" w:rsidRPr="0071303F" w:rsidRDefault="009143BC">
      <w:pPr>
        <w:pStyle w:val="Heading2"/>
      </w:pPr>
      <w:bookmarkStart w:id="2" w:name="_Toc267067318"/>
      <w:bookmarkStart w:id="3" w:name="_Toc354750886"/>
      <w:bookmarkStart w:id="4" w:name="_Toc424721499"/>
      <w:r w:rsidRPr="0071303F">
        <w:t>Parameter-Specific Regulations and Criteria</w:t>
      </w:r>
      <w:bookmarkEnd w:id="2"/>
      <w:bookmarkEnd w:id="3"/>
      <w:bookmarkEnd w:id="4"/>
    </w:p>
    <w:p w14:paraId="776A6E79" w14:textId="4F8D4AF8" w:rsidR="00493225" w:rsidRDefault="009143BC" w:rsidP="00C9504F">
      <w:pPr>
        <w:spacing w:line="276" w:lineRule="auto"/>
      </w:pPr>
      <w:r w:rsidRPr="00B639F0">
        <w:t xml:space="preserve">Alaska water quality criteria for petroleum hydrocarbons, oils and grease are specified in </w:t>
      </w:r>
      <w:r w:rsidR="00977B6D" w:rsidRPr="00B639F0">
        <w:br/>
      </w:r>
      <w:r w:rsidRPr="00B639F0">
        <w:t>18</w:t>
      </w:r>
      <w:r w:rsidR="00447157" w:rsidRPr="00B639F0">
        <w:t> </w:t>
      </w:r>
      <w:r w:rsidRPr="00B639F0">
        <w:t>AAC</w:t>
      </w:r>
      <w:r w:rsidR="00447157" w:rsidRPr="00B639F0">
        <w:t> </w:t>
      </w:r>
      <w:r w:rsidRPr="00B639F0">
        <w:t>70.020(b)(5) for fresh water uses and in 18</w:t>
      </w:r>
      <w:r w:rsidR="00447157" w:rsidRPr="00B639F0">
        <w:t> </w:t>
      </w:r>
      <w:r w:rsidRPr="00B639F0">
        <w:t>AAC</w:t>
      </w:r>
      <w:r w:rsidR="00447157" w:rsidRPr="00B639F0">
        <w:t> </w:t>
      </w:r>
      <w:r w:rsidRPr="00B639F0">
        <w:t xml:space="preserve">70.020(b)(17) for marine water uses. </w:t>
      </w:r>
      <w:r w:rsidR="00A542AF" w:rsidRPr="00B639F0">
        <w:t>Petroleum hydrocarbons, oils and grease</w:t>
      </w:r>
      <w:r w:rsidRPr="00B639F0">
        <w:t xml:space="preserve"> criteria are established for seven fresh water and seven marine water designated uses. The designated uses and criteria applicable to the waterbody of interest need to be identified before applying the criteria. Generally, </w:t>
      </w:r>
      <w:r w:rsidR="00977B6D" w:rsidRPr="00B639F0">
        <w:t xml:space="preserve">a waterbody is </w:t>
      </w:r>
      <w:r w:rsidRPr="00B639F0">
        <w:t xml:space="preserve">designated either for fresh water designated uses or marine water designated uses, including </w:t>
      </w:r>
      <w:r w:rsidR="00977B6D" w:rsidRPr="00B639F0">
        <w:t xml:space="preserve">the </w:t>
      </w:r>
      <w:r w:rsidRPr="00B639F0">
        <w:t xml:space="preserve">corresponding criteria with the exception of </w:t>
      </w:r>
      <w:r w:rsidR="00977B6D" w:rsidRPr="00B639F0">
        <w:t xml:space="preserve">a waterbody </w:t>
      </w:r>
      <w:r w:rsidRPr="00B639F0">
        <w:t xml:space="preserve">that </w:t>
      </w:r>
      <w:r w:rsidR="00977B6D" w:rsidRPr="00B639F0">
        <w:t xml:space="preserve">has </w:t>
      </w:r>
      <w:r w:rsidRPr="00B639F0">
        <w:t>been reclassified (18</w:t>
      </w:r>
      <w:r w:rsidR="00447157" w:rsidRPr="00B639F0">
        <w:t> </w:t>
      </w:r>
      <w:r w:rsidRPr="00B639F0">
        <w:t>AAC</w:t>
      </w:r>
      <w:r w:rsidR="00447157" w:rsidRPr="00B639F0">
        <w:t> </w:t>
      </w:r>
      <w:r w:rsidRPr="00B639F0">
        <w:t xml:space="preserve">70.230) or </w:t>
      </w:r>
      <w:r w:rsidR="00977B6D" w:rsidRPr="00B639F0">
        <w:t>a waterbody</w:t>
      </w:r>
      <w:r w:rsidRPr="00B639F0">
        <w:t xml:space="preserve"> subject to site-specific criteria (18 AAC 70.236). The designated uses for fresh water and marine water may differ (e.g., water supply for drinking, culinary, and food processing for fresh waters versus harvesting for consumption of raw mollusks or other raw aquatic life for marine waters).</w:t>
      </w:r>
    </w:p>
    <w:p w14:paraId="52C60A02" w14:textId="2FCF7282" w:rsidR="00493225" w:rsidRPr="00B639F0" w:rsidRDefault="00493225" w:rsidP="00493225">
      <w:pPr>
        <w:pStyle w:val="Caption"/>
        <w:rPr>
          <w:szCs w:val="22"/>
        </w:rPr>
      </w:pPr>
      <w:bookmarkStart w:id="5" w:name="_Toc430263204"/>
      <w:r>
        <w:t xml:space="preserve">Table </w:t>
      </w:r>
      <w:r w:rsidR="00AD39AF">
        <w:rPr>
          <w:noProof/>
        </w:rPr>
        <w:fldChar w:fldCharType="begin"/>
      </w:r>
      <w:r w:rsidR="00AD39AF">
        <w:rPr>
          <w:noProof/>
        </w:rPr>
        <w:instrText xml:space="preserve"> STYLEREF 1 \s </w:instrText>
      </w:r>
      <w:r w:rsidR="00AD39AF">
        <w:rPr>
          <w:noProof/>
        </w:rPr>
        <w:fldChar w:fldCharType="separate"/>
      </w:r>
      <w:r>
        <w:rPr>
          <w:noProof/>
        </w:rPr>
        <w:t>1</w:t>
      </w:r>
      <w:r w:rsidR="00AD39AF">
        <w:rPr>
          <w:noProof/>
        </w:rPr>
        <w:fldChar w:fldCharType="end"/>
      </w:r>
      <w:r>
        <w:t>.</w:t>
      </w:r>
      <w:r w:rsidR="00AD39AF">
        <w:rPr>
          <w:noProof/>
        </w:rPr>
        <w:fldChar w:fldCharType="begin"/>
      </w:r>
      <w:r w:rsidR="00AD39AF">
        <w:rPr>
          <w:noProof/>
        </w:rPr>
        <w:instrText xml:space="preserve"> SEQ Table \* ARABIC \s 1 </w:instrText>
      </w:r>
      <w:r w:rsidR="00AD39AF">
        <w:rPr>
          <w:noProof/>
        </w:rPr>
        <w:fldChar w:fldCharType="separate"/>
      </w:r>
      <w:r>
        <w:rPr>
          <w:noProof/>
        </w:rPr>
        <w:t>1</w:t>
      </w:r>
      <w:r w:rsidR="00AD39AF">
        <w:rPr>
          <w:noProof/>
        </w:rPr>
        <w:fldChar w:fldCharType="end"/>
      </w:r>
      <w:r>
        <w:t>. Petroleum hydrocarbon, oils and grease criteria for fresh water uses</w:t>
      </w:r>
      <w:bookmarkEnd w:id="5"/>
    </w:p>
    <w:tbl>
      <w:tblPr>
        <w:tblW w:w="4795" w:type="pct"/>
        <w:jc w:val="center"/>
        <w:tblBorders>
          <w:top w:val="double" w:sz="12" w:space="0" w:color="auto"/>
          <w:left w:val="double" w:sz="12" w:space="0" w:color="auto"/>
          <w:bottom w:val="double" w:sz="12" w:space="0" w:color="auto"/>
          <w:right w:val="double" w:sz="12" w:space="0" w:color="auto"/>
          <w:insideH w:val="single" w:sz="6" w:space="0" w:color="auto"/>
          <w:insideV w:val="single" w:sz="6" w:space="0" w:color="auto"/>
        </w:tblBorders>
        <w:tblLook w:val="0000" w:firstRow="0" w:lastRow="0" w:firstColumn="0" w:lastColumn="0" w:noHBand="0" w:noVBand="0"/>
      </w:tblPr>
      <w:tblGrid>
        <w:gridCol w:w="3425"/>
        <w:gridCol w:w="5542"/>
      </w:tblGrid>
      <w:tr w:rsidR="00491FB9" w:rsidRPr="00491FB9" w14:paraId="026504E2" w14:textId="77777777" w:rsidTr="00493225">
        <w:trPr>
          <w:cantSplit/>
          <w:tblHeader/>
          <w:jc w:val="center"/>
        </w:trPr>
        <w:tc>
          <w:tcPr>
            <w:tcW w:w="1910" w:type="pct"/>
            <w:tcBorders>
              <w:top w:val="single" w:sz="4" w:space="0" w:color="auto"/>
              <w:left w:val="single" w:sz="4" w:space="0" w:color="auto"/>
              <w:bottom w:val="single" w:sz="4" w:space="0" w:color="auto"/>
            </w:tcBorders>
          </w:tcPr>
          <w:p w14:paraId="0790FF57" w14:textId="77777777" w:rsidR="00491FB9" w:rsidRPr="00491FB9" w:rsidRDefault="00491FB9" w:rsidP="00491FB9">
            <w:pPr>
              <w:rPr>
                <w:b/>
              </w:rPr>
            </w:pPr>
            <w:bookmarkStart w:id="6" w:name="_Toc240863592"/>
            <w:r w:rsidRPr="00491FB9">
              <w:rPr>
                <w:b/>
              </w:rPr>
              <w:t>(5)  PETROLEUM HYDROCARBONS, OILS AND GREASE, FOR FRESH WATER USES</w:t>
            </w:r>
            <w:bookmarkEnd w:id="6"/>
          </w:p>
        </w:tc>
        <w:tc>
          <w:tcPr>
            <w:tcW w:w="3090" w:type="pct"/>
            <w:tcBorders>
              <w:top w:val="single" w:sz="4" w:space="0" w:color="auto"/>
              <w:bottom w:val="single" w:sz="4" w:space="0" w:color="auto"/>
              <w:right w:val="single" w:sz="4" w:space="0" w:color="auto"/>
            </w:tcBorders>
          </w:tcPr>
          <w:p w14:paraId="60A05836" w14:textId="77777777" w:rsidR="00491FB9" w:rsidRPr="00491FB9" w:rsidRDefault="00491FB9" w:rsidP="00491FB9">
            <w:pPr>
              <w:spacing w:line="276" w:lineRule="auto"/>
              <w:rPr>
                <w:b/>
              </w:rPr>
            </w:pPr>
          </w:p>
        </w:tc>
      </w:tr>
      <w:tr w:rsidR="00491FB9" w:rsidRPr="00491FB9" w14:paraId="0D2B5B92" w14:textId="77777777" w:rsidTr="00C9504F">
        <w:trPr>
          <w:cantSplit/>
          <w:jc w:val="center"/>
        </w:trPr>
        <w:tc>
          <w:tcPr>
            <w:tcW w:w="1910" w:type="pct"/>
            <w:tcBorders>
              <w:top w:val="single" w:sz="4" w:space="0" w:color="auto"/>
              <w:left w:val="single" w:sz="4" w:space="0" w:color="auto"/>
              <w:bottom w:val="single" w:sz="4" w:space="0" w:color="auto"/>
            </w:tcBorders>
          </w:tcPr>
          <w:p w14:paraId="78790FD7" w14:textId="77777777" w:rsidR="00491FB9" w:rsidRPr="00491FB9" w:rsidRDefault="00491FB9" w:rsidP="00491FB9">
            <w:bookmarkStart w:id="7" w:name="_Toc240863593"/>
            <w:r w:rsidRPr="00491FB9">
              <w:t>(A) Water Supply</w:t>
            </w:r>
            <w:bookmarkEnd w:id="7"/>
            <w:r w:rsidRPr="00491FB9">
              <w:t xml:space="preserve"> </w:t>
            </w:r>
          </w:p>
          <w:p w14:paraId="57619EB9" w14:textId="77777777" w:rsidR="00491FB9" w:rsidRPr="00491FB9" w:rsidRDefault="00491FB9" w:rsidP="00491FB9">
            <w:bookmarkStart w:id="8" w:name="_Toc240863594"/>
            <w:r w:rsidRPr="00491FB9">
              <w:t>(i)  drinking, culinary, and food processing</w:t>
            </w:r>
            <w:bookmarkEnd w:id="8"/>
          </w:p>
        </w:tc>
        <w:tc>
          <w:tcPr>
            <w:tcW w:w="3090" w:type="pct"/>
            <w:tcBorders>
              <w:top w:val="single" w:sz="4" w:space="0" w:color="auto"/>
              <w:bottom w:val="single" w:sz="4" w:space="0" w:color="auto"/>
              <w:right w:val="single" w:sz="4" w:space="0" w:color="auto"/>
            </w:tcBorders>
          </w:tcPr>
          <w:p w14:paraId="5712F41A" w14:textId="77777777" w:rsidR="00491FB9" w:rsidRPr="00491FB9" w:rsidRDefault="00491FB9" w:rsidP="00491FB9">
            <w:pPr>
              <w:spacing w:line="276" w:lineRule="auto"/>
            </w:pPr>
            <w:r w:rsidRPr="00491FB9">
              <w:t xml:space="preserve">May not cause a visible sheen upon the surface of the water.  May not exceed concentrations that individually or in combination impart odor or taste as determined by organoleptic tests. </w:t>
            </w:r>
          </w:p>
        </w:tc>
      </w:tr>
      <w:tr w:rsidR="00491FB9" w:rsidRPr="00491FB9" w14:paraId="109C154B" w14:textId="77777777" w:rsidTr="00C9504F">
        <w:trPr>
          <w:cantSplit/>
          <w:jc w:val="center"/>
        </w:trPr>
        <w:tc>
          <w:tcPr>
            <w:tcW w:w="1910" w:type="pct"/>
            <w:tcBorders>
              <w:top w:val="single" w:sz="4" w:space="0" w:color="auto"/>
              <w:left w:val="single" w:sz="4" w:space="0" w:color="auto"/>
              <w:bottom w:val="single" w:sz="4" w:space="0" w:color="auto"/>
            </w:tcBorders>
          </w:tcPr>
          <w:p w14:paraId="5364A683" w14:textId="77777777" w:rsidR="00491FB9" w:rsidRPr="00491FB9" w:rsidRDefault="00491FB9" w:rsidP="00491FB9">
            <w:bookmarkStart w:id="9" w:name="_Toc240863595"/>
            <w:r w:rsidRPr="00491FB9">
              <w:t>(A) Water Supply</w:t>
            </w:r>
            <w:bookmarkEnd w:id="9"/>
            <w:r w:rsidRPr="00491FB9">
              <w:t xml:space="preserve"> </w:t>
            </w:r>
          </w:p>
          <w:p w14:paraId="5754CB73" w14:textId="77777777" w:rsidR="00491FB9" w:rsidRPr="00491FB9" w:rsidRDefault="00491FB9" w:rsidP="00491FB9">
            <w:bookmarkStart w:id="10" w:name="_Toc240863596"/>
            <w:r w:rsidRPr="00491FB9">
              <w:t>(ii)  agriculture, including irrigation and stock watering</w:t>
            </w:r>
            <w:bookmarkEnd w:id="10"/>
          </w:p>
        </w:tc>
        <w:tc>
          <w:tcPr>
            <w:tcW w:w="3090" w:type="pct"/>
            <w:tcBorders>
              <w:top w:val="single" w:sz="4" w:space="0" w:color="auto"/>
              <w:bottom w:val="single" w:sz="4" w:space="0" w:color="auto"/>
              <w:right w:val="single" w:sz="4" w:space="0" w:color="auto"/>
            </w:tcBorders>
          </w:tcPr>
          <w:p w14:paraId="6B0DEF24" w14:textId="77777777" w:rsidR="00491FB9" w:rsidRPr="00491FB9" w:rsidRDefault="00491FB9" w:rsidP="00491FB9">
            <w:pPr>
              <w:spacing w:line="276" w:lineRule="auto"/>
            </w:pPr>
            <w:r w:rsidRPr="00491FB9">
              <w:t xml:space="preserve">May not cause a visible sheen upon the surface of the water. </w:t>
            </w:r>
          </w:p>
        </w:tc>
      </w:tr>
      <w:tr w:rsidR="00491FB9" w:rsidRPr="00491FB9" w14:paraId="6DB7C24C" w14:textId="77777777" w:rsidTr="00C9504F">
        <w:trPr>
          <w:cantSplit/>
          <w:trHeight w:val="2888"/>
          <w:jc w:val="center"/>
        </w:trPr>
        <w:tc>
          <w:tcPr>
            <w:tcW w:w="1910" w:type="pct"/>
            <w:tcBorders>
              <w:top w:val="single" w:sz="4" w:space="0" w:color="auto"/>
              <w:left w:val="single" w:sz="4" w:space="0" w:color="auto"/>
              <w:bottom w:val="single" w:sz="4" w:space="0" w:color="auto"/>
            </w:tcBorders>
          </w:tcPr>
          <w:p w14:paraId="4EE99039" w14:textId="77777777" w:rsidR="00491FB9" w:rsidRPr="00491FB9" w:rsidRDefault="00491FB9" w:rsidP="00491FB9">
            <w:bookmarkStart w:id="11" w:name="_Toc240863597"/>
            <w:r w:rsidRPr="00491FB9">
              <w:lastRenderedPageBreak/>
              <w:t>(A) Water Supply</w:t>
            </w:r>
            <w:bookmarkEnd w:id="11"/>
            <w:r w:rsidRPr="00491FB9">
              <w:t xml:space="preserve"> </w:t>
            </w:r>
          </w:p>
          <w:p w14:paraId="714EBA76" w14:textId="77777777" w:rsidR="00491FB9" w:rsidRPr="00491FB9" w:rsidRDefault="00491FB9" w:rsidP="00491FB9">
            <w:bookmarkStart w:id="12" w:name="_Toc240863598"/>
            <w:r w:rsidRPr="00491FB9">
              <w:t>(iii)  aquaculture</w:t>
            </w:r>
            <w:bookmarkEnd w:id="12"/>
          </w:p>
        </w:tc>
        <w:tc>
          <w:tcPr>
            <w:tcW w:w="3090" w:type="pct"/>
            <w:tcBorders>
              <w:top w:val="single" w:sz="4" w:space="0" w:color="auto"/>
              <w:bottom w:val="single" w:sz="4" w:space="0" w:color="auto"/>
              <w:right w:val="single" w:sz="4" w:space="0" w:color="auto"/>
            </w:tcBorders>
          </w:tcPr>
          <w:p w14:paraId="601A583B" w14:textId="4D862F9C" w:rsidR="00491FB9" w:rsidRPr="00491FB9" w:rsidRDefault="00491FB9" w:rsidP="00491FB9">
            <w:pPr>
              <w:spacing w:line="276" w:lineRule="auto"/>
            </w:pPr>
            <w:r w:rsidRPr="00491FB9">
              <w:t>Total aqueous hydrocarbons (TAqH) in the water column may not exceed 15 μg/l (see note 7)</w:t>
            </w:r>
            <w:bookmarkStart w:id="13" w:name="_Ref430176933"/>
            <w:r w:rsidR="00C9504F">
              <w:rPr>
                <w:rStyle w:val="FootnoteReference"/>
              </w:rPr>
              <w:footnoteReference w:id="1"/>
            </w:r>
            <w:bookmarkEnd w:id="13"/>
            <w:r w:rsidRPr="00491FB9">
              <w:t>.  Total aromatic hydrocarbons (TAH) in the water column may not exceed 10 μg/l (see note 7)</w:t>
            </w:r>
            <w:r w:rsidR="00C9504F">
              <w:rPr>
                <w:vertAlign w:val="superscript"/>
              </w:rPr>
              <w:t>1</w:t>
            </w:r>
            <w:r w:rsidRPr="00491FB9">
              <w:t xml:space="preserve">.  There may be no concentrations of petroleum hydrocarbons, animal fats, or vegetable oils in shoreline or bottom sediments that cause deleterious effects to aquatic life.  Surface waters and adjoining shorelines must be virtually free from floating oil, film, sheen, or discoloration. </w:t>
            </w:r>
          </w:p>
        </w:tc>
      </w:tr>
      <w:tr w:rsidR="00491FB9" w:rsidRPr="00491FB9" w14:paraId="19F9A818" w14:textId="77777777" w:rsidTr="00C9504F">
        <w:trPr>
          <w:cantSplit/>
          <w:jc w:val="center"/>
        </w:trPr>
        <w:tc>
          <w:tcPr>
            <w:tcW w:w="1910" w:type="pct"/>
            <w:tcBorders>
              <w:top w:val="single" w:sz="4" w:space="0" w:color="auto"/>
              <w:left w:val="single" w:sz="4" w:space="0" w:color="auto"/>
              <w:bottom w:val="single" w:sz="4" w:space="0" w:color="auto"/>
            </w:tcBorders>
          </w:tcPr>
          <w:p w14:paraId="3DA5C8E8" w14:textId="77777777" w:rsidR="00491FB9" w:rsidRPr="00491FB9" w:rsidRDefault="00491FB9" w:rsidP="00491FB9">
            <w:bookmarkStart w:id="14" w:name="_Toc240863599"/>
            <w:r w:rsidRPr="00491FB9">
              <w:t>(A) Water Supply</w:t>
            </w:r>
            <w:bookmarkEnd w:id="14"/>
            <w:r w:rsidRPr="00491FB9">
              <w:t xml:space="preserve"> </w:t>
            </w:r>
          </w:p>
          <w:p w14:paraId="1C194A52" w14:textId="77777777" w:rsidR="00491FB9" w:rsidRPr="00491FB9" w:rsidRDefault="00491FB9" w:rsidP="00491FB9">
            <w:bookmarkStart w:id="15" w:name="_Toc240863600"/>
            <w:r w:rsidRPr="00491FB9">
              <w:t>(iv)  industrial</w:t>
            </w:r>
            <w:bookmarkEnd w:id="15"/>
          </w:p>
        </w:tc>
        <w:tc>
          <w:tcPr>
            <w:tcW w:w="3090" w:type="pct"/>
            <w:tcBorders>
              <w:top w:val="single" w:sz="4" w:space="0" w:color="auto"/>
              <w:bottom w:val="single" w:sz="4" w:space="0" w:color="auto"/>
              <w:right w:val="single" w:sz="4" w:space="0" w:color="auto"/>
            </w:tcBorders>
          </w:tcPr>
          <w:p w14:paraId="1144DDB2" w14:textId="77777777" w:rsidR="00491FB9" w:rsidRPr="00491FB9" w:rsidRDefault="00491FB9" w:rsidP="00491FB9">
            <w:pPr>
              <w:spacing w:line="276" w:lineRule="auto"/>
            </w:pPr>
            <w:r w:rsidRPr="00491FB9">
              <w:t xml:space="preserve">May not make the water unfit or unsafe for the use. </w:t>
            </w:r>
          </w:p>
        </w:tc>
      </w:tr>
      <w:tr w:rsidR="00491FB9" w:rsidRPr="00491FB9" w14:paraId="01E919ED" w14:textId="77777777" w:rsidTr="00C9504F">
        <w:trPr>
          <w:cantSplit/>
          <w:jc w:val="center"/>
        </w:trPr>
        <w:tc>
          <w:tcPr>
            <w:tcW w:w="1910" w:type="pct"/>
            <w:tcBorders>
              <w:top w:val="single" w:sz="4" w:space="0" w:color="auto"/>
              <w:left w:val="single" w:sz="4" w:space="0" w:color="auto"/>
              <w:bottom w:val="single" w:sz="4" w:space="0" w:color="auto"/>
            </w:tcBorders>
          </w:tcPr>
          <w:p w14:paraId="19B25D90" w14:textId="77777777" w:rsidR="00491FB9" w:rsidRPr="00491FB9" w:rsidRDefault="00491FB9" w:rsidP="00491FB9">
            <w:bookmarkStart w:id="16" w:name="_Toc240863601"/>
            <w:r w:rsidRPr="00491FB9">
              <w:t>(B) Water Recreation</w:t>
            </w:r>
            <w:bookmarkEnd w:id="16"/>
            <w:r w:rsidRPr="00491FB9">
              <w:t xml:space="preserve"> </w:t>
            </w:r>
          </w:p>
          <w:p w14:paraId="6ABC23AB" w14:textId="77777777" w:rsidR="00491FB9" w:rsidRPr="00491FB9" w:rsidRDefault="00491FB9" w:rsidP="00491FB9">
            <w:bookmarkStart w:id="17" w:name="_Toc240863602"/>
            <w:r w:rsidRPr="00491FB9">
              <w:t>(i)  contact recreation</w:t>
            </w:r>
            <w:bookmarkEnd w:id="17"/>
          </w:p>
        </w:tc>
        <w:tc>
          <w:tcPr>
            <w:tcW w:w="3090" w:type="pct"/>
            <w:tcBorders>
              <w:top w:val="single" w:sz="4" w:space="0" w:color="auto"/>
              <w:bottom w:val="single" w:sz="4" w:space="0" w:color="auto"/>
              <w:right w:val="single" w:sz="4" w:space="0" w:color="auto"/>
            </w:tcBorders>
          </w:tcPr>
          <w:p w14:paraId="4EB14677" w14:textId="77777777" w:rsidR="00491FB9" w:rsidRPr="00491FB9" w:rsidRDefault="00491FB9" w:rsidP="00491FB9">
            <w:pPr>
              <w:spacing w:line="276" w:lineRule="auto"/>
            </w:pPr>
            <w:r w:rsidRPr="00491FB9">
              <w:t>May not cause a film, sheen, or discoloration on the surface or floor of the waterbody or adjoining shorelines.  Surface waters must be virtually free from floating oils.</w:t>
            </w:r>
          </w:p>
        </w:tc>
      </w:tr>
      <w:tr w:rsidR="00491FB9" w:rsidRPr="00491FB9" w14:paraId="42A66B31" w14:textId="77777777" w:rsidTr="00C9504F">
        <w:trPr>
          <w:cantSplit/>
          <w:jc w:val="center"/>
        </w:trPr>
        <w:tc>
          <w:tcPr>
            <w:tcW w:w="1910" w:type="pct"/>
            <w:tcBorders>
              <w:top w:val="single" w:sz="4" w:space="0" w:color="auto"/>
              <w:left w:val="single" w:sz="4" w:space="0" w:color="auto"/>
              <w:bottom w:val="single" w:sz="4" w:space="0" w:color="auto"/>
            </w:tcBorders>
          </w:tcPr>
          <w:p w14:paraId="669452A4" w14:textId="77777777" w:rsidR="00491FB9" w:rsidRPr="00491FB9" w:rsidRDefault="00491FB9" w:rsidP="00491FB9">
            <w:bookmarkStart w:id="18" w:name="_Toc240863603"/>
            <w:r w:rsidRPr="00491FB9">
              <w:t>(B) Water Recreation</w:t>
            </w:r>
            <w:bookmarkEnd w:id="18"/>
            <w:r w:rsidRPr="00491FB9">
              <w:t xml:space="preserve"> </w:t>
            </w:r>
          </w:p>
          <w:p w14:paraId="63334A99" w14:textId="77777777" w:rsidR="00491FB9" w:rsidRPr="00491FB9" w:rsidRDefault="00491FB9" w:rsidP="00491FB9">
            <w:bookmarkStart w:id="19" w:name="_Toc240863604"/>
            <w:r w:rsidRPr="00491FB9">
              <w:t>(ii) secondary recreation</w:t>
            </w:r>
            <w:bookmarkEnd w:id="19"/>
          </w:p>
        </w:tc>
        <w:tc>
          <w:tcPr>
            <w:tcW w:w="3090" w:type="pct"/>
            <w:tcBorders>
              <w:top w:val="single" w:sz="4" w:space="0" w:color="auto"/>
              <w:bottom w:val="single" w:sz="4" w:space="0" w:color="auto"/>
              <w:right w:val="single" w:sz="4" w:space="0" w:color="auto"/>
            </w:tcBorders>
          </w:tcPr>
          <w:p w14:paraId="41C1CB70" w14:textId="77777777" w:rsidR="00491FB9" w:rsidRPr="00491FB9" w:rsidRDefault="00491FB9" w:rsidP="00491FB9">
            <w:pPr>
              <w:spacing w:line="276" w:lineRule="auto"/>
            </w:pPr>
            <w:r w:rsidRPr="00491FB9">
              <w:t>Same as (5)(B)(i).</w:t>
            </w:r>
          </w:p>
        </w:tc>
      </w:tr>
      <w:tr w:rsidR="00491FB9" w:rsidRPr="00491FB9" w14:paraId="7F580564" w14:textId="77777777" w:rsidTr="00C9504F">
        <w:trPr>
          <w:cantSplit/>
          <w:jc w:val="center"/>
        </w:trPr>
        <w:tc>
          <w:tcPr>
            <w:tcW w:w="1910" w:type="pct"/>
            <w:tcBorders>
              <w:top w:val="single" w:sz="4" w:space="0" w:color="auto"/>
              <w:left w:val="single" w:sz="4" w:space="0" w:color="auto"/>
              <w:bottom w:val="single" w:sz="4" w:space="0" w:color="auto"/>
            </w:tcBorders>
          </w:tcPr>
          <w:p w14:paraId="056B1909" w14:textId="77777777" w:rsidR="00491FB9" w:rsidRPr="00491FB9" w:rsidRDefault="00491FB9" w:rsidP="00491FB9">
            <w:bookmarkStart w:id="20" w:name="_Toc240863605"/>
            <w:r w:rsidRPr="00491FB9">
              <w:t>(C)  Growth and Propagation of Fish, Shellfish, Other Aquatic Life, and Wildlife</w:t>
            </w:r>
            <w:bookmarkEnd w:id="20"/>
          </w:p>
        </w:tc>
        <w:tc>
          <w:tcPr>
            <w:tcW w:w="3090" w:type="pct"/>
            <w:tcBorders>
              <w:top w:val="single" w:sz="4" w:space="0" w:color="auto"/>
              <w:bottom w:val="single" w:sz="4" w:space="0" w:color="auto"/>
              <w:right w:val="single" w:sz="4" w:space="0" w:color="auto"/>
            </w:tcBorders>
          </w:tcPr>
          <w:p w14:paraId="78AC26C3" w14:textId="77777777" w:rsidR="00491FB9" w:rsidRPr="00491FB9" w:rsidRDefault="00491FB9" w:rsidP="00491FB9">
            <w:pPr>
              <w:spacing w:line="276" w:lineRule="auto"/>
            </w:pPr>
            <w:r w:rsidRPr="00491FB9">
              <w:t>Same as (5)(A)(iii).</w:t>
            </w:r>
          </w:p>
        </w:tc>
      </w:tr>
    </w:tbl>
    <w:p w14:paraId="1ED93BD0" w14:textId="79CD8A50" w:rsidR="00493225" w:rsidRDefault="00493225" w:rsidP="00493225">
      <w:pPr>
        <w:pStyle w:val="Caption"/>
      </w:pPr>
      <w:bookmarkStart w:id="21" w:name="_Toc430263205"/>
      <w:r>
        <w:lastRenderedPageBreak/>
        <w:t xml:space="preserve">Table </w:t>
      </w:r>
      <w:r w:rsidR="00AD39AF">
        <w:rPr>
          <w:noProof/>
        </w:rPr>
        <w:fldChar w:fldCharType="begin"/>
      </w:r>
      <w:r w:rsidR="00AD39AF">
        <w:rPr>
          <w:noProof/>
        </w:rPr>
        <w:instrText xml:space="preserve"> STYLEREF 1 \s </w:instrText>
      </w:r>
      <w:r w:rsidR="00AD39AF">
        <w:rPr>
          <w:noProof/>
        </w:rPr>
        <w:fldChar w:fldCharType="separate"/>
      </w:r>
      <w:r>
        <w:rPr>
          <w:noProof/>
        </w:rPr>
        <w:t>1</w:t>
      </w:r>
      <w:r w:rsidR="00AD39AF">
        <w:rPr>
          <w:noProof/>
        </w:rPr>
        <w:fldChar w:fldCharType="end"/>
      </w:r>
      <w:r>
        <w:t>.</w:t>
      </w:r>
      <w:r w:rsidR="00AD39AF">
        <w:rPr>
          <w:noProof/>
        </w:rPr>
        <w:fldChar w:fldCharType="begin"/>
      </w:r>
      <w:r w:rsidR="00AD39AF">
        <w:rPr>
          <w:noProof/>
        </w:rPr>
        <w:instrText xml:space="preserve"> SEQ Table \* ARABIC \s 1 </w:instrText>
      </w:r>
      <w:r w:rsidR="00AD39AF">
        <w:rPr>
          <w:noProof/>
        </w:rPr>
        <w:fldChar w:fldCharType="separate"/>
      </w:r>
      <w:r>
        <w:rPr>
          <w:noProof/>
        </w:rPr>
        <w:t>2</w:t>
      </w:r>
      <w:r w:rsidR="00AD39AF">
        <w:rPr>
          <w:noProof/>
        </w:rPr>
        <w:fldChar w:fldCharType="end"/>
      </w:r>
      <w:r>
        <w:rPr>
          <w:noProof/>
        </w:rPr>
        <w:t>. Petroleum hydrocarbon, oils and grease criteria for marine waters uses</w:t>
      </w:r>
      <w:bookmarkEnd w:id="21"/>
    </w:p>
    <w:tbl>
      <w:tblPr>
        <w:tblW w:w="4882" w:type="pct"/>
        <w:tblInd w:w="19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3493"/>
        <w:gridCol w:w="5636"/>
      </w:tblGrid>
      <w:tr w:rsidR="00493225" w:rsidRPr="00493225" w14:paraId="1B61F587" w14:textId="77777777" w:rsidTr="00493225">
        <w:trPr>
          <w:cantSplit/>
          <w:trHeight w:val="546"/>
          <w:tblHeader/>
        </w:trPr>
        <w:tc>
          <w:tcPr>
            <w:tcW w:w="1913" w:type="pct"/>
            <w:tcBorders>
              <w:top w:val="single" w:sz="4" w:space="0" w:color="auto"/>
              <w:left w:val="single" w:sz="4" w:space="0" w:color="auto"/>
              <w:bottom w:val="single" w:sz="4" w:space="0" w:color="auto"/>
              <w:right w:val="single" w:sz="6" w:space="0" w:color="auto"/>
            </w:tcBorders>
          </w:tcPr>
          <w:p w14:paraId="337FA221" w14:textId="77777777" w:rsidR="00493225" w:rsidRPr="00493225" w:rsidRDefault="00493225" w:rsidP="00493225">
            <w:pPr>
              <w:rPr>
                <w:b/>
              </w:rPr>
            </w:pPr>
            <w:bookmarkStart w:id="22" w:name="_Toc240863761"/>
            <w:r w:rsidRPr="00493225">
              <w:rPr>
                <w:b/>
              </w:rPr>
              <w:t>(17)  PETROLEUM HYDROCARBONS, OILS AND GREASE, FOR MARINE WATER USES</w:t>
            </w:r>
            <w:bookmarkEnd w:id="22"/>
          </w:p>
        </w:tc>
        <w:tc>
          <w:tcPr>
            <w:tcW w:w="3087" w:type="pct"/>
            <w:tcBorders>
              <w:top w:val="single" w:sz="4" w:space="0" w:color="auto"/>
              <w:left w:val="single" w:sz="6" w:space="0" w:color="auto"/>
              <w:bottom w:val="single" w:sz="4" w:space="0" w:color="auto"/>
              <w:right w:val="single" w:sz="4" w:space="0" w:color="auto"/>
            </w:tcBorders>
          </w:tcPr>
          <w:p w14:paraId="427B9DCF" w14:textId="77777777" w:rsidR="00493225" w:rsidRPr="00493225" w:rsidRDefault="00493225" w:rsidP="00493225">
            <w:pPr>
              <w:spacing w:line="276" w:lineRule="auto"/>
              <w:ind w:left="180"/>
            </w:pPr>
          </w:p>
        </w:tc>
      </w:tr>
      <w:tr w:rsidR="00493225" w:rsidRPr="00493225" w14:paraId="7EF63347" w14:textId="77777777" w:rsidTr="00493225">
        <w:trPr>
          <w:trHeight w:val="546"/>
        </w:trPr>
        <w:tc>
          <w:tcPr>
            <w:tcW w:w="1913" w:type="pct"/>
            <w:tcBorders>
              <w:top w:val="single" w:sz="4" w:space="0" w:color="auto"/>
              <w:left w:val="single" w:sz="4" w:space="0" w:color="auto"/>
              <w:bottom w:val="single" w:sz="4" w:space="0" w:color="auto"/>
              <w:right w:val="single" w:sz="6" w:space="0" w:color="auto"/>
            </w:tcBorders>
          </w:tcPr>
          <w:p w14:paraId="18150207" w14:textId="77777777" w:rsidR="00493225" w:rsidRPr="00493225" w:rsidRDefault="00493225" w:rsidP="00493225">
            <w:bookmarkStart w:id="23" w:name="_Toc240863762"/>
            <w:r w:rsidRPr="00493225">
              <w:t>(A) Water Supply</w:t>
            </w:r>
            <w:bookmarkEnd w:id="23"/>
            <w:r w:rsidRPr="00493225">
              <w:t xml:space="preserve"> </w:t>
            </w:r>
          </w:p>
          <w:p w14:paraId="78FB930B" w14:textId="77777777" w:rsidR="00493225" w:rsidRPr="00493225" w:rsidRDefault="00493225" w:rsidP="00493225">
            <w:bookmarkStart w:id="24" w:name="_Toc240863763"/>
            <w:r w:rsidRPr="00493225">
              <w:t>(i) aquaculture</w:t>
            </w:r>
            <w:bookmarkEnd w:id="24"/>
          </w:p>
        </w:tc>
        <w:tc>
          <w:tcPr>
            <w:tcW w:w="3087" w:type="pct"/>
            <w:tcBorders>
              <w:top w:val="single" w:sz="4" w:space="0" w:color="auto"/>
              <w:left w:val="single" w:sz="6" w:space="0" w:color="auto"/>
              <w:bottom w:val="single" w:sz="4" w:space="0" w:color="auto"/>
              <w:right w:val="single" w:sz="4" w:space="0" w:color="auto"/>
            </w:tcBorders>
          </w:tcPr>
          <w:p w14:paraId="6644F84B" w14:textId="6A9D1DBD" w:rsidR="00493225" w:rsidRPr="00493225" w:rsidRDefault="00493225" w:rsidP="00493225">
            <w:pPr>
              <w:spacing w:line="276" w:lineRule="auto"/>
              <w:ind w:left="180"/>
            </w:pPr>
            <w:r w:rsidRPr="00493225">
              <w:t>Total aqueous hydrocarbons (TAqH) in the water column may not exceed 15 μg/l (see note 7)</w:t>
            </w:r>
            <w:r w:rsidR="00C9504F">
              <w:rPr>
                <w:vertAlign w:val="superscript"/>
              </w:rPr>
              <w:t>1</w:t>
            </w:r>
            <w:r w:rsidRPr="00493225">
              <w:t>.  Total aromatic hydrocarbons (TAH) in the water column may not exceed 10 μg/l (see note 7)</w:t>
            </w:r>
            <w:r w:rsidR="00C9504F">
              <w:rPr>
                <w:vertAlign w:val="superscript"/>
              </w:rPr>
              <w:t>1</w:t>
            </w:r>
            <w:r w:rsidRPr="00493225">
              <w:t>.  There may be no concentrations of petroleum hydrocarbons, animal fats, or vegetable oils in shoreline or bottom sediments that cause deleterious effects to aquatic life.  Surface waters and adjoining shorelines must be virtually free from floating oil, film, sheen, or discoloration.</w:t>
            </w:r>
          </w:p>
        </w:tc>
      </w:tr>
      <w:tr w:rsidR="00493225" w:rsidRPr="00493225" w14:paraId="21BE8A42" w14:textId="77777777" w:rsidTr="00493225">
        <w:trPr>
          <w:cantSplit/>
        </w:trPr>
        <w:tc>
          <w:tcPr>
            <w:tcW w:w="1913" w:type="pct"/>
            <w:tcBorders>
              <w:top w:val="single" w:sz="4" w:space="0" w:color="auto"/>
              <w:left w:val="single" w:sz="4" w:space="0" w:color="auto"/>
              <w:bottom w:val="single" w:sz="4" w:space="0" w:color="auto"/>
              <w:right w:val="single" w:sz="6" w:space="0" w:color="auto"/>
            </w:tcBorders>
          </w:tcPr>
          <w:p w14:paraId="461A296C" w14:textId="77777777" w:rsidR="00493225" w:rsidRPr="00493225" w:rsidRDefault="00493225" w:rsidP="00493225">
            <w:bookmarkStart w:id="25" w:name="_Toc240863764"/>
            <w:r w:rsidRPr="00493225">
              <w:t>(A) Water Supply</w:t>
            </w:r>
            <w:bookmarkEnd w:id="25"/>
            <w:r w:rsidRPr="00493225">
              <w:t xml:space="preserve"> </w:t>
            </w:r>
          </w:p>
          <w:p w14:paraId="74B3ED2C" w14:textId="77777777" w:rsidR="00493225" w:rsidRPr="00493225" w:rsidRDefault="00493225" w:rsidP="00493225">
            <w:bookmarkStart w:id="26" w:name="_Toc240863765"/>
            <w:r w:rsidRPr="00493225">
              <w:t>(ii)  seafood processing</w:t>
            </w:r>
            <w:bookmarkEnd w:id="26"/>
          </w:p>
        </w:tc>
        <w:tc>
          <w:tcPr>
            <w:tcW w:w="3087" w:type="pct"/>
            <w:tcBorders>
              <w:top w:val="single" w:sz="4" w:space="0" w:color="auto"/>
              <w:left w:val="single" w:sz="6" w:space="0" w:color="auto"/>
              <w:bottom w:val="single" w:sz="4" w:space="0" w:color="auto"/>
              <w:right w:val="single" w:sz="4" w:space="0" w:color="auto"/>
            </w:tcBorders>
          </w:tcPr>
          <w:p w14:paraId="359EA221" w14:textId="77777777" w:rsidR="00493225" w:rsidRPr="00493225" w:rsidRDefault="00493225" w:rsidP="00493225">
            <w:pPr>
              <w:spacing w:line="276" w:lineRule="auto"/>
              <w:ind w:left="180"/>
            </w:pPr>
            <w:r w:rsidRPr="00493225">
              <w:t>May not cause a film, sheen, or discoloration on the surface or floor of the waterbody or adjoining shorelines.  Surface waters must be virtually free from floating oils.  May not exceed concentrations that individually or in combination impart odor or taste as determined by organoleptic tests.</w:t>
            </w:r>
          </w:p>
        </w:tc>
      </w:tr>
      <w:tr w:rsidR="00493225" w:rsidRPr="00493225" w14:paraId="077D411D" w14:textId="77777777" w:rsidTr="00493225">
        <w:trPr>
          <w:trHeight w:val="546"/>
        </w:trPr>
        <w:tc>
          <w:tcPr>
            <w:tcW w:w="1913" w:type="pct"/>
            <w:tcBorders>
              <w:top w:val="single" w:sz="4" w:space="0" w:color="auto"/>
              <w:left w:val="single" w:sz="4" w:space="0" w:color="auto"/>
              <w:bottom w:val="single" w:sz="4" w:space="0" w:color="auto"/>
              <w:right w:val="single" w:sz="6" w:space="0" w:color="auto"/>
            </w:tcBorders>
          </w:tcPr>
          <w:p w14:paraId="25CAB748" w14:textId="77777777" w:rsidR="00493225" w:rsidRPr="00493225" w:rsidRDefault="00493225" w:rsidP="00493225">
            <w:bookmarkStart w:id="27" w:name="_Toc240863766"/>
            <w:r w:rsidRPr="00493225">
              <w:t>(A) Water Supply</w:t>
            </w:r>
            <w:bookmarkEnd w:id="27"/>
            <w:r w:rsidRPr="00493225">
              <w:t xml:space="preserve"> </w:t>
            </w:r>
          </w:p>
          <w:p w14:paraId="6CE60C8F" w14:textId="77777777" w:rsidR="00493225" w:rsidRPr="00493225" w:rsidRDefault="00493225" w:rsidP="00493225">
            <w:bookmarkStart w:id="28" w:name="_Toc240863767"/>
            <w:r w:rsidRPr="00493225">
              <w:t>(iii) industrial</w:t>
            </w:r>
            <w:bookmarkEnd w:id="28"/>
          </w:p>
        </w:tc>
        <w:tc>
          <w:tcPr>
            <w:tcW w:w="3087" w:type="pct"/>
            <w:tcBorders>
              <w:top w:val="single" w:sz="4" w:space="0" w:color="auto"/>
              <w:left w:val="single" w:sz="6" w:space="0" w:color="auto"/>
              <w:bottom w:val="single" w:sz="4" w:space="0" w:color="auto"/>
              <w:right w:val="single" w:sz="4" w:space="0" w:color="auto"/>
            </w:tcBorders>
          </w:tcPr>
          <w:p w14:paraId="507CCE1F" w14:textId="77777777" w:rsidR="00493225" w:rsidRPr="00493225" w:rsidRDefault="00493225" w:rsidP="00493225">
            <w:pPr>
              <w:spacing w:line="276" w:lineRule="auto"/>
              <w:ind w:left="180"/>
            </w:pPr>
            <w:r w:rsidRPr="00493225">
              <w:t>May not make the water unfit or unsafe for the use.</w:t>
            </w:r>
          </w:p>
          <w:p w14:paraId="5EFC64FC" w14:textId="77777777" w:rsidR="00493225" w:rsidRPr="00493225" w:rsidRDefault="00493225" w:rsidP="00493225">
            <w:pPr>
              <w:spacing w:line="276" w:lineRule="auto"/>
              <w:ind w:left="180"/>
            </w:pPr>
          </w:p>
          <w:p w14:paraId="13BAFCB4" w14:textId="77777777" w:rsidR="00493225" w:rsidRPr="00493225" w:rsidRDefault="00493225" w:rsidP="00493225">
            <w:pPr>
              <w:spacing w:line="276" w:lineRule="auto"/>
              <w:ind w:left="180"/>
            </w:pPr>
          </w:p>
        </w:tc>
      </w:tr>
      <w:tr w:rsidR="00493225" w:rsidRPr="00493225" w14:paraId="53507866" w14:textId="77777777" w:rsidTr="00493225">
        <w:trPr>
          <w:trHeight w:val="546"/>
        </w:trPr>
        <w:tc>
          <w:tcPr>
            <w:tcW w:w="1913" w:type="pct"/>
            <w:tcBorders>
              <w:top w:val="single" w:sz="4" w:space="0" w:color="auto"/>
              <w:left w:val="single" w:sz="4" w:space="0" w:color="auto"/>
              <w:bottom w:val="single" w:sz="4" w:space="0" w:color="auto"/>
              <w:right w:val="single" w:sz="6" w:space="0" w:color="auto"/>
            </w:tcBorders>
          </w:tcPr>
          <w:p w14:paraId="6B37A018" w14:textId="77777777" w:rsidR="00493225" w:rsidRPr="00493225" w:rsidRDefault="00493225" w:rsidP="00493225">
            <w:bookmarkStart w:id="29" w:name="_Toc240863768"/>
            <w:r w:rsidRPr="00493225">
              <w:t>(B) Water Recreation</w:t>
            </w:r>
            <w:bookmarkEnd w:id="29"/>
            <w:r w:rsidRPr="00493225">
              <w:t xml:space="preserve"> </w:t>
            </w:r>
          </w:p>
          <w:p w14:paraId="50059927" w14:textId="77777777" w:rsidR="00493225" w:rsidRPr="00493225" w:rsidRDefault="00493225" w:rsidP="00493225">
            <w:bookmarkStart w:id="30" w:name="_Toc240863769"/>
            <w:r w:rsidRPr="00493225">
              <w:t>(i)  contact recreation</w:t>
            </w:r>
            <w:bookmarkEnd w:id="30"/>
          </w:p>
        </w:tc>
        <w:tc>
          <w:tcPr>
            <w:tcW w:w="3087" w:type="pct"/>
            <w:tcBorders>
              <w:top w:val="single" w:sz="4" w:space="0" w:color="auto"/>
              <w:left w:val="single" w:sz="6" w:space="0" w:color="auto"/>
              <w:bottom w:val="single" w:sz="4" w:space="0" w:color="auto"/>
              <w:right w:val="single" w:sz="4" w:space="0" w:color="auto"/>
            </w:tcBorders>
          </w:tcPr>
          <w:p w14:paraId="01D13E52" w14:textId="77777777" w:rsidR="00493225" w:rsidRPr="00493225" w:rsidRDefault="00493225" w:rsidP="00493225">
            <w:pPr>
              <w:spacing w:line="276" w:lineRule="auto"/>
              <w:ind w:left="180"/>
            </w:pPr>
            <w:r w:rsidRPr="00493225">
              <w:t xml:space="preserve">May not cause a film, sheen, or discoloration on the surface or floor of the waterbody or adjoining shorelines.  Surface waters must be virtually free from floating oils. </w:t>
            </w:r>
          </w:p>
        </w:tc>
      </w:tr>
      <w:tr w:rsidR="00493225" w:rsidRPr="00493225" w14:paraId="71B6D54A" w14:textId="77777777" w:rsidTr="00493225">
        <w:trPr>
          <w:trHeight w:val="546"/>
        </w:trPr>
        <w:tc>
          <w:tcPr>
            <w:tcW w:w="1913" w:type="pct"/>
            <w:tcBorders>
              <w:top w:val="single" w:sz="4" w:space="0" w:color="auto"/>
              <w:left w:val="single" w:sz="4" w:space="0" w:color="auto"/>
              <w:bottom w:val="single" w:sz="4" w:space="0" w:color="auto"/>
              <w:right w:val="single" w:sz="6" w:space="0" w:color="auto"/>
            </w:tcBorders>
          </w:tcPr>
          <w:p w14:paraId="5127CC21" w14:textId="77777777" w:rsidR="00493225" w:rsidRPr="00493225" w:rsidRDefault="00493225" w:rsidP="00493225">
            <w:bookmarkStart w:id="31" w:name="_Toc240863770"/>
            <w:r w:rsidRPr="00493225">
              <w:t>(B) Water Recreation</w:t>
            </w:r>
            <w:bookmarkEnd w:id="31"/>
            <w:r w:rsidRPr="00493225">
              <w:t xml:space="preserve"> </w:t>
            </w:r>
          </w:p>
          <w:p w14:paraId="7ECEEE1E" w14:textId="77777777" w:rsidR="00493225" w:rsidRPr="00493225" w:rsidRDefault="00493225" w:rsidP="00493225">
            <w:bookmarkStart w:id="32" w:name="_Toc240863771"/>
            <w:r w:rsidRPr="00493225">
              <w:t>(ii) secondary recreation</w:t>
            </w:r>
            <w:bookmarkEnd w:id="32"/>
          </w:p>
        </w:tc>
        <w:tc>
          <w:tcPr>
            <w:tcW w:w="3087" w:type="pct"/>
            <w:tcBorders>
              <w:top w:val="single" w:sz="4" w:space="0" w:color="auto"/>
              <w:left w:val="single" w:sz="6" w:space="0" w:color="auto"/>
              <w:bottom w:val="single" w:sz="4" w:space="0" w:color="auto"/>
              <w:right w:val="single" w:sz="4" w:space="0" w:color="auto"/>
            </w:tcBorders>
          </w:tcPr>
          <w:p w14:paraId="6391F6D2" w14:textId="77777777" w:rsidR="00493225" w:rsidRPr="00493225" w:rsidRDefault="00493225" w:rsidP="00493225">
            <w:pPr>
              <w:spacing w:line="276" w:lineRule="auto"/>
              <w:ind w:left="180"/>
            </w:pPr>
            <w:r w:rsidRPr="00493225">
              <w:t>Same as (17)(B)(i).</w:t>
            </w:r>
          </w:p>
        </w:tc>
      </w:tr>
      <w:tr w:rsidR="00493225" w:rsidRPr="00493225" w14:paraId="636C988E" w14:textId="77777777" w:rsidTr="00493225">
        <w:trPr>
          <w:trHeight w:val="546"/>
        </w:trPr>
        <w:tc>
          <w:tcPr>
            <w:tcW w:w="1913" w:type="pct"/>
            <w:tcBorders>
              <w:top w:val="single" w:sz="4" w:space="0" w:color="auto"/>
              <w:left w:val="single" w:sz="4" w:space="0" w:color="auto"/>
              <w:bottom w:val="single" w:sz="4" w:space="0" w:color="auto"/>
              <w:right w:val="single" w:sz="6" w:space="0" w:color="auto"/>
            </w:tcBorders>
          </w:tcPr>
          <w:p w14:paraId="0E217385" w14:textId="77777777" w:rsidR="00493225" w:rsidRPr="00493225" w:rsidRDefault="00493225" w:rsidP="00493225">
            <w:bookmarkStart w:id="33" w:name="_Toc240863772"/>
            <w:r w:rsidRPr="00493225">
              <w:t>(C)  Growth and Propagation of Fish, Shellfish, Other Aquatic Life, and Wildlife</w:t>
            </w:r>
            <w:bookmarkEnd w:id="33"/>
          </w:p>
        </w:tc>
        <w:tc>
          <w:tcPr>
            <w:tcW w:w="3087" w:type="pct"/>
            <w:tcBorders>
              <w:top w:val="single" w:sz="4" w:space="0" w:color="auto"/>
              <w:left w:val="single" w:sz="6" w:space="0" w:color="auto"/>
              <w:bottom w:val="single" w:sz="4" w:space="0" w:color="auto"/>
              <w:right w:val="single" w:sz="4" w:space="0" w:color="auto"/>
            </w:tcBorders>
          </w:tcPr>
          <w:p w14:paraId="34595DB4" w14:textId="77777777" w:rsidR="00493225" w:rsidRPr="00493225" w:rsidRDefault="00493225" w:rsidP="00493225">
            <w:pPr>
              <w:spacing w:line="276" w:lineRule="auto"/>
              <w:ind w:left="180"/>
            </w:pPr>
            <w:r w:rsidRPr="00493225">
              <w:t xml:space="preserve">Same as (17)(A)(i). </w:t>
            </w:r>
          </w:p>
        </w:tc>
      </w:tr>
      <w:tr w:rsidR="00493225" w:rsidRPr="00493225" w14:paraId="086006D2" w14:textId="77777777" w:rsidTr="00493225">
        <w:trPr>
          <w:trHeight w:val="546"/>
        </w:trPr>
        <w:tc>
          <w:tcPr>
            <w:tcW w:w="1913" w:type="pct"/>
            <w:tcBorders>
              <w:top w:val="single" w:sz="4" w:space="0" w:color="auto"/>
              <w:left w:val="single" w:sz="4" w:space="0" w:color="auto"/>
              <w:bottom w:val="single" w:sz="4" w:space="0" w:color="auto"/>
              <w:right w:val="single" w:sz="6" w:space="0" w:color="auto"/>
            </w:tcBorders>
          </w:tcPr>
          <w:p w14:paraId="58257B71" w14:textId="77777777" w:rsidR="00493225" w:rsidRPr="00493225" w:rsidRDefault="00493225" w:rsidP="00493225">
            <w:bookmarkStart w:id="34" w:name="_Toc240863773"/>
            <w:r w:rsidRPr="00493225">
              <w:lastRenderedPageBreak/>
              <w:t>(D) Harvesting for Consumption of Raw Mollusks or Other Raw Aquatic Life</w:t>
            </w:r>
            <w:bookmarkEnd w:id="34"/>
          </w:p>
        </w:tc>
        <w:tc>
          <w:tcPr>
            <w:tcW w:w="3087" w:type="pct"/>
            <w:tcBorders>
              <w:top w:val="single" w:sz="4" w:space="0" w:color="auto"/>
              <w:left w:val="single" w:sz="6" w:space="0" w:color="auto"/>
              <w:bottom w:val="single" w:sz="4" w:space="0" w:color="auto"/>
              <w:right w:val="single" w:sz="4" w:space="0" w:color="auto"/>
            </w:tcBorders>
          </w:tcPr>
          <w:p w14:paraId="30FD818F" w14:textId="77777777" w:rsidR="00493225" w:rsidRPr="00493225" w:rsidRDefault="00493225" w:rsidP="00493225">
            <w:pPr>
              <w:spacing w:line="276" w:lineRule="auto"/>
              <w:ind w:left="180"/>
            </w:pPr>
            <w:r w:rsidRPr="00493225">
              <w:t xml:space="preserve">May not exceed concentrations that individually or in combination impart undesirable odor or taste to organisms as determined by bioassay or organoleptic tests. </w:t>
            </w:r>
          </w:p>
        </w:tc>
      </w:tr>
    </w:tbl>
    <w:p w14:paraId="587D330C" w14:textId="77777777" w:rsidR="00C9504F" w:rsidRDefault="00C9504F" w:rsidP="00B639F0">
      <w:pPr>
        <w:spacing w:line="276" w:lineRule="auto"/>
      </w:pPr>
    </w:p>
    <w:p w14:paraId="45CB2723" w14:textId="11A2968C" w:rsidR="009143BC" w:rsidRDefault="009143BC" w:rsidP="00B639F0">
      <w:pPr>
        <w:spacing w:line="276" w:lineRule="auto"/>
      </w:pPr>
      <w:r w:rsidRPr="00B639F0">
        <w:t xml:space="preserve">The </w:t>
      </w:r>
      <w:r w:rsidR="00A542AF" w:rsidRPr="00B639F0">
        <w:t>petroleum hydrocarbons, oils and grease</w:t>
      </w:r>
      <w:r w:rsidRPr="00B639F0">
        <w:t xml:space="preserve"> criteria are multi-pronged</w:t>
      </w:r>
      <w:r w:rsidR="00510577">
        <w:t xml:space="preserve"> in </w:t>
      </w:r>
      <w:r w:rsidR="00671A29">
        <w:t xml:space="preserve">that </w:t>
      </w:r>
      <w:r w:rsidR="00510577">
        <w:t>they address different parts of a waterbody</w:t>
      </w:r>
      <w:r w:rsidRPr="00B639F0">
        <w:t>. The criteria for a given designated use contain one or more of the following provisions from 18</w:t>
      </w:r>
      <w:r w:rsidR="00447157" w:rsidRPr="00B639F0">
        <w:t> </w:t>
      </w:r>
      <w:r w:rsidRPr="00B639F0">
        <w:t>AAC</w:t>
      </w:r>
      <w:r w:rsidR="00447157" w:rsidRPr="00B639F0">
        <w:t> </w:t>
      </w:r>
      <w:r w:rsidRPr="00B639F0">
        <w:t>70.020:</w:t>
      </w:r>
    </w:p>
    <w:p w14:paraId="4092C6E2" w14:textId="2AF32DFD" w:rsidR="00510577" w:rsidRPr="00110E76" w:rsidRDefault="00510577" w:rsidP="00B639F0">
      <w:pPr>
        <w:spacing w:line="276" w:lineRule="auto"/>
        <w:rPr>
          <w:u w:val="single"/>
        </w:rPr>
      </w:pPr>
      <w:r w:rsidRPr="00110E76">
        <w:rPr>
          <w:u w:val="single"/>
        </w:rPr>
        <w:t>Water Surface, Floor, and Adjoining Shoreline</w:t>
      </w:r>
    </w:p>
    <w:p w14:paraId="1DA93146" w14:textId="77777777" w:rsidR="009143BC" w:rsidRPr="00B639F0" w:rsidRDefault="009143BC" w:rsidP="00B639F0">
      <w:pPr>
        <w:pStyle w:val="ListBullet"/>
        <w:spacing w:line="276" w:lineRule="auto"/>
        <w:rPr>
          <w:rFonts w:ascii="Garamond" w:hAnsi="Garamond"/>
        </w:rPr>
      </w:pPr>
      <w:r w:rsidRPr="00B639F0">
        <w:rPr>
          <w:rFonts w:ascii="Garamond" w:hAnsi="Garamond"/>
        </w:rPr>
        <w:t>May not cause a visible sheen on the surface of the water.</w:t>
      </w:r>
    </w:p>
    <w:p w14:paraId="7148107F" w14:textId="77777777" w:rsidR="00110E76" w:rsidRPr="00B639F0" w:rsidRDefault="00110E76" w:rsidP="00110E76">
      <w:pPr>
        <w:pStyle w:val="ListBullet"/>
        <w:spacing w:line="276" w:lineRule="auto"/>
        <w:rPr>
          <w:rFonts w:ascii="Garamond" w:hAnsi="Garamond"/>
        </w:rPr>
      </w:pPr>
      <w:r w:rsidRPr="00B639F0">
        <w:rPr>
          <w:rFonts w:ascii="Garamond" w:hAnsi="Garamond"/>
        </w:rPr>
        <w:t>Surface waters and adjoining shorelines must be virtually free from floating oil, film, sheen, or discoloration.</w:t>
      </w:r>
    </w:p>
    <w:p w14:paraId="30FA8ECD" w14:textId="77777777" w:rsidR="00110E76" w:rsidRPr="00B639F0" w:rsidRDefault="00110E76" w:rsidP="00110E76">
      <w:pPr>
        <w:pStyle w:val="ListBullet"/>
        <w:spacing w:line="276" w:lineRule="auto"/>
        <w:rPr>
          <w:rFonts w:ascii="Garamond" w:hAnsi="Garamond"/>
        </w:rPr>
      </w:pPr>
      <w:r w:rsidRPr="00B639F0">
        <w:rPr>
          <w:rFonts w:ascii="Garamond" w:hAnsi="Garamond"/>
        </w:rPr>
        <w:t>May not cause a film, sheen, or discoloration on the surface or floor of the waterbody or adjoining shorelines.</w:t>
      </w:r>
    </w:p>
    <w:p w14:paraId="4AF9EB8D" w14:textId="77777777" w:rsidR="00110E76" w:rsidRDefault="00110E76" w:rsidP="00110E76">
      <w:pPr>
        <w:pStyle w:val="ListBullet"/>
        <w:spacing w:line="276" w:lineRule="auto"/>
        <w:rPr>
          <w:rFonts w:ascii="Garamond" w:hAnsi="Garamond"/>
        </w:rPr>
      </w:pPr>
      <w:r w:rsidRPr="00B639F0">
        <w:rPr>
          <w:rFonts w:ascii="Garamond" w:hAnsi="Garamond"/>
        </w:rPr>
        <w:t>Surface waters must be virtually free from floating oils.</w:t>
      </w:r>
    </w:p>
    <w:p w14:paraId="70CE5710" w14:textId="3ED13552" w:rsidR="00110E76" w:rsidRPr="00110E76" w:rsidRDefault="00110E76" w:rsidP="00110E76">
      <w:pPr>
        <w:pStyle w:val="ListBullet"/>
        <w:numPr>
          <w:ilvl w:val="0"/>
          <w:numId w:val="0"/>
        </w:numPr>
        <w:spacing w:line="276" w:lineRule="auto"/>
        <w:rPr>
          <w:rFonts w:ascii="Garamond" w:hAnsi="Garamond"/>
          <w:u w:val="single"/>
        </w:rPr>
      </w:pPr>
      <w:r>
        <w:rPr>
          <w:rFonts w:ascii="Garamond" w:hAnsi="Garamond"/>
          <w:u w:val="single"/>
        </w:rPr>
        <w:t>Bottom sediments</w:t>
      </w:r>
    </w:p>
    <w:p w14:paraId="35A987DD" w14:textId="0A82B0EE" w:rsidR="00110E76" w:rsidRPr="00B639F0" w:rsidRDefault="00110E76" w:rsidP="00110E76">
      <w:pPr>
        <w:pStyle w:val="ListBullet"/>
        <w:spacing w:line="276" w:lineRule="auto"/>
        <w:rPr>
          <w:rFonts w:ascii="Garamond" w:hAnsi="Garamond"/>
        </w:rPr>
      </w:pPr>
      <w:r w:rsidRPr="00B639F0">
        <w:rPr>
          <w:rFonts w:ascii="Garamond" w:hAnsi="Garamond"/>
        </w:rPr>
        <w:t>There may be no concentrations of petroleum hydrocarbons, animal fats, or vegetable oils in shoreline or bottom sediments that cause deleterious effects to aquatic life</w:t>
      </w:r>
    </w:p>
    <w:p w14:paraId="3B2054E2" w14:textId="73622CF9" w:rsidR="00110E76" w:rsidRPr="00110E76" w:rsidRDefault="00110E76" w:rsidP="00110E76">
      <w:pPr>
        <w:pStyle w:val="ListBullet"/>
        <w:numPr>
          <w:ilvl w:val="0"/>
          <w:numId w:val="0"/>
        </w:numPr>
        <w:spacing w:line="276" w:lineRule="auto"/>
        <w:rPr>
          <w:rFonts w:ascii="Garamond" w:hAnsi="Garamond"/>
          <w:u w:val="single"/>
        </w:rPr>
      </w:pPr>
      <w:r>
        <w:rPr>
          <w:rFonts w:ascii="Garamond" w:hAnsi="Garamond"/>
          <w:u w:val="single"/>
        </w:rPr>
        <w:t>Water column</w:t>
      </w:r>
    </w:p>
    <w:p w14:paraId="286F800C" w14:textId="77777777" w:rsidR="009143BC" w:rsidRPr="00B639F0" w:rsidRDefault="00A82FED" w:rsidP="00B639F0">
      <w:pPr>
        <w:pStyle w:val="ListBullet"/>
        <w:spacing w:line="276" w:lineRule="auto"/>
        <w:rPr>
          <w:rFonts w:ascii="Garamond" w:hAnsi="Garamond"/>
        </w:rPr>
      </w:pPr>
      <w:r w:rsidRPr="00B639F0">
        <w:rPr>
          <w:rFonts w:ascii="Garamond" w:hAnsi="Garamond"/>
        </w:rPr>
        <w:t>Total aromatic hydrocarbons (</w:t>
      </w:r>
      <w:r w:rsidR="009143BC" w:rsidRPr="00B639F0">
        <w:rPr>
          <w:rFonts w:ascii="Garamond" w:hAnsi="Garamond"/>
        </w:rPr>
        <w:t>TAH</w:t>
      </w:r>
      <w:r w:rsidRPr="00B639F0">
        <w:rPr>
          <w:rFonts w:ascii="Garamond" w:hAnsi="Garamond"/>
        </w:rPr>
        <w:t>)</w:t>
      </w:r>
      <w:r w:rsidR="009143BC" w:rsidRPr="00B639F0">
        <w:rPr>
          <w:rStyle w:val="FootnoteReference"/>
          <w:rFonts w:ascii="Garamond" w:hAnsi="Garamond"/>
        </w:rPr>
        <w:footnoteReference w:id="2"/>
      </w:r>
      <w:r w:rsidR="009143BC" w:rsidRPr="00B639F0">
        <w:rPr>
          <w:rFonts w:ascii="Garamond" w:hAnsi="Garamond"/>
        </w:rPr>
        <w:t xml:space="preserve"> in the water column may not exceed 10 μg/L.</w:t>
      </w:r>
    </w:p>
    <w:p w14:paraId="58900BF9" w14:textId="77777777" w:rsidR="009143BC" w:rsidRPr="00B639F0" w:rsidRDefault="009143BC" w:rsidP="00B639F0">
      <w:pPr>
        <w:pStyle w:val="ListBullet"/>
        <w:spacing w:line="276" w:lineRule="auto"/>
        <w:rPr>
          <w:rFonts w:ascii="Garamond" w:hAnsi="Garamond"/>
        </w:rPr>
      </w:pPr>
      <w:r w:rsidRPr="00B639F0">
        <w:rPr>
          <w:rFonts w:ascii="Garamond" w:hAnsi="Garamond"/>
        </w:rPr>
        <w:t>Total aqueous hydrocarbons (TAqH)</w:t>
      </w:r>
      <w:r w:rsidRPr="00B639F0">
        <w:rPr>
          <w:rStyle w:val="FootnoteReference"/>
          <w:rFonts w:ascii="Garamond" w:hAnsi="Garamond"/>
        </w:rPr>
        <w:footnoteReference w:id="3"/>
      </w:r>
      <w:r w:rsidRPr="00B639F0">
        <w:rPr>
          <w:rFonts w:ascii="Garamond" w:hAnsi="Garamond"/>
        </w:rPr>
        <w:t xml:space="preserve"> in the water column may not exceed 15 μg/L.</w:t>
      </w:r>
    </w:p>
    <w:p w14:paraId="0C892BA2" w14:textId="77777777" w:rsidR="009143BC" w:rsidRPr="00B639F0" w:rsidRDefault="009143BC" w:rsidP="00B639F0">
      <w:pPr>
        <w:pStyle w:val="ListBullet"/>
        <w:spacing w:line="276" w:lineRule="auto"/>
        <w:rPr>
          <w:rFonts w:ascii="Garamond" w:hAnsi="Garamond"/>
        </w:rPr>
      </w:pPr>
      <w:r w:rsidRPr="00B639F0">
        <w:rPr>
          <w:rFonts w:ascii="Garamond" w:hAnsi="Garamond"/>
        </w:rPr>
        <w:t>May not make the water unfit or unsafe for the use.</w:t>
      </w:r>
    </w:p>
    <w:p w14:paraId="27107D2B" w14:textId="77777777" w:rsidR="009143BC" w:rsidRPr="00B639F0" w:rsidRDefault="009143BC" w:rsidP="00C9504F">
      <w:pPr>
        <w:pStyle w:val="ListBullet"/>
        <w:spacing w:after="240" w:line="276" w:lineRule="auto"/>
        <w:rPr>
          <w:rFonts w:ascii="Garamond" w:hAnsi="Garamond"/>
        </w:rPr>
      </w:pPr>
      <w:r w:rsidRPr="00B639F0">
        <w:rPr>
          <w:rFonts w:ascii="Garamond" w:hAnsi="Garamond"/>
        </w:rPr>
        <w:lastRenderedPageBreak/>
        <w:t>May not exceed concentrations that individually or in combination impart undesirable odor or taste to organisms as determined by bioassay or organoleptic tests.</w:t>
      </w:r>
    </w:p>
    <w:p w14:paraId="1CE3BD25" w14:textId="6EC533BA" w:rsidR="00C9504F" w:rsidRDefault="00C9504F" w:rsidP="00B639F0">
      <w:pPr>
        <w:spacing w:line="276" w:lineRule="auto"/>
      </w:pPr>
      <w:r>
        <w:t xml:space="preserve">The analytical methods used to determine levels of </w:t>
      </w:r>
      <w:r w:rsidR="00110E76">
        <w:t>TAH and TAqH are defined in Note 7</w:t>
      </w:r>
      <w:r w:rsidRPr="00C9504F">
        <w:rPr>
          <w:vertAlign w:val="superscript"/>
        </w:rPr>
        <w:fldChar w:fldCharType="begin"/>
      </w:r>
      <w:r w:rsidRPr="00C9504F">
        <w:rPr>
          <w:vertAlign w:val="superscript"/>
        </w:rPr>
        <w:instrText xml:space="preserve"> NOTEREF _Ref430176933 \h  \* MERGEFORMAT </w:instrText>
      </w:r>
      <w:r w:rsidRPr="00C9504F">
        <w:rPr>
          <w:vertAlign w:val="superscript"/>
        </w:rPr>
      </w:r>
      <w:r w:rsidRPr="00C9504F">
        <w:rPr>
          <w:vertAlign w:val="superscript"/>
        </w:rPr>
        <w:fldChar w:fldCharType="separate"/>
      </w:r>
      <w:r w:rsidRPr="00C9504F">
        <w:rPr>
          <w:vertAlign w:val="superscript"/>
        </w:rPr>
        <w:t>1</w:t>
      </w:r>
      <w:r w:rsidRPr="00C9504F">
        <w:rPr>
          <w:vertAlign w:val="superscript"/>
        </w:rPr>
        <w:fldChar w:fldCharType="end"/>
      </w:r>
      <w:r>
        <w:t>. The analytical methods for</w:t>
      </w:r>
      <w:r w:rsidR="00110E76">
        <w:t xml:space="preserve"> </w:t>
      </w:r>
      <w:r w:rsidR="009143BC" w:rsidRPr="00B639F0">
        <w:t>“Oils and grease” are defined in 18 AAC 70.990(43).</w:t>
      </w:r>
      <w:r w:rsidR="009143BC" w:rsidRPr="00B639F0">
        <w:rPr>
          <w:rStyle w:val="FootnoteReference"/>
        </w:rPr>
        <w:footnoteReference w:id="4"/>
      </w:r>
      <w:r w:rsidR="009143BC" w:rsidRPr="00B639F0">
        <w:t xml:space="preserve"> </w:t>
      </w:r>
    </w:p>
    <w:p w14:paraId="3E9EA181" w14:textId="7FC875E5" w:rsidR="009D7B00" w:rsidRPr="00B639F0" w:rsidRDefault="009143BC" w:rsidP="00B639F0">
      <w:pPr>
        <w:spacing w:line="276" w:lineRule="auto"/>
      </w:pPr>
      <w:r w:rsidRPr="00B639F0">
        <w:t xml:space="preserve">Criteria for individual petroleum hydrocarbons pollutants (i.e., human health criteria for </w:t>
      </w:r>
      <w:r w:rsidR="00747733">
        <w:t>benzene, toluene, ethylbenzene and xylenes (</w:t>
      </w:r>
      <w:r w:rsidRPr="00B639F0">
        <w:t>B</w:t>
      </w:r>
      <w:r w:rsidR="0087710D" w:rsidRPr="00B639F0">
        <w:t>T</w:t>
      </w:r>
      <w:r w:rsidR="00816405" w:rsidRPr="00B639F0">
        <w:t>E</w:t>
      </w:r>
      <w:r w:rsidRPr="00B639F0">
        <w:t>X</w:t>
      </w:r>
      <w:r w:rsidR="00747733">
        <w:t>)</w:t>
      </w:r>
      <w:r w:rsidRPr="00B639F0">
        <w:t xml:space="preserve">) can be found in the 2008 </w:t>
      </w:r>
      <w:r w:rsidRPr="00B639F0">
        <w:rPr>
          <w:rStyle w:val="Emphasis"/>
          <w:rFonts w:ascii="Garamond" w:hAnsi="Garamond"/>
        </w:rPr>
        <w:t xml:space="preserve">Alaska Water Quality Criteria Manual for Toxic and Other Deleterious Organic and Inorganic Substances </w:t>
      </w:r>
      <w:r w:rsidRPr="00B639F0">
        <w:t xml:space="preserve">(Alaska Toxics Manual, 2008), which can be accessed at the following website: </w:t>
      </w:r>
      <w:hyperlink r:id="rId14" w:history="1">
        <w:r w:rsidRPr="00B639F0">
          <w:rPr>
            <w:rStyle w:val="Hyperlink"/>
          </w:rPr>
          <w:t>http://dec.alaska.gov/water/wqsar/wqs/pdfs/Alaska%20Water%20Quality%20Criteria%20Manual%20for%20Toxic%20and%20Other%20Deleterious%20Organic%20and%20Inorganic%20Substances.pdf</w:t>
        </w:r>
      </w:hyperlink>
      <w:r w:rsidRPr="00B639F0">
        <w:t>.</w:t>
      </w:r>
    </w:p>
    <w:p w14:paraId="66A6A542" w14:textId="77777777" w:rsidR="009D7B00" w:rsidRPr="00B639F0" w:rsidRDefault="009D7B00" w:rsidP="00B639F0">
      <w:pPr>
        <w:spacing w:line="276" w:lineRule="auto"/>
      </w:pPr>
      <w:r w:rsidRPr="00B639F0">
        <w:t>An impairment determination can only be based on anthropogenic sources of petroleum hydrocarbons, oils and grease. For example, impairment determinations shall not be based on natural</w:t>
      </w:r>
      <w:r w:rsidR="00EC65F3" w:rsidRPr="00B639F0">
        <w:t xml:space="preserve">ly occurring </w:t>
      </w:r>
      <w:r w:rsidRPr="00B639F0">
        <w:t xml:space="preserve">oils, animal fats, or sheens. </w:t>
      </w:r>
    </w:p>
    <w:p w14:paraId="221EB530" w14:textId="3B786CF8" w:rsidR="009143BC" w:rsidRPr="0071303F" w:rsidRDefault="00671A29" w:rsidP="00CE5CBD">
      <w:pPr>
        <w:pStyle w:val="Heading3"/>
      </w:pPr>
      <w:bookmarkStart w:id="35" w:name="_Toc354750887"/>
      <w:bookmarkStart w:id="36" w:name="_Toc424721500"/>
      <w:r>
        <w:rPr>
          <w:color w:val="4472C4" w:themeColor="accent5"/>
        </w:rPr>
        <w:t xml:space="preserve">Alaska’s </w:t>
      </w:r>
      <w:r w:rsidR="009143BC" w:rsidRPr="00B639F0">
        <w:rPr>
          <w:color w:val="4472C4" w:themeColor="accent5"/>
        </w:rPr>
        <w:t>Numeric</w:t>
      </w:r>
      <w:r w:rsidR="009143BC" w:rsidRPr="0071303F">
        <w:t xml:space="preserve"> Aquatic Life Criteria for Petroleum Hydrocarbons</w:t>
      </w:r>
      <w:bookmarkEnd w:id="35"/>
      <w:bookmarkEnd w:id="36"/>
    </w:p>
    <w:p w14:paraId="4E8ADDC9" w14:textId="5132EEA9" w:rsidR="00C32D4D" w:rsidRPr="00D2042D" w:rsidRDefault="009143BC" w:rsidP="00B639F0">
      <w:pPr>
        <w:spacing w:line="276" w:lineRule="auto"/>
      </w:pPr>
      <w:r w:rsidRPr="00D2042D">
        <w:t xml:space="preserve">Alaska’s numeric aquatic life criteria for petroleum hydrocarbons were adopted in 1979 and continue to be the most stringent in the nation at approximately three orders of magnitude lower than any other state’s criteria (Tetra Tech, Inc., 2008). The numeric aquatic life criteria for TAH and TAqH are protective for two fresh water and marine water designated uses: (1) water supply for aquaculture, and (2) growth and propagation of fish, shellfish, other aquatic life and wildlife. </w:t>
      </w:r>
      <w:r w:rsidR="003130FF" w:rsidRPr="00D2042D">
        <w:t xml:space="preserve">The 2008 Alaska Toxics Manual contains no additional numeric </w:t>
      </w:r>
      <w:r w:rsidR="00F52183" w:rsidRPr="00D2042D">
        <w:t xml:space="preserve">aquatic life </w:t>
      </w:r>
      <w:r w:rsidR="003130FF" w:rsidRPr="00D2042D">
        <w:t xml:space="preserve">criteria for acute or short-term chronic toxicity for petroleum hydrocarbons, oils and grease. </w:t>
      </w:r>
      <w:r w:rsidRPr="00D2042D">
        <w:t xml:space="preserve">Although not explicitly stated in the TAH and TAqH criteria narratives, examination of several DEC development documents for the petroleum hydrocarbons criteria indicate that TAH and TAqH are chronic criteria for fresh water and marine water as described below. </w:t>
      </w:r>
    </w:p>
    <w:p w14:paraId="0F19AE9C" w14:textId="3C8F1EBF" w:rsidR="009143BC" w:rsidRPr="00B639F0" w:rsidRDefault="00C32D4D" w:rsidP="00B639F0">
      <w:pPr>
        <w:spacing w:line="276" w:lineRule="auto"/>
      </w:pPr>
      <w:r w:rsidRPr="00D2042D">
        <w:t xml:space="preserve">Obtaining representative samples </w:t>
      </w:r>
      <w:r w:rsidR="003130FF" w:rsidRPr="00D2042D">
        <w:t>over a chronic averaging period</w:t>
      </w:r>
      <w:r w:rsidRPr="00D2042D">
        <w:t xml:space="preserve"> is challenging due to the volatility of the pollutants, intermittent sources and seasonal activity levels (e.g., motorized watercraft during three-week salmon fishery periods). </w:t>
      </w:r>
      <w:r w:rsidR="00AB7951" w:rsidRPr="00D2042D">
        <w:t xml:space="preserve">The characteristics of petroleum hydrocarbons and </w:t>
      </w:r>
      <w:r w:rsidRPr="00D2042D">
        <w:t>the need for data that support chronic exposure averaging periods</w:t>
      </w:r>
      <w:r w:rsidR="00AB7951" w:rsidRPr="00D2042D">
        <w:t xml:space="preserve"> have led to unique challenges in implementing this standard in Alaska. </w:t>
      </w:r>
    </w:p>
    <w:p w14:paraId="108A0756" w14:textId="0E17F81B" w:rsidR="00B639F0" w:rsidRDefault="009143BC" w:rsidP="00B639F0">
      <w:pPr>
        <w:spacing w:line="276" w:lineRule="auto"/>
      </w:pPr>
      <w:r w:rsidRPr="00B639F0">
        <w:lastRenderedPageBreak/>
        <w:t xml:space="preserve">The EPA guidance on aquatic life criteria are provided in the 1985 </w:t>
      </w:r>
      <w:r w:rsidRPr="00B639F0">
        <w:rPr>
          <w:rStyle w:val="Emphasis"/>
          <w:rFonts w:ascii="Garamond" w:hAnsi="Garamond"/>
        </w:rPr>
        <w:t>Guidelines for Deriving Numerical National Water Quality Criteria for the Protection of Aquatic Organisms and Their Uses</w:t>
      </w:r>
      <w:r w:rsidRPr="00B639F0">
        <w:t xml:space="preserve">. Water quality criteria are composed of three components: magnitude, duration and frequency. The 4-day average concentration of a chronic criterion may not be exceeded more than once every three years. Specifically, the guidelines state: </w:t>
      </w:r>
    </w:p>
    <w:p w14:paraId="73F38EEA" w14:textId="4895D64F" w:rsidR="009143BC" w:rsidRPr="00B639F0" w:rsidRDefault="009143BC" w:rsidP="00B639F0">
      <w:pPr>
        <w:spacing w:line="276" w:lineRule="auto"/>
        <w:ind w:left="720"/>
      </w:pPr>
      <w:r w:rsidRPr="00B639F0">
        <w:t>“</w:t>
      </w:r>
      <w:r w:rsidR="00B639F0">
        <w:t>E</w:t>
      </w:r>
      <w:r w:rsidRPr="00B639F0">
        <w:t xml:space="preserve">xcept possibly where a locally important species is very sensitive, aquatic organisms and their uses should not be affected unacceptably if the </w:t>
      </w:r>
      <w:r w:rsidRPr="00B639F0">
        <w:rPr>
          <w:rStyle w:val="Strong"/>
          <w:rFonts w:ascii="Garamond" w:hAnsi="Garamond"/>
        </w:rPr>
        <w:t>four-day average</w:t>
      </w:r>
      <w:r w:rsidRPr="00B639F0">
        <w:t xml:space="preserve"> concentration does not exceed the </w:t>
      </w:r>
      <w:r w:rsidRPr="00B639F0">
        <w:rPr>
          <w:rStyle w:val="Strong"/>
          <w:rFonts w:ascii="Garamond" w:hAnsi="Garamond"/>
        </w:rPr>
        <w:t>chronic criterion</w:t>
      </w:r>
      <w:r w:rsidRPr="00B639F0">
        <w:t xml:space="preserve"> more than </w:t>
      </w:r>
      <w:r w:rsidRPr="00B639F0">
        <w:rPr>
          <w:rStyle w:val="Strong"/>
          <w:rFonts w:ascii="Garamond" w:hAnsi="Garamond"/>
        </w:rPr>
        <w:t>once every three years</w:t>
      </w:r>
      <w:r w:rsidRPr="00B639F0">
        <w:t xml:space="preserve"> on the average, and if the one-hour average concentration does not exceed the acute criterion more than once every three years on the average” (EPA 1985).</w:t>
      </w:r>
    </w:p>
    <w:p w14:paraId="61BEA0B1" w14:textId="117FCD83" w:rsidR="007A4D83" w:rsidRPr="00B639F0" w:rsidRDefault="007A4D83" w:rsidP="007A4D83">
      <w:pPr>
        <w:pStyle w:val="BodyText2"/>
        <w:spacing w:before="120" w:after="0" w:line="300" w:lineRule="exact"/>
        <w:rPr>
          <w:rFonts w:cs="Times New Roman"/>
          <w:szCs w:val="24"/>
          <w:lang w:eastAsia="en-AU"/>
        </w:rPr>
      </w:pPr>
      <w:r w:rsidRPr="00B639F0">
        <w:rPr>
          <w:szCs w:val="24"/>
          <w:lang w:eastAsia="en-AU"/>
        </w:rPr>
        <w:t>Because of the volatility of petroleum constituents and the possibility of intermittent sources, these EPA guidelines for developing water quality criteria we</w:t>
      </w:r>
      <w:r w:rsidR="00671A29">
        <w:rPr>
          <w:szCs w:val="24"/>
          <w:lang w:eastAsia="en-AU"/>
        </w:rPr>
        <w:t xml:space="preserve">re used to aid in the </w:t>
      </w:r>
      <w:r w:rsidR="00D17CBA">
        <w:rPr>
          <w:szCs w:val="24"/>
          <w:lang w:eastAsia="en-AU"/>
        </w:rPr>
        <w:t>threshold</w:t>
      </w:r>
      <w:r w:rsidR="00F52183">
        <w:rPr>
          <w:szCs w:val="24"/>
          <w:lang w:eastAsia="en-AU"/>
        </w:rPr>
        <w:t>s</w:t>
      </w:r>
      <w:r w:rsidR="00D17CBA">
        <w:rPr>
          <w:szCs w:val="24"/>
          <w:lang w:eastAsia="en-AU"/>
        </w:rPr>
        <w:t xml:space="preserve"> used for impairment</w:t>
      </w:r>
      <w:r w:rsidR="004A59A8">
        <w:rPr>
          <w:szCs w:val="24"/>
          <w:lang w:eastAsia="en-AU"/>
        </w:rPr>
        <w:t xml:space="preserve"> </w:t>
      </w:r>
      <w:r w:rsidRPr="00B639F0">
        <w:rPr>
          <w:szCs w:val="24"/>
          <w:lang w:eastAsia="en-AU"/>
        </w:rPr>
        <w:t>determination</w:t>
      </w:r>
      <w:r w:rsidR="00D17CBA">
        <w:rPr>
          <w:szCs w:val="24"/>
          <w:lang w:eastAsia="en-AU"/>
        </w:rPr>
        <w:t>s</w:t>
      </w:r>
      <w:r w:rsidR="00A12E2E" w:rsidRPr="00B639F0">
        <w:rPr>
          <w:szCs w:val="24"/>
          <w:lang w:eastAsia="en-AU"/>
        </w:rPr>
        <w:t xml:space="preserve"> </w:t>
      </w:r>
      <w:r w:rsidR="004A59A8">
        <w:rPr>
          <w:szCs w:val="24"/>
          <w:lang w:eastAsia="en-AU"/>
        </w:rPr>
        <w:t xml:space="preserve">discussed </w:t>
      </w:r>
      <w:r w:rsidR="00A12E2E" w:rsidRPr="00B639F0">
        <w:rPr>
          <w:szCs w:val="24"/>
          <w:lang w:eastAsia="en-AU"/>
        </w:rPr>
        <w:t xml:space="preserve">in Section </w:t>
      </w:r>
      <w:r w:rsidR="00D17CBA">
        <w:rPr>
          <w:szCs w:val="24"/>
          <w:lang w:eastAsia="en-AU"/>
        </w:rPr>
        <w:t>2.3</w:t>
      </w:r>
      <w:r w:rsidR="00671A29">
        <w:rPr>
          <w:szCs w:val="24"/>
          <w:lang w:eastAsia="en-AU"/>
        </w:rPr>
        <w:t>.3</w:t>
      </w:r>
      <w:r w:rsidRPr="00B639F0">
        <w:rPr>
          <w:szCs w:val="24"/>
          <w:lang w:eastAsia="en-AU"/>
        </w:rPr>
        <w:t>.</w:t>
      </w:r>
    </w:p>
    <w:p w14:paraId="69277F8A" w14:textId="77777777" w:rsidR="009143BC" w:rsidRPr="0071303F" w:rsidRDefault="009143BC" w:rsidP="00CE5CBD">
      <w:pPr>
        <w:pStyle w:val="Heading3"/>
      </w:pPr>
      <w:bookmarkStart w:id="37" w:name="_Toc354750888"/>
      <w:bookmarkStart w:id="38" w:name="_Toc424721501"/>
      <w:r w:rsidRPr="0071303F">
        <w:t>Magnitude</w:t>
      </w:r>
      <w:bookmarkEnd w:id="37"/>
      <w:bookmarkEnd w:id="38"/>
    </w:p>
    <w:p w14:paraId="2B54B7C9" w14:textId="09374668" w:rsidR="009143BC" w:rsidRPr="00B639F0" w:rsidRDefault="00AB7951" w:rsidP="00B639F0">
      <w:pPr>
        <w:pStyle w:val="App-Head5"/>
        <w:spacing w:line="276" w:lineRule="auto"/>
        <w:rPr>
          <w:rFonts w:ascii="Garamond" w:hAnsi="Garamond"/>
          <w:b w:val="0"/>
          <w:u w:val="single"/>
        </w:rPr>
      </w:pPr>
      <w:r w:rsidRPr="004A59A8">
        <w:rPr>
          <w:rFonts w:ascii="Garamond" w:hAnsi="Garamond"/>
          <w:b w:val="0"/>
          <w:u w:val="single"/>
        </w:rPr>
        <w:t>TAH Criterion</w:t>
      </w:r>
    </w:p>
    <w:p w14:paraId="6C1B6E03" w14:textId="77777777" w:rsidR="009143BC" w:rsidRPr="00B639F0" w:rsidRDefault="009143BC" w:rsidP="00B639F0">
      <w:pPr>
        <w:spacing w:line="276" w:lineRule="auto"/>
      </w:pPr>
      <w:r w:rsidRPr="00B639F0">
        <w:t>Two approaches were evaluated and compared to establish the TAH criterion: (1) a review of acute toxicity for Alaskan species at various life stages and (2) a review of laboratory and field literature on chronic, sub-lethal effects for aromatic hydrocarbons.</w:t>
      </w:r>
    </w:p>
    <w:p w14:paraId="73585AAE" w14:textId="374B7EE0" w:rsidR="009143BC" w:rsidRPr="00B639F0" w:rsidRDefault="009143BC" w:rsidP="00B639F0">
      <w:pPr>
        <w:spacing w:line="276" w:lineRule="auto"/>
      </w:pPr>
      <w:r w:rsidRPr="00B639F0">
        <w:t xml:space="preserve">Acute toxicity thresholds were reported as the concentration lethal to 50% of the test organisms or lethal concentration, 50% (LC50). The LC50 values for Alaskan species ranged from </w:t>
      </w:r>
      <w:r w:rsidR="00394F81">
        <w:t xml:space="preserve">300 to 1,400 </w:t>
      </w:r>
      <w:r w:rsidR="00394F81" w:rsidRPr="00B639F0">
        <w:rPr>
          <w:rFonts w:cs="Times New Roman"/>
        </w:rPr>
        <w:t>µg/L</w:t>
      </w:r>
      <w:r w:rsidRPr="00B639F0">
        <w:t xml:space="preserve"> depending on the species and life stage tested. Larval crustaceans were determined to be one of the most sensitive Alaskan marine groups with an average LC50 for TAH of 1,000 µg/L.</w:t>
      </w:r>
    </w:p>
    <w:p w14:paraId="1F9BAD24" w14:textId="2211F737" w:rsidR="002E2E89" w:rsidRPr="00B639F0" w:rsidRDefault="004A59A8" w:rsidP="00B639F0">
      <w:pPr>
        <w:spacing w:line="276" w:lineRule="auto"/>
      </w:pPr>
      <w:r w:rsidRPr="004A59A8">
        <w:t>A</w:t>
      </w:r>
      <w:r w:rsidR="003130FF" w:rsidRPr="004A59A8">
        <w:t xml:space="preserve"> chronic TAH </w:t>
      </w:r>
      <w:r w:rsidRPr="004A59A8">
        <w:t>criterion</w:t>
      </w:r>
      <w:r w:rsidR="003130FF" w:rsidRPr="004A59A8">
        <w:t xml:space="preserve"> of 10 µg/L </w:t>
      </w:r>
      <w:r w:rsidRPr="004A59A8">
        <w:t xml:space="preserve">was derived </w:t>
      </w:r>
      <w:r w:rsidR="003130FF" w:rsidRPr="004A59A8">
        <w:t xml:space="preserve">multiplying the acute value </w:t>
      </w:r>
      <w:r w:rsidRPr="004A59A8">
        <w:t xml:space="preserve">of </w:t>
      </w:r>
      <w:r w:rsidR="009143BC" w:rsidRPr="004A59A8">
        <w:t xml:space="preserve">1,000 µg/L TAH by a </w:t>
      </w:r>
      <w:r w:rsidR="00A40312" w:rsidRPr="004A59A8">
        <w:t>0.01</w:t>
      </w:r>
      <w:r w:rsidR="009143BC" w:rsidRPr="004A59A8">
        <w:t xml:space="preserve"> safety factor. </w:t>
      </w:r>
      <w:r w:rsidR="00A40312" w:rsidRPr="004A59A8">
        <w:t xml:space="preserve">The chronic TAH </w:t>
      </w:r>
      <w:r w:rsidRPr="004A59A8">
        <w:t>criterion</w:t>
      </w:r>
      <w:r w:rsidR="00A40312" w:rsidRPr="004A59A8">
        <w:t xml:space="preserve"> of 10 µg/L was </w:t>
      </w:r>
      <w:r w:rsidRPr="004A59A8">
        <w:t>also</w:t>
      </w:r>
      <w:r w:rsidR="00A40312" w:rsidRPr="004A59A8">
        <w:t xml:space="preserve"> compared with published chronic toxicity test results for petroleum hydrocarbons</w:t>
      </w:r>
      <w:r w:rsidRPr="004A59A8">
        <w:t>. The TAH criterion was</w:t>
      </w:r>
      <w:r w:rsidR="00A40312" w:rsidRPr="004A59A8">
        <w:t xml:space="preserve"> found to be more conservative (DEC 1976). </w:t>
      </w:r>
      <w:r w:rsidRPr="004A59A8">
        <w:t>In 1979, DEC adopted the chronic TAH criterion into Alaska Water Quality Standards.</w:t>
      </w:r>
    </w:p>
    <w:p w14:paraId="324DEF28" w14:textId="77777777" w:rsidR="00A40312" w:rsidRPr="00B639F0" w:rsidRDefault="009143BC" w:rsidP="00B639F0">
      <w:pPr>
        <w:spacing w:line="276" w:lineRule="auto"/>
      </w:pPr>
      <w:r w:rsidRPr="00B639F0">
        <w:t xml:space="preserve">The </w:t>
      </w:r>
      <w:r w:rsidR="00A40312" w:rsidRPr="00B639F0">
        <w:t>deriva</w:t>
      </w:r>
      <w:r w:rsidR="00DA5A24" w:rsidRPr="00B639F0">
        <w:t>tion of TAH criteria implements</w:t>
      </w:r>
      <w:r w:rsidR="00A40312" w:rsidRPr="00B639F0">
        <w:t xml:space="preserve"> EPA’s</w:t>
      </w:r>
      <w:r w:rsidRPr="00B639F0">
        <w:t xml:space="preserve"> recommended </w:t>
      </w:r>
      <w:r w:rsidR="00A40312" w:rsidRPr="00B639F0">
        <w:t>narrative criteria</w:t>
      </w:r>
      <w:r w:rsidRPr="00B639F0">
        <w:t xml:space="preserve"> in their 1976 </w:t>
      </w:r>
      <w:r w:rsidRPr="00B639F0">
        <w:rPr>
          <w:rStyle w:val="Emphasis"/>
          <w:rFonts w:ascii="Garamond" w:hAnsi="Garamond"/>
        </w:rPr>
        <w:t>Quality Criteria for Water</w:t>
      </w:r>
      <w:r w:rsidR="00DA5A24" w:rsidRPr="00B639F0">
        <w:rPr>
          <w:rStyle w:val="Emphasis"/>
          <w:rFonts w:ascii="Garamond" w:hAnsi="Garamond"/>
        </w:rPr>
        <w:t>,</w:t>
      </w:r>
      <w:r w:rsidRPr="00B639F0">
        <w:t xml:space="preserve"> </w:t>
      </w:r>
      <w:r w:rsidR="00DA5A24" w:rsidRPr="00B639F0">
        <w:t xml:space="preserve">as well as the 1986 recommended criteria in </w:t>
      </w:r>
      <w:r w:rsidRPr="00B639F0">
        <w:t>the “</w:t>
      </w:r>
      <w:r w:rsidR="00DA5A24" w:rsidRPr="00B639F0">
        <w:t xml:space="preserve">Gold </w:t>
      </w:r>
      <w:r w:rsidRPr="00B639F0">
        <w:t>Book</w:t>
      </w:r>
      <w:r w:rsidR="00DA5A24" w:rsidRPr="00B639F0">
        <w:t xml:space="preserve">”, and is EPA’s current nationally recommended 304(a) water quality criteria for oil and grease, as of April 2015 (see </w:t>
      </w:r>
      <w:hyperlink r:id="rId15" w:history="1">
        <w:r w:rsidR="00DA5A24" w:rsidRPr="00B639F0">
          <w:rPr>
            <w:rStyle w:val="Hyperlink"/>
          </w:rPr>
          <w:t>http://water.epa.gov/scitech/swguidance/standards/criteria/current/index.cfm</w:t>
        </w:r>
      </w:hyperlink>
      <w:r w:rsidR="00DA5A24" w:rsidRPr="00B639F0">
        <w:t xml:space="preserve">). </w:t>
      </w:r>
      <w:r w:rsidRPr="00B639F0">
        <w:t xml:space="preserve"> </w:t>
      </w:r>
    </w:p>
    <w:p w14:paraId="72DCAA65" w14:textId="77777777" w:rsidR="00A40312" w:rsidRPr="00B639F0" w:rsidRDefault="00A40312" w:rsidP="00B639F0">
      <w:pPr>
        <w:spacing w:line="276" w:lineRule="auto"/>
        <w:ind w:left="720"/>
      </w:pPr>
      <w:r w:rsidRPr="00B639F0">
        <w:t>“For aquatic life, 0.01 of the lowest continuous flow 96 hour LC50 to several important freshwater and marine species, each having a demonstrated high susceptibility to oils and petrochemicals.”</w:t>
      </w:r>
    </w:p>
    <w:p w14:paraId="0CE9DCF7" w14:textId="77777777" w:rsidR="009143BC" w:rsidRPr="00B639F0" w:rsidRDefault="009143BC" w:rsidP="00B639F0">
      <w:pPr>
        <w:spacing w:line="276" w:lineRule="auto"/>
      </w:pPr>
      <w:r w:rsidRPr="00B639F0">
        <w:lastRenderedPageBreak/>
        <w:t xml:space="preserve">This approach is somewhat different from current EPA guidelines for deriving </w:t>
      </w:r>
      <w:r w:rsidR="00DA5A24" w:rsidRPr="00B639F0">
        <w:t xml:space="preserve">other </w:t>
      </w:r>
      <w:r w:rsidRPr="00B639F0">
        <w:t xml:space="preserve">aquatic life criteria </w:t>
      </w:r>
      <w:r w:rsidR="007463C2" w:rsidRPr="00B639F0">
        <w:t xml:space="preserve">for toxic substances </w:t>
      </w:r>
      <w:r w:rsidRPr="00B639F0">
        <w:t>(Stephen, et al. 1985) in which a chronic value is calculated based on a final acute-chronic ratio by taking the geometric mean of the appropriate acute-chronic ratios measured for the same species. The DEC last reviewed the TAH criterion in 1989 (DEC 1989).</w:t>
      </w:r>
      <w:r w:rsidR="00DA5A24" w:rsidRPr="00B639F0">
        <w:t xml:space="preserve"> </w:t>
      </w:r>
      <w:r w:rsidR="003931DE" w:rsidRPr="00B639F0">
        <w:t>The original toxicity test data used to derive the TAH criteria was not retained, so recalculation of the criteria using current criteria methodology is not possible without new toxicity testing of Alaska species from at least 8 taxonomic families as required by the EPA methodology and/or a search for scientific literature containing the required data.</w:t>
      </w:r>
    </w:p>
    <w:p w14:paraId="02CE99B2" w14:textId="6CBFEB37" w:rsidR="009143BC" w:rsidRPr="00B639F0" w:rsidRDefault="00AB7951" w:rsidP="00B639F0">
      <w:pPr>
        <w:pStyle w:val="App-Head5"/>
        <w:spacing w:line="276" w:lineRule="auto"/>
        <w:rPr>
          <w:rFonts w:ascii="Garamond" w:hAnsi="Garamond"/>
          <w:b w:val="0"/>
          <w:u w:val="single"/>
        </w:rPr>
      </w:pPr>
      <w:r>
        <w:rPr>
          <w:rFonts w:ascii="Garamond" w:hAnsi="Garamond"/>
          <w:b w:val="0"/>
          <w:u w:val="single"/>
        </w:rPr>
        <w:t>TAqH Criterion</w:t>
      </w:r>
    </w:p>
    <w:p w14:paraId="4AEAEA5A" w14:textId="2D0D4482" w:rsidR="009143BC" w:rsidRPr="00B639F0" w:rsidRDefault="009143BC" w:rsidP="00B639F0">
      <w:pPr>
        <w:spacing w:line="276" w:lineRule="auto"/>
      </w:pPr>
      <w:r w:rsidRPr="00B639F0">
        <w:t>The DEC originally adopted the TAqH criterion in 1979 as a total hydrocarbon (TH) criterion. TH in the water soluble phase is generally proportional to the TAH present with a measured TH to TAH toxicity ratio of 1.5:1 for various fish exposed to crude oil (DEC 1989). Applying this toxicity ratio to the chronic TAH criterion (10 µg/L) results in a chronic TH criterion of 15 µg/L. In 1996, the DEC conservatively converted the chronic TH criterion to a chronic TAqH criterion</w:t>
      </w:r>
      <w:r w:rsidR="00671A29">
        <w:t>,</w:t>
      </w:r>
      <w:r w:rsidRPr="00B639F0">
        <w:t xml:space="preserve"> as TAqH is the largest fraction of </w:t>
      </w:r>
      <w:r w:rsidR="00B1777D" w:rsidRPr="00B639F0">
        <w:t xml:space="preserve">soluble </w:t>
      </w:r>
      <w:r w:rsidRPr="00B639F0">
        <w:t xml:space="preserve">TH. The DEC last reviewed the TAqH criterion in 2005 to incorporate scientific literature published since 1995 (Weber-Scannell, </w:t>
      </w:r>
      <w:r w:rsidRPr="00B639F0">
        <w:rPr>
          <w:rStyle w:val="Emphasis"/>
          <w:rFonts w:ascii="Garamond" w:hAnsi="Garamond"/>
        </w:rPr>
        <w:t xml:space="preserve">et al. </w:t>
      </w:r>
      <w:r w:rsidRPr="00B639F0">
        <w:t>2005).</w:t>
      </w:r>
    </w:p>
    <w:p w14:paraId="312D4A60" w14:textId="77777777" w:rsidR="009143BC" w:rsidRPr="0071303F" w:rsidRDefault="009143BC" w:rsidP="00CE5CBD">
      <w:pPr>
        <w:pStyle w:val="Heading3"/>
      </w:pPr>
      <w:bookmarkStart w:id="39" w:name="_Toc341876852"/>
      <w:bookmarkStart w:id="40" w:name="_Toc341876853"/>
      <w:bookmarkStart w:id="41" w:name="_Toc341876854"/>
      <w:bookmarkStart w:id="42" w:name="_Toc354750889"/>
      <w:bookmarkStart w:id="43" w:name="_Toc424721502"/>
      <w:bookmarkEnd w:id="39"/>
      <w:bookmarkEnd w:id="40"/>
      <w:bookmarkEnd w:id="41"/>
      <w:r w:rsidRPr="0071303F">
        <w:t>Persistence and Frequency of Exceedance</w:t>
      </w:r>
      <w:bookmarkEnd w:id="42"/>
      <w:bookmarkEnd w:id="43"/>
    </w:p>
    <w:p w14:paraId="318B20E3" w14:textId="60BC0906" w:rsidR="009143BC" w:rsidRPr="00B639F0" w:rsidRDefault="00671A29" w:rsidP="00B639F0">
      <w:pPr>
        <w:spacing w:line="276" w:lineRule="auto"/>
      </w:pPr>
      <w:r>
        <w:t xml:space="preserve">Exceedances </w:t>
      </w:r>
      <w:r w:rsidR="009143BC" w:rsidRPr="00B639F0">
        <w:t xml:space="preserve">from TAH and TAqH vary based on many factors. Exceedances can vary by time of day and time of week due to the </w:t>
      </w:r>
      <w:r w:rsidR="007D5A6D" w:rsidRPr="00B639F0">
        <w:t xml:space="preserve">sources and </w:t>
      </w:r>
      <w:r w:rsidR="009143BC" w:rsidRPr="00B639F0">
        <w:t>volatility of the parameter. Factors affecting volatility include: water flow and turbulence, temperature, and solar irradiation. Factors affecting pollutant source loading include characteristics of the pollutant source (i.e. numerous, intermittent nonpoint sources such as motorized watercraft compared to continuous point source wastewater discharge)</w:t>
      </w:r>
      <w:r w:rsidR="00977B6D" w:rsidRPr="00B639F0">
        <w:t>,</w:t>
      </w:r>
      <w:r w:rsidR="009143BC" w:rsidRPr="00B639F0">
        <w:t xml:space="preserve"> and hydrological flow conditions.</w:t>
      </w:r>
    </w:p>
    <w:p w14:paraId="41798067" w14:textId="77777777" w:rsidR="009143BC" w:rsidRPr="00B639F0" w:rsidRDefault="009143BC" w:rsidP="00B639F0">
      <w:pPr>
        <w:pStyle w:val="App-Head5"/>
        <w:spacing w:line="276" w:lineRule="auto"/>
        <w:rPr>
          <w:rFonts w:ascii="Garamond" w:hAnsi="Garamond"/>
          <w:b w:val="0"/>
          <w:u w:val="single"/>
        </w:rPr>
      </w:pPr>
      <w:r w:rsidRPr="00B639F0">
        <w:rPr>
          <w:rFonts w:ascii="Garamond" w:hAnsi="Garamond"/>
          <w:b w:val="0"/>
          <w:u w:val="single"/>
        </w:rPr>
        <w:t>TAH Persistence</w:t>
      </w:r>
    </w:p>
    <w:p w14:paraId="6D3FC462" w14:textId="5B4B944B" w:rsidR="009143BC" w:rsidRPr="00B639F0" w:rsidRDefault="0015562B" w:rsidP="00B639F0">
      <w:pPr>
        <w:spacing w:line="276" w:lineRule="auto"/>
      </w:pPr>
      <w:r w:rsidRPr="00B639F0">
        <w:t xml:space="preserve">TAH </w:t>
      </w:r>
      <w:r w:rsidR="005A2D5A" w:rsidRPr="00B639F0">
        <w:t xml:space="preserve">is the sum of </w:t>
      </w:r>
      <w:r w:rsidR="00747733">
        <w:t xml:space="preserve">the concentrations of individual aromatic </w:t>
      </w:r>
      <w:r w:rsidR="005A2D5A" w:rsidRPr="00B639F0">
        <w:t xml:space="preserve">BTEX </w:t>
      </w:r>
      <w:r w:rsidR="00CB3FE6">
        <w:t xml:space="preserve">compounds </w:t>
      </w:r>
      <w:r w:rsidR="005A2D5A" w:rsidRPr="00B639F0">
        <w:t xml:space="preserve">and these </w:t>
      </w:r>
      <w:r w:rsidRPr="00B639F0">
        <w:t xml:space="preserve">compounds are </w:t>
      </w:r>
      <w:r w:rsidR="00080B2A">
        <w:t>extremely volatile</w:t>
      </w:r>
      <w:r w:rsidRPr="00B639F0">
        <w:t xml:space="preserve">. </w:t>
      </w:r>
      <w:r w:rsidR="00747733">
        <w:t xml:space="preserve">As a result, </w:t>
      </w:r>
      <w:r w:rsidR="009143BC" w:rsidRPr="00B639F0">
        <w:t>TAH concentrations are likely to have pronounced short-term fluctuations in the water column.</w:t>
      </w:r>
      <w:r w:rsidR="000D2B68">
        <w:t xml:space="preserve"> </w:t>
      </w:r>
    </w:p>
    <w:p w14:paraId="425DE30E" w14:textId="77777777" w:rsidR="009143BC" w:rsidRPr="00B639F0" w:rsidRDefault="009143BC" w:rsidP="00B639F0">
      <w:pPr>
        <w:pStyle w:val="App-Head5"/>
        <w:spacing w:line="276" w:lineRule="auto"/>
        <w:rPr>
          <w:rFonts w:ascii="Garamond" w:hAnsi="Garamond"/>
          <w:b w:val="0"/>
          <w:u w:val="single"/>
        </w:rPr>
      </w:pPr>
      <w:r w:rsidRPr="00B639F0">
        <w:rPr>
          <w:rFonts w:ascii="Garamond" w:hAnsi="Garamond"/>
          <w:b w:val="0"/>
          <w:u w:val="single"/>
        </w:rPr>
        <w:t>TAqH Persistence</w:t>
      </w:r>
    </w:p>
    <w:p w14:paraId="4B84C661" w14:textId="0E1B27AB" w:rsidR="00810B46" w:rsidRPr="00F52183" w:rsidRDefault="005A2D5A" w:rsidP="00B639F0">
      <w:pPr>
        <w:spacing w:line="276" w:lineRule="auto"/>
        <w:rPr>
          <w:color w:val="FF0000"/>
        </w:rPr>
      </w:pPr>
      <w:r w:rsidRPr="00F52183">
        <w:t>TA</w:t>
      </w:r>
      <w:r w:rsidR="005A20BA" w:rsidRPr="00F52183">
        <w:t>q</w:t>
      </w:r>
      <w:r w:rsidRPr="00F52183">
        <w:t xml:space="preserve">H is the sum of BTEX and </w:t>
      </w:r>
      <w:r w:rsidR="005A20BA" w:rsidRPr="00F52183">
        <w:t xml:space="preserve">polycyclic aromatic hydrocarbons (PAHs). PAH </w:t>
      </w:r>
      <w:r w:rsidR="000357E1" w:rsidRPr="00F52183">
        <w:t xml:space="preserve">compounds </w:t>
      </w:r>
      <w:r w:rsidR="009143BC" w:rsidRPr="00F52183">
        <w:t xml:space="preserve">are less volatile </w:t>
      </w:r>
      <w:r w:rsidR="000357E1" w:rsidRPr="00F52183">
        <w:t xml:space="preserve">and also less soluble </w:t>
      </w:r>
      <w:r w:rsidR="009143BC" w:rsidRPr="00F52183">
        <w:t xml:space="preserve">than </w:t>
      </w:r>
      <w:r w:rsidR="00810B46" w:rsidRPr="00F52183">
        <w:t xml:space="preserve">BTEX </w:t>
      </w:r>
      <w:r w:rsidR="000357E1" w:rsidRPr="00F52183">
        <w:t>compounds</w:t>
      </w:r>
      <w:r w:rsidR="000D2B68" w:rsidRPr="00F52183">
        <w:t>.</w:t>
      </w:r>
      <w:r w:rsidR="009143BC" w:rsidRPr="00F52183">
        <w:t xml:space="preserve"> </w:t>
      </w:r>
      <w:r w:rsidR="00810B46" w:rsidRPr="00F52183">
        <w:t xml:space="preserve">Due to various factors including dilution, volatilization, photolysis, and biodegradation, these petroleum hydrocarbon fractions are unlikely to persist in the water column for an extended period of time. </w:t>
      </w:r>
    </w:p>
    <w:p w14:paraId="26DC68E1" w14:textId="228FC97B" w:rsidR="009143BC" w:rsidRPr="00B639F0" w:rsidRDefault="00810B46" w:rsidP="00B639F0">
      <w:pPr>
        <w:spacing w:line="276" w:lineRule="auto"/>
      </w:pPr>
      <w:r w:rsidRPr="00F52183">
        <w:t xml:space="preserve">PAHs </w:t>
      </w:r>
      <w:r w:rsidR="009143BC" w:rsidRPr="00F52183">
        <w:t>are</w:t>
      </w:r>
      <w:r w:rsidR="000D2B68" w:rsidRPr="00F52183">
        <w:t xml:space="preserve"> </w:t>
      </w:r>
      <w:r w:rsidR="009143BC" w:rsidRPr="00F52183">
        <w:t xml:space="preserve">more likely to accumulate in sediments where they can </w:t>
      </w:r>
      <w:r w:rsidR="000D2B68" w:rsidRPr="00F52183">
        <w:t xml:space="preserve">remain </w:t>
      </w:r>
      <w:r w:rsidR="009143BC" w:rsidRPr="00F52183">
        <w:t xml:space="preserve">for decades under some conditions. </w:t>
      </w:r>
      <w:r w:rsidR="007F0928" w:rsidRPr="00F52183">
        <w:t xml:space="preserve">As a result </w:t>
      </w:r>
      <w:r w:rsidR="005A2D5A" w:rsidRPr="00F52183">
        <w:t>PAH</w:t>
      </w:r>
      <w:r w:rsidR="005A20BA" w:rsidRPr="00F52183">
        <w:t>s</w:t>
      </w:r>
      <w:r w:rsidR="007F0928" w:rsidRPr="00F52183">
        <w:t xml:space="preserve"> are frequently used</w:t>
      </w:r>
      <w:r w:rsidR="000357E1" w:rsidRPr="00F52183">
        <w:t xml:space="preserve"> to implement the narrative criterion for sediment </w:t>
      </w:r>
      <w:r w:rsidR="000357E1" w:rsidRPr="00F52183">
        <w:lastRenderedPageBreak/>
        <w:t>in the petroleum standard</w:t>
      </w:r>
      <w:r w:rsidRPr="00F52183">
        <w:t>, which is discussed in more detail in Section 2.2</w:t>
      </w:r>
      <w:r w:rsidR="009143BC" w:rsidRPr="00F52183">
        <w:t>.</w:t>
      </w:r>
      <w:r w:rsidR="000D2B68" w:rsidRPr="00F52183">
        <w:t xml:space="preserve"> </w:t>
      </w:r>
      <w:r w:rsidR="004A59A8" w:rsidRPr="00F52183">
        <w:t xml:space="preserve">In addition, </w:t>
      </w:r>
      <w:r w:rsidR="000D2B68" w:rsidRPr="00F52183">
        <w:t xml:space="preserve">BTEX compounds are readily </w:t>
      </w:r>
      <w:r w:rsidR="004A59A8" w:rsidRPr="00F52183">
        <w:t xml:space="preserve">volatile and </w:t>
      </w:r>
      <w:r w:rsidRPr="00F52183">
        <w:t>bio</w:t>
      </w:r>
      <w:r w:rsidR="000D2B68" w:rsidRPr="00F52183">
        <w:t xml:space="preserve">degradable and </w:t>
      </w:r>
      <w:r w:rsidR="004A59A8" w:rsidRPr="00F52183">
        <w:t xml:space="preserve">therefore, </w:t>
      </w:r>
      <w:r w:rsidR="000D2B68" w:rsidRPr="00F52183">
        <w:t xml:space="preserve">less likely to accumulate </w:t>
      </w:r>
      <w:r w:rsidRPr="00F52183">
        <w:t xml:space="preserve">and remain </w:t>
      </w:r>
      <w:r w:rsidR="000D2B68" w:rsidRPr="00F52183">
        <w:t>in sediments</w:t>
      </w:r>
      <w:r w:rsidR="007F0928" w:rsidRPr="00F52183">
        <w:t xml:space="preserve"> for extended periods.</w:t>
      </w:r>
    </w:p>
    <w:p w14:paraId="70B03C94" w14:textId="77777777" w:rsidR="009143BC" w:rsidRPr="0071303F" w:rsidRDefault="009143BC" w:rsidP="00CE5CBD">
      <w:pPr>
        <w:pStyle w:val="Heading3"/>
      </w:pPr>
      <w:bookmarkStart w:id="44" w:name="_Toc354750890"/>
      <w:bookmarkStart w:id="45" w:name="_Toc424721503"/>
      <w:r w:rsidRPr="0071303F">
        <w:t>Duration of Exposure</w:t>
      </w:r>
      <w:bookmarkEnd w:id="44"/>
      <w:bookmarkEnd w:id="45"/>
    </w:p>
    <w:p w14:paraId="3410E67D" w14:textId="79AEF7ED" w:rsidR="009143BC" w:rsidRPr="00B639F0" w:rsidRDefault="00671A29" w:rsidP="00B639F0">
      <w:pPr>
        <w:spacing w:line="276" w:lineRule="auto"/>
      </w:pPr>
      <w:r>
        <w:t>The duration of exposure to a pollutant in</w:t>
      </w:r>
      <w:r w:rsidR="009143BC" w:rsidRPr="00B639F0">
        <w:t xml:space="preserve"> exceedance of a chronic criterion is based on a 4-day average, which also corresponds to the duration of a chronic toxicity test. The duration of acute exposure is 1-hour or 24-hours depending on the parameter. For most pollutants (especially when part of a relatively </w:t>
      </w:r>
      <w:r w:rsidR="0060303D" w:rsidRPr="00B639F0">
        <w:t>consistent</w:t>
      </w:r>
      <w:r w:rsidR="009143BC" w:rsidRPr="00B639F0">
        <w:t xml:space="preserve"> and continuous wastewater discharge), weekly or even monthly sampling is sufficient to establish whether or not there has been sustained exposure exceeding the duration period of the criterion.</w:t>
      </w:r>
    </w:p>
    <w:p w14:paraId="07671278" w14:textId="77777777" w:rsidR="009143BC" w:rsidRPr="00B639F0" w:rsidRDefault="009143BC" w:rsidP="00B639F0">
      <w:pPr>
        <w:pStyle w:val="App-Head5"/>
        <w:spacing w:line="276" w:lineRule="auto"/>
        <w:rPr>
          <w:rFonts w:ascii="Garamond" w:hAnsi="Garamond"/>
          <w:b w:val="0"/>
          <w:u w:val="single"/>
        </w:rPr>
      </w:pPr>
      <w:r w:rsidRPr="00B639F0">
        <w:rPr>
          <w:rFonts w:ascii="Garamond" w:hAnsi="Garamond"/>
          <w:b w:val="0"/>
          <w:u w:val="single"/>
        </w:rPr>
        <w:t>TAH Exposure</w:t>
      </w:r>
    </w:p>
    <w:p w14:paraId="183C3CE5" w14:textId="74F9C526" w:rsidR="009143BC" w:rsidRPr="00B639F0" w:rsidRDefault="009143BC" w:rsidP="00B639F0">
      <w:pPr>
        <w:spacing w:line="276" w:lineRule="auto"/>
      </w:pPr>
      <w:r w:rsidRPr="00B639F0">
        <w:t xml:space="preserve">The volatility of TAH can result in exposure durations that are very short, particularly if the source is intermittent as </w:t>
      </w:r>
      <w:r w:rsidR="00671A29">
        <w:t xml:space="preserve">from </w:t>
      </w:r>
      <w:r w:rsidRPr="00B639F0">
        <w:t>a passing motorized watercraft. For this type of pollution source, chronic exposure to elevated TAH concentrations is only likely</w:t>
      </w:r>
      <w:r w:rsidR="000F74DF" w:rsidRPr="00B639F0">
        <w:t xml:space="preserve"> in certain instances such as </w:t>
      </w:r>
      <w:r w:rsidRPr="00B639F0">
        <w:t xml:space="preserve">when watercraft are numerous and in a particular area for sustained periods. </w:t>
      </w:r>
      <w:r w:rsidR="007B08E3">
        <w:t>Due to both the volatility of the pollutant</w:t>
      </w:r>
      <w:r w:rsidR="00671A29">
        <w:t>s</w:t>
      </w:r>
      <w:r w:rsidR="00080B2A">
        <w:t>,</w:t>
      </w:r>
      <w:r w:rsidR="007B08E3">
        <w:t xml:space="preserve"> </w:t>
      </w:r>
      <w:r w:rsidR="00080B2A">
        <w:t>when there are</w:t>
      </w:r>
      <w:r w:rsidR="007B08E3">
        <w:t xml:space="preserve"> intermittent sources</w:t>
      </w:r>
      <w:r w:rsidRPr="00B639F0">
        <w:t xml:space="preserve"> more frequent sampling may be necessary</w:t>
      </w:r>
      <w:r w:rsidR="000357E1">
        <w:t xml:space="preserve"> for TAH than is </w:t>
      </w:r>
      <w:r w:rsidR="007B08E3">
        <w:t xml:space="preserve">necessary for </w:t>
      </w:r>
      <w:r w:rsidR="000357E1">
        <w:t xml:space="preserve">sampling for other toxic </w:t>
      </w:r>
      <w:r w:rsidR="007B08E3">
        <w:t>pollutants</w:t>
      </w:r>
      <w:r w:rsidRPr="00B639F0">
        <w:t xml:space="preserve"> to establish the average concentration during the critical exposure period</w:t>
      </w:r>
      <w:r w:rsidR="007B08E3">
        <w:t>.</w:t>
      </w:r>
    </w:p>
    <w:p w14:paraId="59F8D29D" w14:textId="77777777" w:rsidR="009143BC" w:rsidRPr="00B639F0" w:rsidRDefault="009143BC" w:rsidP="00B639F0">
      <w:pPr>
        <w:pStyle w:val="App-Head5"/>
        <w:spacing w:line="276" w:lineRule="auto"/>
        <w:rPr>
          <w:rFonts w:ascii="Garamond" w:hAnsi="Garamond"/>
          <w:b w:val="0"/>
          <w:u w:val="single"/>
        </w:rPr>
      </w:pPr>
      <w:r w:rsidRPr="00B639F0">
        <w:rPr>
          <w:rFonts w:ascii="Garamond" w:hAnsi="Garamond"/>
          <w:b w:val="0"/>
          <w:u w:val="single"/>
        </w:rPr>
        <w:t>TAqH Exposure</w:t>
      </w:r>
    </w:p>
    <w:p w14:paraId="39B4BE6E" w14:textId="495C4B68" w:rsidR="009143BC" w:rsidRPr="00B639F0" w:rsidRDefault="009143BC" w:rsidP="00B639F0">
      <w:pPr>
        <w:spacing w:line="276" w:lineRule="auto"/>
      </w:pPr>
      <w:r w:rsidRPr="00B639F0">
        <w:t>TAqH</w:t>
      </w:r>
      <w:r w:rsidR="007B08E3">
        <w:t xml:space="preserve"> compounds are</w:t>
      </w:r>
      <w:r w:rsidRPr="00B639F0">
        <w:t xml:space="preserve"> less volatile and therefore exposure duration is easier to demonstrate. However, TAqH, like TAH, may be rapidly diluted when in the water column, so sustained exposure is more likely</w:t>
      </w:r>
      <w:r w:rsidR="007B08E3">
        <w:t xml:space="preserve"> to occur</w:t>
      </w:r>
      <w:r w:rsidRPr="00B639F0">
        <w:t xml:space="preserve"> in </w:t>
      </w:r>
      <w:r w:rsidR="007B08E3">
        <w:t>bottoms</w:t>
      </w:r>
      <w:r w:rsidR="007B08E3" w:rsidRPr="00B639F0">
        <w:t xml:space="preserve"> </w:t>
      </w:r>
      <w:r w:rsidRPr="00B639F0">
        <w:t>sediment</w:t>
      </w:r>
      <w:r w:rsidR="007B08E3">
        <w:t>s where the same types of compounds are measured as PAH</w:t>
      </w:r>
      <w:r w:rsidRPr="00B639F0">
        <w:t>.</w:t>
      </w:r>
    </w:p>
    <w:p w14:paraId="65FA634A" w14:textId="77777777" w:rsidR="009143BC" w:rsidRPr="0071303F" w:rsidRDefault="00746C2E" w:rsidP="00746C2E">
      <w:pPr>
        <w:pStyle w:val="Heading1"/>
      </w:pPr>
      <w:bookmarkStart w:id="46" w:name="_Toc354750859"/>
      <w:bookmarkStart w:id="47" w:name="_Toc354750891"/>
      <w:bookmarkStart w:id="48" w:name="_Toc354750892"/>
      <w:bookmarkStart w:id="49" w:name="_Toc424721504"/>
      <w:bookmarkStart w:id="50" w:name="_Toc382831523"/>
      <w:bookmarkEnd w:id="46"/>
      <w:bookmarkEnd w:id="47"/>
      <w:r w:rsidRPr="0071303F">
        <w:t xml:space="preserve">Implementing </w:t>
      </w:r>
      <w:bookmarkEnd w:id="48"/>
      <w:r w:rsidR="00D15F30" w:rsidRPr="0071303F">
        <w:t>Methods</w:t>
      </w:r>
      <w:bookmarkEnd w:id="49"/>
      <w:r w:rsidR="009143BC" w:rsidRPr="0071303F">
        <w:t xml:space="preserve"> </w:t>
      </w:r>
      <w:bookmarkEnd w:id="50"/>
    </w:p>
    <w:p w14:paraId="51C00C36" w14:textId="2D3819D8" w:rsidR="009143BC" w:rsidRPr="00B639F0" w:rsidRDefault="009143BC" w:rsidP="00B639F0">
      <w:pPr>
        <w:spacing w:line="276" w:lineRule="auto"/>
      </w:pPr>
      <w:r w:rsidRPr="00B639F0">
        <w:t>DEC recommends using current data (</w:t>
      </w:r>
      <w:r w:rsidR="009E2637" w:rsidRPr="00B639F0">
        <w:t>within five</w:t>
      </w:r>
      <w:r w:rsidR="00977B6D" w:rsidRPr="00B639F0">
        <w:t xml:space="preserve"> </w:t>
      </w:r>
      <w:r w:rsidR="008C5769" w:rsidRPr="00B639F0">
        <w:t xml:space="preserve">to ten </w:t>
      </w:r>
      <w:r w:rsidRPr="00B639F0">
        <w:t xml:space="preserve">years old) to determine impairment, but may consider the use of older documentation or data when the number of recent data points is limited or seasonality is not well captured. Older data are generally given less significance unless circumstances that would lead to impairment have not changed. In addition, DEC recognizes that data collected prior to development of this </w:t>
      </w:r>
      <w:r w:rsidR="00D15F30" w:rsidRPr="00B639F0">
        <w:t>listing methodology</w:t>
      </w:r>
      <w:r w:rsidRPr="00B639F0">
        <w:t xml:space="preserve"> may not be as comprehensive as newly collected data. Data collected prior to this </w:t>
      </w:r>
      <w:r w:rsidR="00D15F30" w:rsidRPr="00B639F0">
        <w:t>methodology</w:t>
      </w:r>
      <w:r w:rsidRPr="00B639F0">
        <w:t xml:space="preserve"> and from independent sources not using this protocol should be considered in impairment decisions after evaluating the data to determine similarities to and applicability with a more recent data set. Furthermore, </w:t>
      </w:r>
      <w:r w:rsidR="00671A29">
        <w:t xml:space="preserve">additional </w:t>
      </w:r>
      <w:r w:rsidRPr="00B639F0">
        <w:t>sampling:</w:t>
      </w:r>
    </w:p>
    <w:p w14:paraId="5C443BEC" w14:textId="77777777" w:rsidR="00671A29" w:rsidRDefault="00D6351C" w:rsidP="00B639F0">
      <w:pPr>
        <w:pStyle w:val="ListBullet"/>
        <w:spacing w:line="276" w:lineRule="auto"/>
        <w:rPr>
          <w:rFonts w:ascii="Garamond" w:hAnsi="Garamond"/>
        </w:rPr>
      </w:pPr>
      <w:r w:rsidRPr="00B639F0">
        <w:rPr>
          <w:rFonts w:ascii="Garamond" w:hAnsi="Garamond"/>
        </w:rPr>
        <w:lastRenderedPageBreak/>
        <w:t>May need to</w:t>
      </w:r>
      <w:r w:rsidR="009143BC" w:rsidRPr="00B639F0">
        <w:rPr>
          <w:rFonts w:ascii="Garamond" w:hAnsi="Garamond"/>
        </w:rPr>
        <w:t xml:space="preserve"> be conducted for all</w:t>
      </w:r>
      <w:r w:rsidR="003B2E45" w:rsidRPr="00B639F0">
        <w:rPr>
          <w:rFonts w:ascii="Garamond" w:hAnsi="Garamond"/>
        </w:rPr>
        <w:t xml:space="preserve"> portions of the waterbody that may be affected by</w:t>
      </w:r>
      <w:r w:rsidR="009143BC" w:rsidRPr="00B639F0">
        <w:rPr>
          <w:rFonts w:ascii="Garamond" w:hAnsi="Garamond"/>
        </w:rPr>
        <w:t xml:space="preserve"> suspected impairments (i.e., water surface, floor, adjoining shoreline, water column, and bottom sediments) to establish the spatial extent of the suspected impairment</w:t>
      </w:r>
      <w:r w:rsidR="00671A29">
        <w:rPr>
          <w:rFonts w:ascii="Garamond" w:hAnsi="Garamond"/>
        </w:rPr>
        <w:t xml:space="preserve">. </w:t>
      </w:r>
    </w:p>
    <w:p w14:paraId="4FA156E6" w14:textId="26CF0797" w:rsidR="009143BC" w:rsidRPr="00B639F0" w:rsidRDefault="00671A29" w:rsidP="00B639F0">
      <w:pPr>
        <w:pStyle w:val="ListBullet"/>
        <w:spacing w:line="276" w:lineRule="auto"/>
        <w:rPr>
          <w:rFonts w:ascii="Garamond" w:hAnsi="Garamond"/>
        </w:rPr>
      </w:pPr>
      <w:r>
        <w:rPr>
          <w:rFonts w:ascii="Garamond" w:hAnsi="Garamond"/>
        </w:rPr>
        <w:t xml:space="preserve">May need to be conducted more over a longer time period and more frequently to satisfy the requirements outlined in this guidance. </w:t>
      </w:r>
      <w:r w:rsidR="009143BC" w:rsidRPr="00B639F0">
        <w:rPr>
          <w:rFonts w:ascii="Garamond" w:hAnsi="Garamond"/>
        </w:rPr>
        <w:t xml:space="preserve"> </w:t>
      </w:r>
    </w:p>
    <w:p w14:paraId="7B8F82E1" w14:textId="6B022669" w:rsidR="009143BC" w:rsidRPr="00B639F0" w:rsidRDefault="009143BC" w:rsidP="00B639F0">
      <w:pPr>
        <w:pStyle w:val="ListBullet"/>
        <w:spacing w:line="276" w:lineRule="auto"/>
        <w:rPr>
          <w:rFonts w:ascii="Garamond" w:hAnsi="Garamond"/>
        </w:rPr>
      </w:pPr>
      <w:r w:rsidRPr="00B639F0">
        <w:rPr>
          <w:rFonts w:ascii="Garamond" w:hAnsi="Garamond"/>
        </w:rPr>
        <w:t xml:space="preserve">Must be </w:t>
      </w:r>
      <w:r w:rsidR="006134C6">
        <w:rPr>
          <w:rFonts w:ascii="Garamond" w:hAnsi="Garamond"/>
        </w:rPr>
        <w:t>performed</w:t>
      </w:r>
      <w:r w:rsidRPr="00B639F0">
        <w:rPr>
          <w:rFonts w:ascii="Garamond" w:hAnsi="Garamond"/>
        </w:rPr>
        <w:t xml:space="preserve"> and observations conducted under a </w:t>
      </w:r>
      <w:r w:rsidR="00816405" w:rsidRPr="00B639F0">
        <w:rPr>
          <w:rFonts w:ascii="Garamond" w:hAnsi="Garamond"/>
        </w:rPr>
        <w:t>Quality Assurance Project Plan (</w:t>
      </w:r>
      <w:r w:rsidRPr="00B639F0">
        <w:rPr>
          <w:rFonts w:ascii="Garamond" w:hAnsi="Garamond"/>
        </w:rPr>
        <w:t>QAPP</w:t>
      </w:r>
      <w:r w:rsidR="00816405" w:rsidRPr="00B639F0">
        <w:rPr>
          <w:rFonts w:ascii="Garamond" w:hAnsi="Garamond"/>
        </w:rPr>
        <w:t>)</w:t>
      </w:r>
      <w:r w:rsidRPr="00B639F0">
        <w:rPr>
          <w:rFonts w:ascii="Garamond" w:hAnsi="Garamond"/>
        </w:rPr>
        <w:t xml:space="preserve"> written in accordance with DEC guidance or under a DEC-approved QAPP.</w:t>
      </w:r>
    </w:p>
    <w:p w14:paraId="4B9CDCF6" w14:textId="77777777" w:rsidR="009143BC" w:rsidRPr="0071303F" w:rsidRDefault="009143BC">
      <w:pPr>
        <w:pStyle w:val="Heading2"/>
      </w:pPr>
      <w:bookmarkStart w:id="51" w:name="_Toc354750893"/>
      <w:bookmarkStart w:id="52" w:name="_Toc424721505"/>
      <w:r w:rsidRPr="0071303F">
        <w:t>Sampling and Laboratory Analysis Methods</w:t>
      </w:r>
      <w:bookmarkEnd w:id="51"/>
      <w:bookmarkEnd w:id="52"/>
    </w:p>
    <w:p w14:paraId="5BD5A082" w14:textId="2D9AA538" w:rsidR="00264AC9" w:rsidRPr="00B639F0" w:rsidRDefault="009143BC" w:rsidP="00B639F0">
      <w:pPr>
        <w:spacing w:line="276" w:lineRule="auto"/>
      </w:pPr>
      <w:r w:rsidRPr="00B639F0">
        <w:t xml:space="preserve">The authorized sampling and analysis methods for </w:t>
      </w:r>
      <w:r w:rsidR="00C37CC3" w:rsidRPr="00B639F0">
        <w:t>TAH and TAqH</w:t>
      </w:r>
      <w:r w:rsidR="00D9074A" w:rsidRPr="00B639F0">
        <w:t xml:space="preserve"> in the water column</w:t>
      </w:r>
      <w:r w:rsidRPr="00B639F0">
        <w:t xml:space="preserve"> are found in 18 AAC 70.020(b) Note 7</w:t>
      </w:r>
      <w:r w:rsidR="006134C6">
        <w:t xml:space="preserve"> found in Section 1.1 of this document.  </w:t>
      </w:r>
      <w:r w:rsidRPr="00B639F0">
        <w:t xml:space="preserve"> </w:t>
      </w:r>
    </w:p>
    <w:p w14:paraId="0EF7AC29" w14:textId="5F8972C4" w:rsidR="00B022D9" w:rsidRPr="00B639F0" w:rsidRDefault="00B022D9" w:rsidP="00B639F0">
      <w:pPr>
        <w:spacing w:line="276" w:lineRule="auto"/>
      </w:pPr>
      <w:r w:rsidRPr="00B639F0">
        <w:t xml:space="preserve">However, for the purposes of ascertaining an impairment determination EPA Method 624 and EPA Method 625 </w:t>
      </w:r>
      <w:r w:rsidR="009D62B0">
        <w:t xml:space="preserve">are </w:t>
      </w:r>
      <w:r w:rsidR="005A20BA">
        <w:t xml:space="preserve">strongly </w:t>
      </w:r>
      <w:r w:rsidR="009D62B0">
        <w:t>recommended instead of the older EPA Methods 602 and 610</w:t>
      </w:r>
      <w:r w:rsidRPr="00B639F0">
        <w:t>.</w:t>
      </w:r>
    </w:p>
    <w:p w14:paraId="75B3EE6C" w14:textId="77777777" w:rsidR="009143BC" w:rsidRPr="0071303F" w:rsidRDefault="009143BC">
      <w:pPr>
        <w:pStyle w:val="Heading2"/>
      </w:pPr>
      <w:bookmarkStart w:id="53" w:name="_Toc354750894"/>
      <w:bookmarkStart w:id="54" w:name="_Toc424721506"/>
      <w:r w:rsidRPr="0071303F">
        <w:t>Sediment Sampling</w:t>
      </w:r>
      <w:bookmarkEnd w:id="53"/>
      <w:bookmarkEnd w:id="54"/>
    </w:p>
    <w:p w14:paraId="5AF8B128" w14:textId="1D4CF3C3" w:rsidR="006134C6" w:rsidRDefault="009143BC" w:rsidP="00491FB9">
      <w:pPr>
        <w:spacing w:line="276" w:lineRule="auto"/>
      </w:pPr>
      <w:r w:rsidRPr="00B639F0">
        <w:t xml:space="preserve">DEC has not promulgated </w:t>
      </w:r>
      <w:r w:rsidR="005E2224">
        <w:t xml:space="preserve">numeric </w:t>
      </w:r>
      <w:r w:rsidRPr="00B639F0">
        <w:t xml:space="preserve">sediment quality standards; however, the DEC Contaminated Sites Program has issued the technical memorandum </w:t>
      </w:r>
      <w:r w:rsidRPr="00B639F0">
        <w:rPr>
          <w:rStyle w:val="Emphasis"/>
          <w:rFonts w:ascii="Garamond" w:hAnsi="Garamond"/>
        </w:rPr>
        <w:t>Sediment Quality Guidelines</w:t>
      </w:r>
      <w:r w:rsidRPr="00B639F0">
        <w:t xml:space="preserve"> (DEC </w:t>
      </w:r>
      <w:r w:rsidR="00E449D0" w:rsidRPr="00B639F0">
        <w:t>2013</w:t>
      </w:r>
      <w:r w:rsidRPr="00B639F0">
        <w:t xml:space="preserve">), which </w:t>
      </w:r>
      <w:r w:rsidR="00E449D0" w:rsidRPr="00B639F0">
        <w:t xml:space="preserve">states the Department </w:t>
      </w:r>
      <w:r w:rsidRPr="00491FB9">
        <w:t xml:space="preserve">recommends the use of </w:t>
      </w:r>
      <w:r w:rsidR="00350D8B" w:rsidRPr="00491FB9">
        <w:t>Probable effect levels (</w:t>
      </w:r>
      <w:r w:rsidRPr="00491FB9">
        <w:t>PELs</w:t>
      </w:r>
      <w:r w:rsidR="00350D8B" w:rsidRPr="00491FB9">
        <w:t>)</w:t>
      </w:r>
      <w:r w:rsidRPr="00491FB9">
        <w:t xml:space="preserve"> and </w:t>
      </w:r>
      <w:r w:rsidR="00350D8B" w:rsidRPr="00491FB9">
        <w:t>threshold effect levels (</w:t>
      </w:r>
      <w:r w:rsidRPr="00491FB9">
        <w:t>TELs</w:t>
      </w:r>
      <w:r w:rsidR="00350D8B" w:rsidRPr="00491FB9">
        <w:t>)</w:t>
      </w:r>
      <w:r w:rsidRPr="00491FB9">
        <w:t xml:space="preserve"> from the most current NOAA SQuiRT (</w:t>
      </w:r>
      <w:hyperlink r:id="rId16" w:history="1">
        <w:r w:rsidRPr="00491FB9">
          <w:rPr>
            <w:rStyle w:val="Hyperlink"/>
          </w:rPr>
          <w:t>http://response.restoration.noaa.gov/sites/default/files/SQuiRTs.pdf</w:t>
        </w:r>
      </w:hyperlink>
      <w:r w:rsidRPr="00491FB9">
        <w:t xml:space="preserve">) to evaluate sediment quality. </w:t>
      </w:r>
      <w:r w:rsidR="006134C6" w:rsidRPr="00491FB9">
        <w:t>PELs represent the concentration above which adverse effects are expected to occur frequently. TELs represent the concentration below which adverse effects are expected to occur rarely.  DEC uses SQuiRTs to implement narrative criteria for petroleum hydrocarbons, oils and grease in fresh water and marine water sediments.</w:t>
      </w:r>
      <w:r w:rsidR="006134C6">
        <w:t xml:space="preserve"> The guidelines recommend a weight of evidence approach and additional information must be considered when it is available.</w:t>
      </w:r>
    </w:p>
    <w:p w14:paraId="368812FB" w14:textId="53D691F0" w:rsidR="006134C6" w:rsidRPr="00491FB9" w:rsidRDefault="00C37CC3" w:rsidP="00491FB9">
      <w:pPr>
        <w:spacing w:line="276" w:lineRule="auto"/>
      </w:pPr>
      <w:r w:rsidRPr="00491FB9">
        <w:t xml:space="preserve">If TEL/PEL values are not listed for a contaminant of concern (COC), alternative published screening levels may be proposed and reviewed by the department on a site specific basis. </w:t>
      </w:r>
      <w:r w:rsidR="006134C6">
        <w:t>T</w:t>
      </w:r>
      <w:r w:rsidR="00E449D0" w:rsidRPr="00491FB9">
        <w:t xml:space="preserve">he </w:t>
      </w:r>
      <w:r w:rsidR="00C71C98" w:rsidRPr="00491FB9">
        <w:t>guidelines recommend a weight of evidence approach.</w:t>
      </w:r>
      <w:r w:rsidR="00D9074A" w:rsidRPr="00491FB9">
        <w:t xml:space="preserve"> </w:t>
      </w:r>
    </w:p>
    <w:p w14:paraId="18EA96B0" w14:textId="2184EC7F" w:rsidR="009143BC" w:rsidRPr="0071303F" w:rsidRDefault="00D15F30" w:rsidP="0071303F">
      <w:pPr>
        <w:pStyle w:val="Heading2"/>
      </w:pPr>
      <w:bookmarkStart w:id="55" w:name="_Toc354750895"/>
      <w:bookmarkStart w:id="56" w:name="_Toc424721507"/>
      <w:r w:rsidRPr="0071303F">
        <w:t>Sample-S</w:t>
      </w:r>
      <w:r w:rsidR="009143BC" w:rsidRPr="0071303F">
        <w:t xml:space="preserve">pecific </w:t>
      </w:r>
      <w:bookmarkEnd w:id="55"/>
      <w:r w:rsidRPr="0071303F">
        <w:t>Methods</w:t>
      </w:r>
      <w:bookmarkEnd w:id="56"/>
    </w:p>
    <w:p w14:paraId="7AA39070" w14:textId="77777777" w:rsidR="009143BC" w:rsidRPr="00B639F0" w:rsidRDefault="009143BC" w:rsidP="00491FB9">
      <w:pPr>
        <w:spacing w:line="276" w:lineRule="auto"/>
      </w:pPr>
      <w:r w:rsidRPr="00B639F0">
        <w:t>Sampling guidelines for specific provisions within the criteria are included in the following subsections.</w:t>
      </w:r>
    </w:p>
    <w:p w14:paraId="6FE902DC" w14:textId="77777777" w:rsidR="009143BC" w:rsidRPr="0071303F" w:rsidRDefault="009143BC" w:rsidP="00CE5CBD">
      <w:pPr>
        <w:pStyle w:val="Heading3"/>
      </w:pPr>
      <w:bookmarkStart w:id="57" w:name="_Toc354750896"/>
      <w:bookmarkStart w:id="58" w:name="_Toc424721508"/>
      <w:r w:rsidRPr="0071303F">
        <w:lastRenderedPageBreak/>
        <w:t>Water Surface, Floor, and Adjoining Shoreline</w:t>
      </w:r>
      <w:bookmarkEnd w:id="57"/>
      <w:bookmarkEnd w:id="58"/>
    </w:p>
    <w:p w14:paraId="591F9A98" w14:textId="77777777" w:rsidR="009143BC" w:rsidRPr="00B639F0" w:rsidRDefault="009143BC" w:rsidP="00491FB9">
      <w:pPr>
        <w:spacing w:line="276" w:lineRule="auto"/>
      </w:pPr>
      <w:r w:rsidRPr="00B639F0">
        <w:t>The following guidelines apply to observing films, sheens, or floating oils on the water surface, floor, and adjoining shorelines for the fresh water and marine water designated uses of water supply and recreation.</w:t>
      </w:r>
    </w:p>
    <w:p w14:paraId="2C7AAFFB" w14:textId="77777777" w:rsidR="009143BC" w:rsidRPr="00491FB9" w:rsidRDefault="009143BC" w:rsidP="00491FB9">
      <w:pPr>
        <w:pStyle w:val="ListAlpha"/>
        <w:numPr>
          <w:ilvl w:val="0"/>
          <w:numId w:val="3"/>
        </w:numPr>
        <w:spacing w:line="276" w:lineRule="auto"/>
        <w:rPr>
          <w:rFonts w:ascii="Garamond" w:hAnsi="Garamond"/>
        </w:rPr>
      </w:pPr>
      <w:r w:rsidRPr="00491FB9">
        <w:rPr>
          <w:rFonts w:ascii="Garamond" w:hAnsi="Garamond"/>
          <w:u w:val="single"/>
        </w:rPr>
        <w:t>Sample Observation</w:t>
      </w:r>
      <w:r w:rsidRPr="00491FB9">
        <w:rPr>
          <w:rFonts w:ascii="Garamond" w:hAnsi="Garamond"/>
        </w:rPr>
        <w:t xml:space="preserve">: Establish that the film, sheen, or floating oils is a result of anthropogenic origins and is not a naturally occurring film or sheening event (e.g., Langmuir streaks, pollen, natural foam, algae, or algal blooms). Naturally occurring events should be documented but not considered when assessing a waterbody for potential Section 303(d) listing as impaired from </w:t>
      </w:r>
      <w:r w:rsidR="00A542AF" w:rsidRPr="00491FB9">
        <w:rPr>
          <w:rFonts w:ascii="Garamond" w:hAnsi="Garamond"/>
        </w:rPr>
        <w:t>petroleum hydrocarbons, oils and grease</w:t>
      </w:r>
      <w:r w:rsidRPr="00491FB9">
        <w:rPr>
          <w:rFonts w:ascii="Garamond" w:hAnsi="Garamond"/>
        </w:rPr>
        <w:t>.</w:t>
      </w:r>
    </w:p>
    <w:p w14:paraId="79BE0633" w14:textId="77777777" w:rsidR="009143BC" w:rsidRPr="00491FB9" w:rsidRDefault="009143BC" w:rsidP="00491FB9">
      <w:pPr>
        <w:pStyle w:val="ListAlpha"/>
        <w:numPr>
          <w:ilvl w:val="0"/>
          <w:numId w:val="3"/>
        </w:numPr>
        <w:spacing w:line="276" w:lineRule="auto"/>
        <w:rPr>
          <w:rFonts w:ascii="Garamond" w:hAnsi="Garamond"/>
        </w:rPr>
      </w:pPr>
      <w:r w:rsidRPr="00491FB9">
        <w:rPr>
          <w:rFonts w:ascii="Garamond" w:hAnsi="Garamond"/>
          <w:u w:val="single"/>
        </w:rPr>
        <w:t>Observation Reporting</w:t>
      </w:r>
      <w:r w:rsidRPr="00491FB9">
        <w:rPr>
          <w:rFonts w:ascii="Garamond" w:hAnsi="Garamond"/>
        </w:rPr>
        <w:t xml:space="preserve">: Contact the DEC </w:t>
      </w:r>
      <w:r w:rsidR="00350D8B" w:rsidRPr="00491FB9">
        <w:rPr>
          <w:rFonts w:ascii="Garamond" w:hAnsi="Garamond"/>
        </w:rPr>
        <w:t>Division of Spill Prevention and Response (</w:t>
      </w:r>
      <w:r w:rsidRPr="00491FB9">
        <w:rPr>
          <w:rFonts w:ascii="Garamond" w:hAnsi="Garamond"/>
        </w:rPr>
        <w:t>SPAR</w:t>
      </w:r>
      <w:r w:rsidR="00350D8B" w:rsidRPr="00491FB9">
        <w:rPr>
          <w:rFonts w:ascii="Garamond" w:hAnsi="Garamond"/>
        </w:rPr>
        <w:t>)</w:t>
      </w:r>
      <w:r w:rsidRPr="00491FB9">
        <w:rPr>
          <w:rFonts w:ascii="Garamond" w:hAnsi="Garamond"/>
        </w:rPr>
        <w:t xml:space="preserve"> regional emergency response section (</w:t>
      </w:r>
      <w:r w:rsidR="0087294D" w:rsidRPr="00491FB9">
        <w:rPr>
          <w:rFonts w:ascii="Garamond" w:hAnsi="Garamond"/>
        </w:rPr>
        <w:t>phone (</w:t>
      </w:r>
      <w:r w:rsidRPr="00491FB9">
        <w:rPr>
          <w:rFonts w:ascii="Garamond" w:hAnsi="Garamond"/>
        </w:rPr>
        <w:t>800</w:t>
      </w:r>
      <w:r w:rsidR="0087294D" w:rsidRPr="00491FB9">
        <w:rPr>
          <w:rFonts w:ascii="Garamond" w:hAnsi="Garamond"/>
        </w:rPr>
        <w:t xml:space="preserve">) </w:t>
      </w:r>
      <w:r w:rsidRPr="00491FB9">
        <w:rPr>
          <w:rFonts w:ascii="Garamond" w:hAnsi="Garamond"/>
        </w:rPr>
        <w:t xml:space="preserve">478-9300) to confirm </w:t>
      </w:r>
      <w:r w:rsidR="005C471B" w:rsidRPr="00491FB9">
        <w:rPr>
          <w:rFonts w:ascii="Garamond" w:hAnsi="Garamond"/>
        </w:rPr>
        <w:t xml:space="preserve">if </w:t>
      </w:r>
      <w:r w:rsidRPr="00491FB9">
        <w:rPr>
          <w:rFonts w:ascii="Garamond" w:hAnsi="Garamond"/>
        </w:rPr>
        <w:t>petroleum films or sheens have been reported. On-going DEC SPAR emergency response and clean-up efforts may obviate the need for Section 303(d) listing. Information from SPAR may also be useful in the impairment determination.</w:t>
      </w:r>
    </w:p>
    <w:p w14:paraId="0A00C073" w14:textId="77777777" w:rsidR="001F1509" w:rsidRPr="00491FB9" w:rsidRDefault="009143BC" w:rsidP="00491FB9">
      <w:pPr>
        <w:pStyle w:val="ListAlpha"/>
        <w:numPr>
          <w:ilvl w:val="0"/>
          <w:numId w:val="3"/>
        </w:numPr>
        <w:spacing w:line="276" w:lineRule="auto"/>
        <w:rPr>
          <w:rFonts w:ascii="Garamond" w:hAnsi="Garamond"/>
        </w:rPr>
      </w:pPr>
      <w:r w:rsidRPr="00491FB9">
        <w:rPr>
          <w:rFonts w:ascii="Garamond" w:hAnsi="Garamond"/>
          <w:u w:val="single"/>
        </w:rPr>
        <w:t>Frequency/Number of Samples</w:t>
      </w:r>
      <w:r w:rsidRPr="00491FB9">
        <w:rPr>
          <w:rFonts w:ascii="Garamond" w:hAnsi="Garamond"/>
        </w:rPr>
        <w:t xml:space="preserve">: </w:t>
      </w:r>
      <w:r w:rsidR="008205C9" w:rsidRPr="00491FB9">
        <w:rPr>
          <w:rFonts w:ascii="Garamond" w:hAnsi="Garamond"/>
        </w:rPr>
        <w:t>To determine impairment or attainment of the standard for films, sheens or floating oil</w:t>
      </w:r>
      <w:r w:rsidR="003D2B5A" w:rsidRPr="00491FB9">
        <w:rPr>
          <w:rFonts w:ascii="Garamond" w:hAnsi="Garamond"/>
        </w:rPr>
        <w:t xml:space="preserve">, </w:t>
      </w:r>
      <w:r w:rsidR="00363DB2" w:rsidRPr="00491FB9">
        <w:rPr>
          <w:rFonts w:ascii="Garamond" w:hAnsi="Garamond"/>
        </w:rPr>
        <w:t>a</w:t>
      </w:r>
      <w:r w:rsidR="008205C9" w:rsidRPr="00491FB9">
        <w:rPr>
          <w:rFonts w:ascii="Garamond" w:hAnsi="Garamond"/>
        </w:rPr>
        <w:t xml:space="preserve"> </w:t>
      </w:r>
      <w:r w:rsidR="001F1509" w:rsidRPr="00491FB9">
        <w:rPr>
          <w:rFonts w:ascii="Garamond" w:hAnsi="Garamond"/>
        </w:rPr>
        <w:t>listing determination</w:t>
      </w:r>
      <w:r w:rsidR="008205C9" w:rsidRPr="00491FB9">
        <w:rPr>
          <w:rFonts w:ascii="Garamond" w:hAnsi="Garamond"/>
        </w:rPr>
        <w:t xml:space="preserve"> should evaluate </w:t>
      </w:r>
      <w:r w:rsidR="001F1509" w:rsidRPr="00491FB9">
        <w:rPr>
          <w:rFonts w:ascii="Garamond" w:hAnsi="Garamond"/>
        </w:rPr>
        <w:t xml:space="preserve">at least </w:t>
      </w:r>
      <w:r w:rsidR="00447D1F" w:rsidRPr="00491FB9">
        <w:rPr>
          <w:rFonts w:ascii="Garamond" w:hAnsi="Garamond"/>
        </w:rPr>
        <w:t>30</w:t>
      </w:r>
      <w:r w:rsidR="008205C9" w:rsidRPr="00491FB9">
        <w:rPr>
          <w:rFonts w:ascii="Garamond" w:hAnsi="Garamond"/>
        </w:rPr>
        <w:t xml:space="preserve"> </w:t>
      </w:r>
      <w:r w:rsidR="001F1509" w:rsidRPr="00491FB9">
        <w:rPr>
          <w:rFonts w:ascii="Garamond" w:hAnsi="Garamond"/>
        </w:rPr>
        <w:t xml:space="preserve">independent </w:t>
      </w:r>
      <w:r w:rsidR="009E0D73" w:rsidRPr="00491FB9">
        <w:rPr>
          <w:rFonts w:ascii="Garamond" w:hAnsi="Garamond"/>
        </w:rPr>
        <w:t>sampling events</w:t>
      </w:r>
      <w:r w:rsidR="008205C9" w:rsidRPr="00491FB9">
        <w:rPr>
          <w:rFonts w:ascii="Garamond" w:hAnsi="Garamond"/>
        </w:rPr>
        <w:t xml:space="preserve"> </w:t>
      </w:r>
      <w:r w:rsidR="00363DB2" w:rsidRPr="00491FB9">
        <w:rPr>
          <w:rFonts w:ascii="Garamond" w:hAnsi="Garamond"/>
        </w:rPr>
        <w:t>representing</w:t>
      </w:r>
      <w:r w:rsidR="008205C9" w:rsidRPr="00491FB9">
        <w:rPr>
          <w:rFonts w:ascii="Garamond" w:hAnsi="Garamond"/>
        </w:rPr>
        <w:t xml:space="preserve"> at least a two year </w:t>
      </w:r>
      <w:r w:rsidR="001F1509" w:rsidRPr="00491FB9">
        <w:rPr>
          <w:rFonts w:ascii="Garamond" w:hAnsi="Garamond"/>
        </w:rPr>
        <w:t xml:space="preserve">assessment </w:t>
      </w:r>
      <w:r w:rsidR="008205C9" w:rsidRPr="00491FB9">
        <w:rPr>
          <w:rFonts w:ascii="Garamond" w:hAnsi="Garamond"/>
        </w:rPr>
        <w:t xml:space="preserve">period to establish </w:t>
      </w:r>
      <w:r w:rsidR="00B8776A" w:rsidRPr="00491FB9">
        <w:rPr>
          <w:rFonts w:ascii="Garamond" w:hAnsi="Garamond"/>
        </w:rPr>
        <w:t xml:space="preserve">the </w:t>
      </w:r>
      <w:r w:rsidR="008205C9" w:rsidRPr="00491FB9">
        <w:rPr>
          <w:rFonts w:ascii="Garamond" w:hAnsi="Garamond"/>
        </w:rPr>
        <w:t>statistical significance and persistence</w:t>
      </w:r>
      <w:r w:rsidR="00B8776A" w:rsidRPr="00491FB9">
        <w:rPr>
          <w:rFonts w:ascii="Garamond" w:hAnsi="Garamond"/>
        </w:rPr>
        <w:t xml:space="preserve"> of the impairment</w:t>
      </w:r>
      <w:r w:rsidR="008205C9" w:rsidRPr="00491FB9">
        <w:rPr>
          <w:rFonts w:ascii="Garamond" w:hAnsi="Garamond"/>
        </w:rPr>
        <w:t xml:space="preserve">. </w:t>
      </w:r>
      <w:r w:rsidR="009E0D73" w:rsidRPr="00491FB9">
        <w:rPr>
          <w:rFonts w:ascii="Garamond" w:hAnsi="Garamond"/>
        </w:rPr>
        <w:t xml:space="preserve"> </w:t>
      </w:r>
      <w:r w:rsidR="001F1509" w:rsidRPr="00491FB9">
        <w:rPr>
          <w:rFonts w:ascii="Garamond" w:hAnsi="Garamond"/>
        </w:rPr>
        <w:t>Sampling must be representative of the waterbody and address the spatial extent and temporal (seasonal) periods of concern (normally not less than a three week annual interval).</w:t>
      </w:r>
      <w:r w:rsidR="00F15E99" w:rsidRPr="00491FB9">
        <w:rPr>
          <w:rFonts w:ascii="Garamond" w:hAnsi="Garamond"/>
        </w:rPr>
        <w:t xml:space="preserve"> </w:t>
      </w:r>
    </w:p>
    <w:p w14:paraId="59E3C13C" w14:textId="77777777" w:rsidR="002D4144" w:rsidRPr="00491FB9" w:rsidRDefault="003D2B5A" w:rsidP="00491FB9">
      <w:pPr>
        <w:pStyle w:val="ListAlpha"/>
        <w:spacing w:line="276" w:lineRule="auto"/>
        <w:ind w:firstLine="0"/>
        <w:rPr>
          <w:rFonts w:ascii="Garamond" w:hAnsi="Garamond"/>
        </w:rPr>
      </w:pPr>
      <w:r w:rsidRPr="00491FB9">
        <w:rPr>
          <w:rFonts w:ascii="Garamond" w:hAnsi="Garamond"/>
        </w:rPr>
        <w:t xml:space="preserve">A sampling plan </w:t>
      </w:r>
      <w:r w:rsidR="008205C9" w:rsidRPr="00491FB9">
        <w:rPr>
          <w:rFonts w:ascii="Garamond" w:hAnsi="Garamond"/>
        </w:rPr>
        <w:t>may</w:t>
      </w:r>
      <w:r w:rsidRPr="00491FB9">
        <w:rPr>
          <w:rFonts w:ascii="Garamond" w:hAnsi="Garamond"/>
        </w:rPr>
        <w:t xml:space="preserve"> consider a two-phased approach, with phase one </w:t>
      </w:r>
      <w:r w:rsidR="008205C9" w:rsidRPr="00491FB9">
        <w:rPr>
          <w:rFonts w:ascii="Garamond" w:hAnsi="Garamond"/>
        </w:rPr>
        <w:t xml:space="preserve">used for </w:t>
      </w:r>
      <w:r w:rsidRPr="00491FB9">
        <w:rPr>
          <w:rFonts w:ascii="Garamond" w:hAnsi="Garamond"/>
        </w:rPr>
        <w:t xml:space="preserve">screening </w:t>
      </w:r>
      <w:r w:rsidR="008205C9" w:rsidRPr="00491FB9">
        <w:rPr>
          <w:rFonts w:ascii="Garamond" w:hAnsi="Garamond"/>
        </w:rPr>
        <w:t>purposes</w:t>
      </w:r>
      <w:r w:rsidRPr="00491FB9">
        <w:rPr>
          <w:rFonts w:ascii="Garamond" w:hAnsi="Garamond"/>
        </w:rPr>
        <w:t xml:space="preserve"> and phase two </w:t>
      </w:r>
      <w:r w:rsidR="008205C9" w:rsidRPr="00491FB9">
        <w:rPr>
          <w:rFonts w:ascii="Garamond" w:hAnsi="Garamond"/>
        </w:rPr>
        <w:t xml:space="preserve">for more </w:t>
      </w:r>
      <w:r w:rsidRPr="00491FB9">
        <w:rPr>
          <w:rFonts w:ascii="Garamond" w:hAnsi="Garamond"/>
        </w:rPr>
        <w:t xml:space="preserve">intensive </w:t>
      </w:r>
      <w:r w:rsidR="008205C9" w:rsidRPr="00491FB9">
        <w:rPr>
          <w:rFonts w:ascii="Garamond" w:hAnsi="Garamond"/>
        </w:rPr>
        <w:t xml:space="preserve">sampling </w:t>
      </w:r>
      <w:r w:rsidRPr="00491FB9">
        <w:rPr>
          <w:rFonts w:ascii="Garamond" w:hAnsi="Garamond"/>
        </w:rPr>
        <w:t xml:space="preserve">to </w:t>
      </w:r>
      <w:r w:rsidR="00363DB2" w:rsidRPr="00491FB9">
        <w:rPr>
          <w:rFonts w:ascii="Garamond" w:hAnsi="Garamond"/>
        </w:rPr>
        <w:t>confirm</w:t>
      </w:r>
      <w:r w:rsidR="008205C9" w:rsidRPr="00491FB9">
        <w:rPr>
          <w:rFonts w:ascii="Garamond" w:hAnsi="Garamond"/>
        </w:rPr>
        <w:t xml:space="preserve"> impairment or attainment</w:t>
      </w:r>
      <w:r w:rsidRPr="00491FB9">
        <w:rPr>
          <w:rFonts w:ascii="Garamond" w:hAnsi="Garamond"/>
        </w:rPr>
        <w:t>.</w:t>
      </w:r>
    </w:p>
    <w:p w14:paraId="11790340" w14:textId="77777777" w:rsidR="002D4144" w:rsidRPr="00491FB9" w:rsidRDefault="002D4144" w:rsidP="00491FB9">
      <w:pPr>
        <w:pStyle w:val="ListAlpha"/>
        <w:spacing w:line="276" w:lineRule="auto"/>
        <w:ind w:left="1440" w:firstLine="0"/>
        <w:rPr>
          <w:rFonts w:ascii="Garamond" w:hAnsi="Garamond"/>
        </w:rPr>
      </w:pPr>
      <w:r w:rsidRPr="00491FB9">
        <w:rPr>
          <w:rFonts w:ascii="Garamond" w:hAnsi="Garamond"/>
          <w:u w:val="single"/>
        </w:rPr>
        <w:t>Phase one:</w:t>
      </w:r>
      <w:r w:rsidRPr="00491FB9">
        <w:rPr>
          <w:rFonts w:ascii="Garamond" w:hAnsi="Garamond"/>
        </w:rPr>
        <w:t xml:space="preserve"> </w:t>
      </w:r>
      <w:r w:rsidR="009143BC" w:rsidRPr="00491FB9">
        <w:rPr>
          <w:rFonts w:ascii="Garamond" w:hAnsi="Garamond"/>
        </w:rPr>
        <w:t xml:space="preserve">A minimum of </w:t>
      </w:r>
      <w:r w:rsidR="00977B6D" w:rsidRPr="00491FB9">
        <w:rPr>
          <w:rFonts w:ascii="Garamond" w:hAnsi="Garamond"/>
        </w:rPr>
        <w:t xml:space="preserve">10 </w:t>
      </w:r>
      <w:r w:rsidR="009143BC" w:rsidRPr="00491FB9">
        <w:rPr>
          <w:rFonts w:ascii="Garamond" w:hAnsi="Garamond"/>
        </w:rPr>
        <w:t xml:space="preserve">visual observations of </w:t>
      </w:r>
      <w:r w:rsidR="00F15E99" w:rsidRPr="00491FB9">
        <w:rPr>
          <w:rFonts w:ascii="Garamond" w:hAnsi="Garamond"/>
        </w:rPr>
        <w:t xml:space="preserve">oil </w:t>
      </w:r>
      <w:r w:rsidR="009143BC" w:rsidRPr="00491FB9">
        <w:rPr>
          <w:rFonts w:ascii="Garamond" w:hAnsi="Garamond"/>
        </w:rPr>
        <w:t xml:space="preserve">film, sheen, or floating oils are needed </w:t>
      </w:r>
      <w:r w:rsidR="00363DB2" w:rsidRPr="00491FB9">
        <w:rPr>
          <w:rFonts w:ascii="Garamond" w:hAnsi="Garamond"/>
        </w:rPr>
        <w:t>during the first year of assessment</w:t>
      </w:r>
      <w:r w:rsidR="009143BC" w:rsidRPr="00491FB9">
        <w:rPr>
          <w:rFonts w:ascii="Garamond" w:hAnsi="Garamond"/>
        </w:rPr>
        <w:t>.</w:t>
      </w:r>
      <w:r w:rsidR="002D6DD7" w:rsidRPr="00491FB9">
        <w:rPr>
          <w:rFonts w:ascii="Garamond" w:hAnsi="Garamond"/>
        </w:rPr>
        <w:t xml:space="preserve"> More than 10% of these observations should identify a petroleum film, sheen or floating oils to warrant a second year of more intensive observations.</w:t>
      </w:r>
    </w:p>
    <w:p w14:paraId="6A7E69AA" w14:textId="77777777" w:rsidR="0005672B" w:rsidRPr="00491FB9" w:rsidRDefault="00B50A00" w:rsidP="00491FB9">
      <w:pPr>
        <w:pStyle w:val="ListAlpha"/>
        <w:spacing w:line="276" w:lineRule="auto"/>
        <w:ind w:left="1440" w:firstLine="0"/>
        <w:rPr>
          <w:rFonts w:ascii="Garamond" w:hAnsi="Garamond"/>
        </w:rPr>
      </w:pPr>
      <w:r w:rsidRPr="00491FB9">
        <w:rPr>
          <w:rFonts w:ascii="Garamond" w:hAnsi="Garamond"/>
          <w:u w:val="single"/>
        </w:rPr>
        <w:t>Phase two</w:t>
      </w:r>
      <w:r w:rsidRPr="00491FB9">
        <w:rPr>
          <w:rFonts w:ascii="Garamond" w:hAnsi="Garamond"/>
        </w:rPr>
        <w:t xml:space="preserve">: </w:t>
      </w:r>
      <w:r w:rsidR="0060222F" w:rsidRPr="00491FB9">
        <w:rPr>
          <w:rFonts w:ascii="Garamond" w:hAnsi="Garamond"/>
        </w:rPr>
        <w:t>10-</w:t>
      </w:r>
      <w:r w:rsidRPr="00491FB9">
        <w:rPr>
          <w:rFonts w:ascii="Garamond" w:hAnsi="Garamond"/>
        </w:rPr>
        <w:t xml:space="preserve">20 visual observations of </w:t>
      </w:r>
      <w:r w:rsidR="00F15E99" w:rsidRPr="00491FB9">
        <w:rPr>
          <w:rFonts w:ascii="Garamond" w:hAnsi="Garamond"/>
        </w:rPr>
        <w:t xml:space="preserve">oil </w:t>
      </w:r>
      <w:r w:rsidRPr="00491FB9">
        <w:rPr>
          <w:rFonts w:ascii="Garamond" w:hAnsi="Garamond"/>
        </w:rPr>
        <w:t xml:space="preserve">film, sheen, or floating oils </w:t>
      </w:r>
      <w:r w:rsidR="00363DB2" w:rsidRPr="00491FB9">
        <w:rPr>
          <w:rFonts w:ascii="Garamond" w:hAnsi="Garamond"/>
        </w:rPr>
        <w:t>during the second year of assessment.</w:t>
      </w:r>
      <w:r w:rsidR="00447D1F" w:rsidRPr="00491FB9">
        <w:rPr>
          <w:rFonts w:ascii="Garamond" w:hAnsi="Garamond"/>
        </w:rPr>
        <w:t xml:space="preserve"> A minimum of 30 observations over </w:t>
      </w:r>
      <w:r w:rsidR="00BF132B" w:rsidRPr="00491FB9">
        <w:rPr>
          <w:rFonts w:ascii="Garamond" w:hAnsi="Garamond"/>
        </w:rPr>
        <w:t xml:space="preserve">at least </w:t>
      </w:r>
      <w:r w:rsidR="00447D1F" w:rsidRPr="00491FB9">
        <w:rPr>
          <w:rFonts w:ascii="Garamond" w:hAnsi="Garamond"/>
        </w:rPr>
        <w:t>two years must be collected to determine impairment or attainment status.</w:t>
      </w:r>
    </w:p>
    <w:p w14:paraId="0EA8A089" w14:textId="77777777" w:rsidR="009143BC" w:rsidRPr="00491FB9" w:rsidRDefault="009143BC" w:rsidP="00491FB9">
      <w:pPr>
        <w:pStyle w:val="ListAlpha"/>
        <w:spacing w:line="276" w:lineRule="auto"/>
        <w:ind w:firstLine="0"/>
        <w:rPr>
          <w:rFonts w:ascii="Garamond" w:hAnsi="Garamond"/>
        </w:rPr>
      </w:pPr>
      <w:r w:rsidRPr="00491FB9">
        <w:rPr>
          <w:rFonts w:ascii="Garamond" w:hAnsi="Garamond"/>
        </w:rPr>
        <w:t>Observations must be spaced such that they are not tied to a single, isolated event (such as would occur with a spill), an isolated source (such as a single motor boat), or a single year. Sampling plans should be designed to be temporally and spatially representative of the waterbody</w:t>
      </w:r>
      <w:r w:rsidR="00977B6D" w:rsidRPr="00491FB9">
        <w:rPr>
          <w:rFonts w:ascii="Garamond" w:hAnsi="Garamond"/>
        </w:rPr>
        <w:t xml:space="preserve"> and</w:t>
      </w:r>
      <w:r w:rsidRPr="00491FB9">
        <w:rPr>
          <w:rFonts w:ascii="Garamond" w:hAnsi="Garamond"/>
        </w:rPr>
        <w:t xml:space="preserve"> the sampling period and to capture the persistence of the sheen for a significant period of time during each observation.</w:t>
      </w:r>
    </w:p>
    <w:p w14:paraId="76237252" w14:textId="77777777" w:rsidR="002D4144" w:rsidRPr="00491FB9" w:rsidRDefault="002D4144" w:rsidP="00491FB9">
      <w:pPr>
        <w:pStyle w:val="ListAlpha"/>
        <w:spacing w:line="276" w:lineRule="auto"/>
        <w:ind w:firstLine="0"/>
        <w:rPr>
          <w:rFonts w:ascii="Garamond" w:hAnsi="Garamond"/>
        </w:rPr>
      </w:pPr>
      <w:r w:rsidRPr="00491FB9">
        <w:rPr>
          <w:rFonts w:ascii="Garamond" w:hAnsi="Garamond"/>
        </w:rPr>
        <w:lastRenderedPageBreak/>
        <w:t xml:space="preserve">Observations should be conducted by a trained and knowledgeable person. </w:t>
      </w:r>
      <w:r w:rsidR="00651B7F" w:rsidRPr="00491FB9">
        <w:rPr>
          <w:rFonts w:ascii="Garamond" w:hAnsi="Garamond"/>
        </w:rPr>
        <w:t>As with all sampling, a QAPP should be developed</w:t>
      </w:r>
      <w:r w:rsidR="00F15E99" w:rsidRPr="00491FB9">
        <w:rPr>
          <w:rFonts w:ascii="Garamond" w:hAnsi="Garamond"/>
        </w:rPr>
        <w:t xml:space="preserve"> and, where possible, reviewed by DEC</w:t>
      </w:r>
      <w:r w:rsidR="00651B7F" w:rsidRPr="00491FB9">
        <w:rPr>
          <w:rFonts w:ascii="Garamond" w:hAnsi="Garamond"/>
        </w:rPr>
        <w:t xml:space="preserve">.  The plan should incorporate </w:t>
      </w:r>
      <w:r w:rsidR="00F15E99" w:rsidRPr="00491FB9">
        <w:rPr>
          <w:rFonts w:ascii="Garamond" w:hAnsi="Garamond"/>
        </w:rPr>
        <w:t>testing to demonstrate that</w:t>
      </w:r>
      <w:r w:rsidR="00651B7F" w:rsidRPr="00491FB9">
        <w:rPr>
          <w:rFonts w:ascii="Garamond" w:hAnsi="Garamond"/>
        </w:rPr>
        <w:t xml:space="preserve"> sheens are not biological in nature.  In the absence of EPA approved standard methods, </w:t>
      </w:r>
      <w:r w:rsidR="0087294D" w:rsidRPr="00491FB9">
        <w:rPr>
          <w:rFonts w:ascii="Garamond" w:hAnsi="Garamond"/>
        </w:rPr>
        <w:t>standard operating procedures for sheen observations</w:t>
      </w:r>
      <w:r w:rsidR="00651B7F" w:rsidRPr="00491FB9">
        <w:rPr>
          <w:rFonts w:ascii="Garamond" w:hAnsi="Garamond"/>
        </w:rPr>
        <w:t xml:space="preserve"> can be found </w:t>
      </w:r>
      <w:r w:rsidR="0087294D" w:rsidRPr="00491FB9">
        <w:rPr>
          <w:rFonts w:ascii="Garamond" w:hAnsi="Garamond"/>
        </w:rPr>
        <w:t>in Appendix A</w:t>
      </w:r>
      <w:r w:rsidR="008E7FBD" w:rsidRPr="00491FB9">
        <w:rPr>
          <w:rFonts w:ascii="Garamond" w:hAnsi="Garamond"/>
        </w:rPr>
        <w:t xml:space="preserve"> and should be followed</w:t>
      </w:r>
      <w:r w:rsidR="0087294D" w:rsidRPr="00491FB9">
        <w:rPr>
          <w:rFonts w:ascii="Garamond" w:hAnsi="Garamond"/>
        </w:rPr>
        <w:t>. Additional information on differentiating oil and biological sheens can be found in</w:t>
      </w:r>
      <w:r w:rsidR="00651B7F" w:rsidRPr="00491FB9">
        <w:rPr>
          <w:rFonts w:ascii="Garamond" w:hAnsi="Garamond"/>
        </w:rPr>
        <w:t xml:space="preserve"> the USGS Introduction to Microbes publication (</w:t>
      </w:r>
      <w:hyperlink r:id="rId17" w:history="1">
        <w:r w:rsidR="00651B7F" w:rsidRPr="00491FB9">
          <w:rPr>
            <w:rStyle w:val="Hyperlink"/>
            <w:rFonts w:ascii="Garamond" w:hAnsi="Garamond"/>
          </w:rPr>
          <w:t>http://pubs.usgs.gov/gip/microbes/intro.html</w:t>
        </w:r>
      </w:hyperlink>
      <w:r w:rsidR="00651B7F" w:rsidRPr="00491FB9">
        <w:rPr>
          <w:rFonts w:ascii="Garamond" w:hAnsi="Garamond"/>
        </w:rPr>
        <w:t>)</w:t>
      </w:r>
      <w:r w:rsidR="0087294D" w:rsidRPr="00491FB9">
        <w:rPr>
          <w:rFonts w:ascii="Garamond" w:hAnsi="Garamond"/>
        </w:rPr>
        <w:t>.</w:t>
      </w:r>
    </w:p>
    <w:p w14:paraId="48E5A9BA" w14:textId="77777777" w:rsidR="009143BC" w:rsidRPr="00491FB9" w:rsidRDefault="009143BC" w:rsidP="00491FB9">
      <w:pPr>
        <w:pStyle w:val="ListAlpha"/>
        <w:numPr>
          <w:ilvl w:val="0"/>
          <w:numId w:val="3"/>
        </w:numPr>
        <w:spacing w:line="276" w:lineRule="auto"/>
        <w:rPr>
          <w:rFonts w:ascii="Garamond" w:hAnsi="Garamond"/>
        </w:rPr>
      </w:pPr>
      <w:r w:rsidRPr="00491FB9">
        <w:rPr>
          <w:rFonts w:ascii="Garamond" w:hAnsi="Garamond"/>
          <w:u w:val="single"/>
        </w:rPr>
        <w:t>Documentation</w:t>
      </w:r>
      <w:r w:rsidRPr="00491FB9">
        <w:rPr>
          <w:rFonts w:ascii="Garamond" w:hAnsi="Garamond"/>
        </w:rPr>
        <w:t xml:space="preserve">: Field sheets should be developed as a part of the sampling plan enabling different observers to capture consistent information and should be included with the assessment report. For example, the field sheets should document </w:t>
      </w:r>
      <w:r w:rsidR="00D6351C" w:rsidRPr="00491FB9">
        <w:rPr>
          <w:rFonts w:ascii="Garamond" w:hAnsi="Garamond"/>
        </w:rPr>
        <w:t xml:space="preserve">the percent of area observed, </w:t>
      </w:r>
      <w:r w:rsidRPr="00491FB9">
        <w:rPr>
          <w:rFonts w:ascii="Garamond" w:hAnsi="Garamond"/>
        </w:rPr>
        <w:t xml:space="preserve">the area of the sheen, length of time the sheen persists, </w:t>
      </w:r>
      <w:r w:rsidR="00350D8B" w:rsidRPr="00491FB9">
        <w:rPr>
          <w:rFonts w:ascii="Garamond" w:hAnsi="Garamond"/>
        </w:rPr>
        <w:t>and other relevant information describing observations</w:t>
      </w:r>
      <w:r w:rsidRPr="00491FB9">
        <w:rPr>
          <w:rFonts w:ascii="Garamond" w:hAnsi="Garamond"/>
        </w:rPr>
        <w:t>.</w:t>
      </w:r>
    </w:p>
    <w:p w14:paraId="2DAD1AD0" w14:textId="33C60D1F" w:rsidR="009143BC" w:rsidRPr="00491FB9" w:rsidRDefault="009143BC" w:rsidP="00491FB9">
      <w:pPr>
        <w:pStyle w:val="ListAlpha"/>
        <w:numPr>
          <w:ilvl w:val="0"/>
          <w:numId w:val="3"/>
        </w:numPr>
        <w:spacing w:line="276" w:lineRule="auto"/>
        <w:rPr>
          <w:rFonts w:ascii="Garamond" w:hAnsi="Garamond"/>
        </w:rPr>
      </w:pPr>
      <w:r w:rsidRPr="00491FB9">
        <w:rPr>
          <w:rFonts w:ascii="Garamond" w:hAnsi="Garamond"/>
          <w:u w:val="single"/>
        </w:rPr>
        <w:t xml:space="preserve">Impairment </w:t>
      </w:r>
      <w:r w:rsidR="002D6DD7" w:rsidRPr="00491FB9">
        <w:rPr>
          <w:rFonts w:ascii="Garamond" w:hAnsi="Garamond"/>
          <w:u w:val="single"/>
        </w:rPr>
        <w:t>Determination</w:t>
      </w:r>
      <w:r w:rsidRPr="00491FB9">
        <w:rPr>
          <w:rFonts w:ascii="Garamond" w:hAnsi="Garamond"/>
        </w:rPr>
        <w:t xml:space="preserve">: The waterbody will be considered </w:t>
      </w:r>
      <w:r w:rsidR="006134C6">
        <w:rPr>
          <w:rFonts w:ascii="Garamond" w:hAnsi="Garamond"/>
        </w:rPr>
        <w:t xml:space="preserve">for impairment </w:t>
      </w:r>
      <w:r w:rsidRPr="00491FB9">
        <w:rPr>
          <w:rFonts w:ascii="Garamond" w:hAnsi="Garamond"/>
        </w:rPr>
        <w:t xml:space="preserve">if more than 10% of the total observations, reveal the presence of </w:t>
      </w:r>
      <w:r w:rsidR="006134C6">
        <w:rPr>
          <w:rFonts w:ascii="Garamond" w:hAnsi="Garamond"/>
        </w:rPr>
        <w:t xml:space="preserve">petroleum hydrocarbons, </w:t>
      </w:r>
      <w:r w:rsidRPr="00491FB9">
        <w:rPr>
          <w:rFonts w:ascii="Garamond" w:hAnsi="Garamond"/>
        </w:rPr>
        <w:t xml:space="preserve">oils and grease over </w:t>
      </w:r>
      <w:r w:rsidR="00F83630" w:rsidRPr="00491FB9">
        <w:rPr>
          <w:rFonts w:ascii="Garamond" w:hAnsi="Garamond"/>
        </w:rPr>
        <w:t>an assessment period of at least two years</w:t>
      </w:r>
      <w:r w:rsidRPr="00491FB9">
        <w:rPr>
          <w:rFonts w:ascii="Garamond" w:hAnsi="Garamond"/>
        </w:rPr>
        <w:t>.</w:t>
      </w:r>
      <w:r w:rsidR="007D099D" w:rsidRPr="00491FB9">
        <w:rPr>
          <w:rFonts w:ascii="Garamond" w:hAnsi="Garamond"/>
        </w:rPr>
        <w:t xml:space="preserve"> There should not be consideration of an impairment listing based solely on </w:t>
      </w:r>
      <w:r w:rsidR="00F83630" w:rsidRPr="00491FB9">
        <w:rPr>
          <w:rFonts w:ascii="Garamond" w:hAnsi="Garamond"/>
        </w:rPr>
        <w:t xml:space="preserve">short term </w:t>
      </w:r>
      <w:r w:rsidR="007D099D" w:rsidRPr="00491FB9">
        <w:rPr>
          <w:rFonts w:ascii="Garamond" w:hAnsi="Garamond"/>
        </w:rPr>
        <w:t>intermittent sheening</w:t>
      </w:r>
      <w:r w:rsidR="00BB6ECA" w:rsidRPr="00491FB9">
        <w:rPr>
          <w:rFonts w:ascii="Garamond" w:hAnsi="Garamond"/>
        </w:rPr>
        <w:t xml:space="preserve"> that does not meet the minimum data requirements</w:t>
      </w:r>
      <w:r w:rsidR="007D099D" w:rsidRPr="00491FB9">
        <w:rPr>
          <w:rFonts w:ascii="Garamond" w:hAnsi="Garamond"/>
        </w:rPr>
        <w:t xml:space="preserve">. </w:t>
      </w:r>
    </w:p>
    <w:p w14:paraId="64EA7A06" w14:textId="77777777" w:rsidR="00BF132B" w:rsidRPr="00491FB9" w:rsidRDefault="00BF132B" w:rsidP="00491FB9">
      <w:pPr>
        <w:pStyle w:val="ListAlpha"/>
        <w:spacing w:line="276" w:lineRule="auto"/>
        <w:ind w:firstLine="0"/>
        <w:rPr>
          <w:rFonts w:ascii="Garamond" w:hAnsi="Garamond"/>
        </w:rPr>
      </w:pPr>
      <w:r w:rsidRPr="00491FB9">
        <w:rPr>
          <w:rFonts w:ascii="Garamond" w:hAnsi="Garamond"/>
        </w:rPr>
        <w:t>The 10% impairment threshold and sample size of 30 is consistent with EPA listing methodology guidance (EPA, 2002). “Sample size is an important element of data quality. In general, statistical tests have good power for detecting exceedances if they are based on data from samples composed of 30 or more sampling units. Smaller sample sizes are prone to yield erroneous attainment decisions because they have a low probability of detecting WQS exceedances unless they are large and pervasive.</w:t>
      </w:r>
      <w:r w:rsidR="00A46DB1" w:rsidRPr="00491FB9">
        <w:rPr>
          <w:rFonts w:ascii="Garamond" w:hAnsi="Garamond"/>
        </w:rPr>
        <w:t>”</w:t>
      </w:r>
    </w:p>
    <w:p w14:paraId="12581791" w14:textId="77777777" w:rsidR="009143BC" w:rsidRPr="00491FB9" w:rsidRDefault="009143BC" w:rsidP="00491FB9">
      <w:pPr>
        <w:spacing w:line="276" w:lineRule="auto"/>
      </w:pPr>
      <w:r w:rsidRPr="00B639F0">
        <w:t xml:space="preserve">If a waterbody is under consideration as being impaired from oil film or sheening, </w:t>
      </w:r>
      <w:r w:rsidR="007463C2" w:rsidRPr="00B639F0">
        <w:t xml:space="preserve">then </w:t>
      </w:r>
      <w:r w:rsidRPr="00B639F0">
        <w:t xml:space="preserve">water column </w:t>
      </w:r>
      <w:r w:rsidR="007463C2" w:rsidRPr="00B639F0">
        <w:t xml:space="preserve">and/or sediment </w:t>
      </w:r>
      <w:r w:rsidRPr="00491FB9">
        <w:t>sampl</w:t>
      </w:r>
      <w:r w:rsidR="007463C2" w:rsidRPr="00491FB9">
        <w:t xml:space="preserve">ing </w:t>
      </w:r>
      <w:r w:rsidRPr="00491FB9">
        <w:t xml:space="preserve">should be </w:t>
      </w:r>
      <w:r w:rsidR="007463C2" w:rsidRPr="00491FB9">
        <w:t>considered</w:t>
      </w:r>
      <w:r w:rsidR="000F74DF" w:rsidRPr="00491FB9">
        <w:t>, but is not required,</w:t>
      </w:r>
      <w:r w:rsidR="007463C2" w:rsidRPr="00491FB9">
        <w:t xml:space="preserve"> </w:t>
      </w:r>
      <w:r w:rsidRPr="00491FB9">
        <w:t>to evaluate the extent of petroleum hydrocarbons</w:t>
      </w:r>
      <w:r w:rsidR="00B27357" w:rsidRPr="00491FB9">
        <w:t xml:space="preserve"> </w:t>
      </w:r>
      <w:r w:rsidR="00B8776A" w:rsidRPr="00491FB9">
        <w:t xml:space="preserve">contamination </w:t>
      </w:r>
      <w:r w:rsidR="00B27357" w:rsidRPr="00491FB9">
        <w:t>(Section</w:t>
      </w:r>
      <w:r w:rsidR="009F6867" w:rsidRPr="00491FB9">
        <w:t>s 2.3.2 and</w:t>
      </w:r>
      <w:r w:rsidR="00B27357" w:rsidRPr="00491FB9">
        <w:t xml:space="preserve"> 2.3.3)</w:t>
      </w:r>
      <w:r w:rsidRPr="00491FB9">
        <w:t>.</w:t>
      </w:r>
    </w:p>
    <w:p w14:paraId="588CD1EB" w14:textId="77777777" w:rsidR="009143BC" w:rsidRPr="0071303F" w:rsidRDefault="009143BC" w:rsidP="00CE5CBD">
      <w:pPr>
        <w:pStyle w:val="Heading3"/>
      </w:pPr>
      <w:bookmarkStart w:id="59" w:name="_Toc354750897"/>
      <w:bookmarkStart w:id="60" w:name="_Toc424721509"/>
      <w:r w:rsidRPr="0071303F">
        <w:t>Bottom Sediments</w:t>
      </w:r>
      <w:bookmarkEnd w:id="59"/>
      <w:bookmarkEnd w:id="60"/>
    </w:p>
    <w:p w14:paraId="2D5DFFB6" w14:textId="77777777" w:rsidR="009143BC" w:rsidRPr="00B639F0" w:rsidRDefault="009143BC" w:rsidP="00491FB9">
      <w:pPr>
        <w:spacing w:line="276" w:lineRule="auto"/>
      </w:pPr>
      <w:r w:rsidRPr="00B639F0">
        <w:t xml:space="preserve">The following guidelines apply to monitoring </w:t>
      </w:r>
      <w:r w:rsidR="00A542AF" w:rsidRPr="00B639F0">
        <w:t>petroleum hydrocarbons, oils and grease</w:t>
      </w:r>
      <w:r w:rsidRPr="00B639F0">
        <w:t xml:space="preserve"> in bottom sediments for the fresh water and marine water designated uses of water supply.</w:t>
      </w:r>
    </w:p>
    <w:p w14:paraId="0A27ACB5" w14:textId="7D7947DB" w:rsidR="009143BC" w:rsidRPr="00491FB9" w:rsidRDefault="009143BC" w:rsidP="00491FB9">
      <w:pPr>
        <w:pStyle w:val="ListAlpha"/>
        <w:numPr>
          <w:ilvl w:val="0"/>
          <w:numId w:val="4"/>
        </w:numPr>
        <w:spacing w:line="276" w:lineRule="auto"/>
        <w:rPr>
          <w:rFonts w:ascii="Garamond" w:hAnsi="Garamond"/>
        </w:rPr>
      </w:pPr>
      <w:r w:rsidRPr="00491FB9">
        <w:rPr>
          <w:rFonts w:ascii="Garamond" w:hAnsi="Garamond"/>
          <w:u w:val="single"/>
        </w:rPr>
        <w:t>Sample Collection</w:t>
      </w:r>
      <w:r w:rsidRPr="00491FB9">
        <w:rPr>
          <w:rFonts w:ascii="Garamond" w:hAnsi="Garamond"/>
        </w:rPr>
        <w:t>: Collect discrete sediment samples</w:t>
      </w:r>
      <w:r w:rsidR="009F6867" w:rsidRPr="00491FB9">
        <w:rPr>
          <w:rFonts w:ascii="Garamond" w:hAnsi="Garamond"/>
        </w:rPr>
        <w:t xml:space="preserve"> for PAH</w:t>
      </w:r>
      <w:r w:rsidRPr="00491FB9">
        <w:rPr>
          <w:rFonts w:ascii="Garamond" w:hAnsi="Garamond"/>
        </w:rPr>
        <w:t xml:space="preserve">. Consider initially collecting samples using a grid pattern encompassing the area of concern. Subsequent follow-up sampling can be limited to the area where contamination has been found. The sampling program should ensure enough samples have been collected (minimum of 20) to accurately assess the areal extent of the </w:t>
      </w:r>
      <w:r w:rsidR="00A542AF" w:rsidRPr="00491FB9">
        <w:rPr>
          <w:rFonts w:ascii="Garamond" w:hAnsi="Garamond"/>
        </w:rPr>
        <w:t>petroleum hydrocarbons, oils and grease</w:t>
      </w:r>
      <w:r w:rsidR="00D70335" w:rsidRPr="00491FB9">
        <w:rPr>
          <w:rFonts w:ascii="Garamond" w:hAnsi="Garamond"/>
        </w:rPr>
        <w:t>.</w:t>
      </w:r>
      <w:r w:rsidRPr="00491FB9">
        <w:rPr>
          <w:rFonts w:ascii="Garamond" w:hAnsi="Garamond"/>
        </w:rPr>
        <w:t xml:space="preserve"> Core sampling may also be conducted</w:t>
      </w:r>
      <w:r w:rsidR="009F6867" w:rsidRPr="00491FB9">
        <w:rPr>
          <w:rFonts w:ascii="Garamond" w:hAnsi="Garamond"/>
        </w:rPr>
        <w:t xml:space="preserve"> to determine the depth of contamination</w:t>
      </w:r>
      <w:r w:rsidRPr="00491FB9">
        <w:rPr>
          <w:rFonts w:ascii="Garamond" w:hAnsi="Garamond"/>
        </w:rPr>
        <w:t>.</w:t>
      </w:r>
      <w:r w:rsidR="00D973CC" w:rsidRPr="00491FB9">
        <w:rPr>
          <w:rFonts w:ascii="Garamond" w:hAnsi="Garamond"/>
        </w:rPr>
        <w:t xml:space="preserve"> Sampling near creosote pilings should be avoided. </w:t>
      </w:r>
    </w:p>
    <w:p w14:paraId="2F194916" w14:textId="34B89F1F" w:rsidR="009143BC" w:rsidRPr="00491FB9" w:rsidRDefault="009143BC" w:rsidP="00491FB9">
      <w:pPr>
        <w:pStyle w:val="ListAlpha"/>
        <w:numPr>
          <w:ilvl w:val="0"/>
          <w:numId w:val="3"/>
        </w:numPr>
        <w:spacing w:line="276" w:lineRule="auto"/>
        <w:rPr>
          <w:rFonts w:ascii="Garamond" w:hAnsi="Garamond"/>
        </w:rPr>
      </w:pPr>
      <w:r w:rsidRPr="00491FB9">
        <w:rPr>
          <w:rFonts w:ascii="Garamond" w:hAnsi="Garamond"/>
          <w:u w:val="single"/>
        </w:rPr>
        <w:lastRenderedPageBreak/>
        <w:t>Frequency/Number of Samples</w:t>
      </w:r>
      <w:r w:rsidRPr="00491FB9">
        <w:rPr>
          <w:rFonts w:ascii="Garamond" w:hAnsi="Garamond"/>
        </w:rPr>
        <w:t xml:space="preserve">: Collect a minimum of 20 different bottom (surface sediment) samples encompassing the area of concern per year. Collect samples over </w:t>
      </w:r>
      <w:r w:rsidR="00B27357" w:rsidRPr="00491FB9">
        <w:rPr>
          <w:rFonts w:ascii="Garamond" w:hAnsi="Garamond"/>
        </w:rPr>
        <w:t>two</w:t>
      </w:r>
      <w:r w:rsidRPr="00491FB9">
        <w:rPr>
          <w:rFonts w:ascii="Garamond" w:hAnsi="Garamond"/>
        </w:rPr>
        <w:t xml:space="preserve"> different years within a </w:t>
      </w:r>
      <w:r w:rsidR="00B27357" w:rsidRPr="00491FB9">
        <w:rPr>
          <w:rFonts w:ascii="Garamond" w:hAnsi="Garamond"/>
        </w:rPr>
        <w:t>five</w:t>
      </w:r>
      <w:r w:rsidRPr="00491FB9">
        <w:rPr>
          <w:rFonts w:ascii="Garamond" w:hAnsi="Garamond"/>
        </w:rPr>
        <w:t xml:space="preserve">-year period. </w:t>
      </w:r>
    </w:p>
    <w:p w14:paraId="7815A6B5" w14:textId="77777777" w:rsidR="009143BC" w:rsidRPr="00491FB9" w:rsidRDefault="009143BC" w:rsidP="00491FB9">
      <w:pPr>
        <w:pStyle w:val="ListAlpha"/>
        <w:numPr>
          <w:ilvl w:val="0"/>
          <w:numId w:val="3"/>
        </w:numPr>
        <w:spacing w:line="276" w:lineRule="auto"/>
        <w:rPr>
          <w:rFonts w:ascii="Garamond" w:hAnsi="Garamond"/>
        </w:rPr>
      </w:pPr>
      <w:r w:rsidRPr="00491FB9">
        <w:rPr>
          <w:rFonts w:ascii="Garamond" w:hAnsi="Garamond"/>
          <w:u w:val="single"/>
        </w:rPr>
        <w:t>Documentation</w:t>
      </w:r>
      <w:r w:rsidRPr="00491FB9">
        <w:rPr>
          <w:rFonts w:ascii="Garamond" w:hAnsi="Garamond"/>
        </w:rPr>
        <w:t xml:space="preserve">: At </w:t>
      </w:r>
      <w:r w:rsidR="00816405" w:rsidRPr="00491FB9">
        <w:rPr>
          <w:rFonts w:ascii="Garamond" w:hAnsi="Garamond"/>
        </w:rPr>
        <w:t xml:space="preserve">a </w:t>
      </w:r>
      <w:r w:rsidRPr="00491FB9">
        <w:rPr>
          <w:rFonts w:ascii="Garamond" w:hAnsi="Garamond"/>
        </w:rPr>
        <w:t>minimum, laboratory results should be included with the waterbody assessment report.</w:t>
      </w:r>
    </w:p>
    <w:p w14:paraId="71A96629" w14:textId="29BD3524" w:rsidR="009143BC" w:rsidRPr="00491FB9" w:rsidRDefault="009143BC" w:rsidP="00491FB9">
      <w:pPr>
        <w:pStyle w:val="ListAlpha"/>
        <w:numPr>
          <w:ilvl w:val="0"/>
          <w:numId w:val="3"/>
        </w:numPr>
        <w:spacing w:line="276" w:lineRule="auto"/>
        <w:rPr>
          <w:rFonts w:ascii="Garamond" w:hAnsi="Garamond"/>
        </w:rPr>
      </w:pPr>
      <w:r w:rsidRPr="00491FB9">
        <w:rPr>
          <w:rFonts w:ascii="Garamond" w:hAnsi="Garamond"/>
          <w:u w:val="single"/>
        </w:rPr>
        <w:t>Impairment Determination</w:t>
      </w:r>
      <w:r w:rsidRPr="00491FB9">
        <w:rPr>
          <w:rFonts w:ascii="Garamond" w:hAnsi="Garamond"/>
        </w:rPr>
        <w:t xml:space="preserve">: If any </w:t>
      </w:r>
      <w:r w:rsidR="00003C57" w:rsidRPr="00491FB9">
        <w:rPr>
          <w:rFonts w:ascii="Garamond" w:hAnsi="Garamond"/>
        </w:rPr>
        <w:t>surface sediment</w:t>
      </w:r>
      <w:r w:rsidRPr="00491FB9">
        <w:rPr>
          <w:rFonts w:ascii="Garamond" w:hAnsi="Garamond"/>
        </w:rPr>
        <w:t xml:space="preserve"> sampling location exceeds the PEL in the NOAA SQuiRTs for </w:t>
      </w:r>
      <w:r w:rsidR="00B27357" w:rsidRPr="00491FB9">
        <w:rPr>
          <w:rFonts w:ascii="Garamond" w:hAnsi="Garamond"/>
        </w:rPr>
        <w:t xml:space="preserve">two </w:t>
      </w:r>
      <w:r w:rsidRPr="00491FB9">
        <w:rPr>
          <w:rFonts w:ascii="Garamond" w:hAnsi="Garamond"/>
        </w:rPr>
        <w:t>years, then th</w:t>
      </w:r>
      <w:r w:rsidR="005C471B" w:rsidRPr="00491FB9">
        <w:rPr>
          <w:rFonts w:ascii="Garamond" w:hAnsi="Garamond"/>
        </w:rPr>
        <w:t>at area</w:t>
      </w:r>
      <w:r w:rsidRPr="00491FB9">
        <w:rPr>
          <w:rFonts w:ascii="Garamond" w:hAnsi="Garamond"/>
        </w:rPr>
        <w:t xml:space="preserve"> </w:t>
      </w:r>
      <w:r w:rsidR="00D70335" w:rsidRPr="00491FB9">
        <w:rPr>
          <w:rFonts w:ascii="Garamond" w:hAnsi="Garamond"/>
        </w:rPr>
        <w:t xml:space="preserve">is </w:t>
      </w:r>
      <w:r w:rsidR="005C471B" w:rsidRPr="00491FB9">
        <w:rPr>
          <w:rFonts w:ascii="Garamond" w:hAnsi="Garamond"/>
        </w:rPr>
        <w:t>considered</w:t>
      </w:r>
      <w:r w:rsidRPr="00491FB9">
        <w:rPr>
          <w:rFonts w:ascii="Garamond" w:hAnsi="Garamond"/>
        </w:rPr>
        <w:t xml:space="preserve"> impaired. </w:t>
      </w:r>
      <w:r w:rsidR="00C71C98" w:rsidRPr="00491FB9">
        <w:rPr>
          <w:rFonts w:ascii="Garamond" w:hAnsi="Garamond"/>
        </w:rPr>
        <w:t xml:space="preserve">If a PEL value is not available, the next </w:t>
      </w:r>
      <w:r w:rsidR="00D9074A" w:rsidRPr="00491FB9">
        <w:rPr>
          <w:rFonts w:ascii="Garamond" w:hAnsi="Garamond"/>
        </w:rPr>
        <w:t>more</w:t>
      </w:r>
      <w:r w:rsidR="00C71C98" w:rsidRPr="00491FB9">
        <w:rPr>
          <w:rFonts w:ascii="Garamond" w:hAnsi="Garamond"/>
        </w:rPr>
        <w:t xml:space="preserve"> conservative </w:t>
      </w:r>
      <w:r w:rsidR="00F15E99" w:rsidRPr="00491FB9">
        <w:rPr>
          <w:rFonts w:ascii="Garamond" w:hAnsi="Garamond"/>
        </w:rPr>
        <w:t xml:space="preserve">guideline </w:t>
      </w:r>
      <w:r w:rsidR="00C71C98" w:rsidRPr="00491FB9">
        <w:rPr>
          <w:rFonts w:ascii="Garamond" w:hAnsi="Garamond"/>
        </w:rPr>
        <w:t xml:space="preserve">value should be used. </w:t>
      </w:r>
      <w:r w:rsidR="00316487" w:rsidRPr="00491FB9">
        <w:rPr>
          <w:rFonts w:ascii="Garamond" w:hAnsi="Garamond"/>
        </w:rPr>
        <w:t xml:space="preserve"> An evaluation of both the individual constituents and the combined </w:t>
      </w:r>
      <w:r w:rsidR="0077487F" w:rsidRPr="00491FB9">
        <w:rPr>
          <w:rFonts w:ascii="Garamond" w:hAnsi="Garamond"/>
        </w:rPr>
        <w:t>P</w:t>
      </w:r>
      <w:r w:rsidR="00316487" w:rsidRPr="00491FB9">
        <w:rPr>
          <w:rFonts w:ascii="Garamond" w:hAnsi="Garamond"/>
        </w:rPr>
        <w:t xml:space="preserve">AH levels should be conducted. </w:t>
      </w:r>
      <w:r w:rsidRPr="00491FB9">
        <w:rPr>
          <w:rFonts w:ascii="Garamond" w:hAnsi="Garamond"/>
        </w:rPr>
        <w:t>Core sample results can be used to establish a historical impairment.</w:t>
      </w:r>
    </w:p>
    <w:p w14:paraId="0AC12F34" w14:textId="77777777" w:rsidR="009143BC" w:rsidRPr="0071303F" w:rsidRDefault="009143BC" w:rsidP="00CE5CBD">
      <w:pPr>
        <w:pStyle w:val="Heading3"/>
      </w:pPr>
      <w:bookmarkStart w:id="61" w:name="_Toc354750898"/>
      <w:bookmarkStart w:id="62" w:name="_Toc424721510"/>
      <w:r w:rsidRPr="0071303F">
        <w:t>Water Column</w:t>
      </w:r>
      <w:bookmarkEnd w:id="61"/>
      <w:bookmarkEnd w:id="62"/>
    </w:p>
    <w:p w14:paraId="303C9E8E" w14:textId="17BB8D83" w:rsidR="009143BC" w:rsidRPr="00491FB9" w:rsidRDefault="009143BC" w:rsidP="00491FB9">
      <w:pPr>
        <w:spacing w:line="276" w:lineRule="auto"/>
      </w:pPr>
      <w:r w:rsidRPr="00B639F0">
        <w:t xml:space="preserve">The following guidelines apply to monitoring </w:t>
      </w:r>
      <w:r w:rsidR="00A542AF" w:rsidRPr="00B639F0">
        <w:t>petroleum hydrocarbons, oils and grease</w:t>
      </w:r>
      <w:r w:rsidRPr="00B639F0">
        <w:t xml:space="preserve"> in the water column for the fresh water and marine water </w:t>
      </w:r>
      <w:r w:rsidR="006134C6">
        <w:t xml:space="preserve">designated uses of water supply; </w:t>
      </w:r>
      <w:r w:rsidRPr="00B639F0">
        <w:t>and growth and propagation of fish, shellfish, other aquatic life, and wildlife.</w:t>
      </w:r>
    </w:p>
    <w:p w14:paraId="209B7E10" w14:textId="00E943DE" w:rsidR="009143BC" w:rsidRPr="00491FB9" w:rsidRDefault="009143BC" w:rsidP="00491FB9">
      <w:pPr>
        <w:pStyle w:val="ListAlpha"/>
        <w:numPr>
          <w:ilvl w:val="0"/>
          <w:numId w:val="5"/>
        </w:numPr>
        <w:spacing w:line="276" w:lineRule="auto"/>
        <w:rPr>
          <w:rFonts w:ascii="Garamond" w:hAnsi="Garamond"/>
        </w:rPr>
      </w:pPr>
      <w:r w:rsidRPr="00491FB9">
        <w:rPr>
          <w:rFonts w:ascii="Garamond" w:hAnsi="Garamond"/>
          <w:u w:val="single"/>
        </w:rPr>
        <w:t>Sample Collection</w:t>
      </w:r>
      <w:r w:rsidRPr="00491FB9">
        <w:rPr>
          <w:rFonts w:ascii="Garamond" w:hAnsi="Garamond"/>
        </w:rPr>
        <w:t xml:space="preserve">: Collect representative samples at multiple sample sites to establish the spatial </w:t>
      </w:r>
      <w:r w:rsidR="00741D0F" w:rsidRPr="00491FB9">
        <w:rPr>
          <w:rFonts w:ascii="Garamond" w:hAnsi="Garamond"/>
        </w:rPr>
        <w:t xml:space="preserve">and temporal </w:t>
      </w:r>
      <w:r w:rsidRPr="00491FB9">
        <w:rPr>
          <w:rFonts w:ascii="Garamond" w:hAnsi="Garamond"/>
        </w:rPr>
        <w:t>extent of the impairment (e.g., thalweg, horizontal, and vertical samples).</w:t>
      </w:r>
    </w:p>
    <w:p w14:paraId="083FE270" w14:textId="22490A5A" w:rsidR="009143BC" w:rsidRPr="00491FB9" w:rsidRDefault="009143BC" w:rsidP="00491FB9">
      <w:pPr>
        <w:pStyle w:val="Quotelevel"/>
        <w:spacing w:line="276" w:lineRule="auto"/>
        <w:rPr>
          <w:rFonts w:ascii="Garamond" w:hAnsi="Garamond"/>
        </w:rPr>
      </w:pPr>
      <w:r w:rsidRPr="00491FB9">
        <w:rPr>
          <w:rFonts w:ascii="Garamond" w:hAnsi="Garamond"/>
        </w:rPr>
        <w:t xml:space="preserve">Collect at least one sample near the surface (at elbow depth to avoid any sheen) and one sample near the bottom. Sampling at multiple depths is not necessary in shallow waters, which are defined as less than three meters. </w:t>
      </w:r>
      <w:r w:rsidR="00B27357" w:rsidRPr="00491FB9">
        <w:rPr>
          <w:rFonts w:ascii="Garamond" w:hAnsi="Garamond"/>
        </w:rPr>
        <w:t>Compare s</w:t>
      </w:r>
      <w:r w:rsidRPr="00491FB9">
        <w:rPr>
          <w:rFonts w:ascii="Garamond" w:hAnsi="Garamond"/>
        </w:rPr>
        <w:t xml:space="preserve">ample results (vertically and horizontally) to establish the degree and extent of mixing in the water column. After the degree of mixing is established, multiple depth sampling may cease. Future sampling should only occur </w:t>
      </w:r>
      <w:r w:rsidR="005C471B" w:rsidRPr="00491FB9">
        <w:rPr>
          <w:rFonts w:ascii="Garamond" w:hAnsi="Garamond"/>
        </w:rPr>
        <w:t xml:space="preserve">in locations </w:t>
      </w:r>
      <w:r w:rsidRPr="00491FB9">
        <w:rPr>
          <w:rFonts w:ascii="Garamond" w:hAnsi="Garamond"/>
        </w:rPr>
        <w:t xml:space="preserve">where petroleum hydrocarbon results </w:t>
      </w:r>
      <w:r w:rsidR="005C471B" w:rsidRPr="00491FB9">
        <w:rPr>
          <w:rFonts w:ascii="Garamond" w:hAnsi="Garamond"/>
        </w:rPr>
        <w:t xml:space="preserve">have </w:t>
      </w:r>
      <w:r w:rsidRPr="00491FB9">
        <w:rPr>
          <w:rFonts w:ascii="Garamond" w:hAnsi="Garamond"/>
        </w:rPr>
        <w:t>exceed</w:t>
      </w:r>
      <w:r w:rsidR="005C471B" w:rsidRPr="00491FB9">
        <w:rPr>
          <w:rFonts w:ascii="Garamond" w:hAnsi="Garamond"/>
        </w:rPr>
        <w:t>ed</w:t>
      </w:r>
      <w:r w:rsidRPr="00491FB9">
        <w:rPr>
          <w:rFonts w:ascii="Garamond" w:hAnsi="Garamond"/>
        </w:rPr>
        <w:t xml:space="preserve"> water quality criteria.</w:t>
      </w:r>
    </w:p>
    <w:p w14:paraId="15DEA620" w14:textId="77777777" w:rsidR="009143BC" w:rsidRPr="00491FB9" w:rsidRDefault="009143BC" w:rsidP="00491FB9">
      <w:pPr>
        <w:pStyle w:val="Quotelevel"/>
        <w:spacing w:line="276" w:lineRule="auto"/>
        <w:rPr>
          <w:rFonts w:ascii="Garamond" w:hAnsi="Garamond"/>
        </w:rPr>
      </w:pPr>
      <w:r w:rsidRPr="00491FB9">
        <w:rPr>
          <w:rFonts w:ascii="Garamond" w:hAnsi="Garamond"/>
        </w:rPr>
        <w:t>Sampling should be conducted (1) during periods and in areas of suspected on-going impairment when sources of pollutants are present and (2) during periods or in areas of low pollutant loading to the surface water, adjoining shoreline, and water column. Sampling during both times will help define the temporal extent of contamination.</w:t>
      </w:r>
    </w:p>
    <w:p w14:paraId="559110F2" w14:textId="0707F9E2" w:rsidR="00FD2EC4" w:rsidRPr="00D2042D" w:rsidRDefault="00FD2EC4" w:rsidP="00491FB9">
      <w:pPr>
        <w:pStyle w:val="ListAlpha"/>
        <w:numPr>
          <w:ilvl w:val="0"/>
          <w:numId w:val="3"/>
        </w:numPr>
        <w:spacing w:line="276" w:lineRule="auto"/>
        <w:rPr>
          <w:rFonts w:ascii="Garamond" w:hAnsi="Garamond"/>
        </w:rPr>
      </w:pPr>
      <w:r>
        <w:rPr>
          <w:rFonts w:ascii="Garamond" w:hAnsi="Garamond"/>
          <w:u w:val="single"/>
        </w:rPr>
        <w:t>Frequency/Number of Samples</w:t>
      </w:r>
      <w:r w:rsidR="009143BC" w:rsidRPr="00491FB9">
        <w:rPr>
          <w:rFonts w:ascii="Garamond" w:hAnsi="Garamond"/>
        </w:rPr>
        <w:t xml:space="preserve">: Initial samples should be taken daily </w:t>
      </w:r>
      <w:r w:rsidR="00013C0A">
        <w:rPr>
          <w:rFonts w:ascii="Garamond" w:hAnsi="Garamond"/>
        </w:rPr>
        <w:t>to determine</w:t>
      </w:r>
      <w:r w:rsidR="009143BC" w:rsidRPr="00491FB9">
        <w:rPr>
          <w:rFonts w:ascii="Garamond" w:hAnsi="Garamond"/>
        </w:rPr>
        <w:t xml:space="preserve"> periods of suspected impairment</w:t>
      </w:r>
      <w:r w:rsidR="00013C0A">
        <w:rPr>
          <w:rFonts w:ascii="Garamond" w:hAnsi="Garamond"/>
        </w:rPr>
        <w:t xml:space="preserve"> and the spatial extent of the waterbody that has been contaminated by petroleum</w:t>
      </w:r>
      <w:r w:rsidR="009143BC" w:rsidRPr="00491FB9">
        <w:rPr>
          <w:rFonts w:ascii="Garamond" w:hAnsi="Garamond"/>
        </w:rPr>
        <w:t>. Subsequent sampling should then verify the magnitude, exposure duration and frequency of the exceedance of petroleum hydrocarbon</w:t>
      </w:r>
      <w:r w:rsidR="00B27357" w:rsidRPr="00491FB9">
        <w:rPr>
          <w:rFonts w:ascii="Garamond" w:hAnsi="Garamond"/>
        </w:rPr>
        <w:t>s</w:t>
      </w:r>
      <w:r w:rsidR="009143BC" w:rsidRPr="00491FB9">
        <w:rPr>
          <w:rFonts w:ascii="Garamond" w:hAnsi="Garamond"/>
        </w:rPr>
        <w:t xml:space="preserve"> criteria in the potential impairment area. </w:t>
      </w:r>
      <w:r w:rsidR="008027C6" w:rsidRPr="00D2042D">
        <w:rPr>
          <w:rFonts w:ascii="Garamond" w:hAnsi="Garamond"/>
        </w:rPr>
        <w:t xml:space="preserve">Once the spatial and temporal extent of the area of concern has been identified, </w:t>
      </w:r>
      <w:r w:rsidR="00013C0A" w:rsidRPr="00D2042D">
        <w:rPr>
          <w:rFonts w:ascii="Garamond" w:hAnsi="Garamond"/>
        </w:rPr>
        <w:t xml:space="preserve">the magnitude, </w:t>
      </w:r>
      <w:r w:rsidR="008027C6" w:rsidRPr="00D2042D">
        <w:rPr>
          <w:rFonts w:ascii="Garamond" w:hAnsi="Garamond"/>
        </w:rPr>
        <w:t xml:space="preserve">duration </w:t>
      </w:r>
      <w:r w:rsidR="00013C0A" w:rsidRPr="00D2042D">
        <w:rPr>
          <w:rFonts w:ascii="Garamond" w:hAnsi="Garamond"/>
        </w:rPr>
        <w:t xml:space="preserve">and frequency </w:t>
      </w:r>
      <w:r w:rsidR="008027C6" w:rsidRPr="00D2042D">
        <w:rPr>
          <w:rFonts w:ascii="Garamond" w:hAnsi="Garamond"/>
        </w:rPr>
        <w:t xml:space="preserve">of </w:t>
      </w:r>
      <w:r w:rsidR="009143BC" w:rsidRPr="00D2042D">
        <w:rPr>
          <w:rFonts w:ascii="Garamond" w:hAnsi="Garamond"/>
        </w:rPr>
        <w:t>impairment</w:t>
      </w:r>
      <w:r w:rsidR="002A1AFF" w:rsidRPr="00D2042D">
        <w:rPr>
          <w:rFonts w:ascii="Garamond" w:hAnsi="Garamond"/>
        </w:rPr>
        <w:t xml:space="preserve"> </w:t>
      </w:r>
      <w:r w:rsidR="008027C6" w:rsidRPr="00D2042D">
        <w:rPr>
          <w:rFonts w:ascii="Garamond" w:hAnsi="Garamond"/>
        </w:rPr>
        <w:t xml:space="preserve">should be verified at one or </w:t>
      </w:r>
      <w:r w:rsidR="0079220A" w:rsidRPr="00D2042D">
        <w:rPr>
          <w:rFonts w:ascii="Garamond" w:hAnsi="Garamond"/>
        </w:rPr>
        <w:t>two</w:t>
      </w:r>
      <w:r w:rsidR="008027C6" w:rsidRPr="00D2042D">
        <w:rPr>
          <w:rFonts w:ascii="Garamond" w:hAnsi="Garamond"/>
        </w:rPr>
        <w:t xml:space="preserve"> sampling sites</w:t>
      </w:r>
      <w:r w:rsidR="00013C0A" w:rsidRPr="00D2042D">
        <w:rPr>
          <w:rFonts w:ascii="Garamond" w:hAnsi="Garamond"/>
        </w:rPr>
        <w:t xml:space="preserve"> that best represent the impaired condition of the waterbody</w:t>
      </w:r>
      <w:r w:rsidR="008027C6" w:rsidRPr="00D2042D">
        <w:rPr>
          <w:rFonts w:ascii="Garamond" w:hAnsi="Garamond"/>
        </w:rPr>
        <w:t xml:space="preserve">. </w:t>
      </w:r>
    </w:p>
    <w:p w14:paraId="1E691838" w14:textId="77777777" w:rsidR="00FD2EC4" w:rsidRDefault="008027C6" w:rsidP="00FD2EC4">
      <w:pPr>
        <w:pStyle w:val="ListAlpha"/>
        <w:spacing w:line="276" w:lineRule="auto"/>
        <w:ind w:firstLine="0"/>
        <w:rPr>
          <w:rFonts w:ascii="Garamond" w:hAnsi="Garamond"/>
        </w:rPr>
      </w:pPr>
      <w:r>
        <w:rPr>
          <w:rFonts w:ascii="Garamond" w:hAnsi="Garamond"/>
        </w:rPr>
        <w:lastRenderedPageBreak/>
        <w:t>At the selected site</w:t>
      </w:r>
      <w:r w:rsidR="00013C0A">
        <w:rPr>
          <w:rFonts w:ascii="Garamond" w:hAnsi="Garamond"/>
        </w:rPr>
        <w:t>(s)</w:t>
      </w:r>
      <w:r w:rsidR="009143BC" w:rsidRPr="00491FB9">
        <w:rPr>
          <w:rFonts w:ascii="Garamond" w:hAnsi="Garamond"/>
        </w:rPr>
        <w:t xml:space="preserve"> a minimum of 20 samples should be collected over four 24-hour</w:t>
      </w:r>
      <w:r w:rsidR="00741D0F" w:rsidRPr="00491FB9">
        <w:rPr>
          <w:rFonts w:ascii="Garamond" w:hAnsi="Garamond"/>
        </w:rPr>
        <w:t xml:space="preserve"> consecutive </w:t>
      </w:r>
      <w:r w:rsidR="009143BC" w:rsidRPr="00491FB9">
        <w:rPr>
          <w:rFonts w:ascii="Garamond" w:hAnsi="Garamond"/>
        </w:rPr>
        <w:t>cycles</w:t>
      </w:r>
      <w:r>
        <w:rPr>
          <w:rFonts w:ascii="Garamond" w:hAnsi="Garamond"/>
        </w:rPr>
        <w:t xml:space="preserve"> </w:t>
      </w:r>
      <w:r w:rsidRPr="00491FB9">
        <w:rPr>
          <w:rFonts w:ascii="Garamond" w:hAnsi="Garamond"/>
        </w:rPr>
        <w:t>(</w:t>
      </w:r>
      <w:r>
        <w:rPr>
          <w:rFonts w:ascii="Garamond" w:hAnsi="Garamond"/>
        </w:rPr>
        <w:t xml:space="preserve">i.e. a total of </w:t>
      </w:r>
      <w:r w:rsidRPr="00491FB9">
        <w:rPr>
          <w:rFonts w:ascii="Garamond" w:hAnsi="Garamond"/>
        </w:rPr>
        <w:t>96 hours)</w:t>
      </w:r>
      <w:r w:rsidR="009143BC" w:rsidRPr="00491FB9">
        <w:rPr>
          <w:rFonts w:ascii="Garamond" w:hAnsi="Garamond"/>
        </w:rPr>
        <w:t xml:space="preserve"> in the area and during periods in which initial sampling showed the highest exceedance(s). Samples collected during periods of suspected on-going impairment should be collected no more than 5 to 7 hours apart from each other. </w:t>
      </w:r>
      <w:r w:rsidR="00B27357" w:rsidRPr="00491FB9">
        <w:rPr>
          <w:rFonts w:ascii="Garamond" w:hAnsi="Garamond"/>
        </w:rPr>
        <w:t xml:space="preserve">The sample results </w:t>
      </w:r>
      <w:r w:rsidR="00467CD9" w:rsidRPr="00491FB9">
        <w:rPr>
          <w:rFonts w:ascii="Garamond" w:hAnsi="Garamond"/>
        </w:rPr>
        <w:t>should</w:t>
      </w:r>
      <w:r w:rsidR="009143BC" w:rsidRPr="00491FB9">
        <w:rPr>
          <w:rFonts w:ascii="Garamond" w:hAnsi="Garamond"/>
        </w:rPr>
        <w:t xml:space="preserve"> be used to calculate a 4-day average and represent diurnal fluctuations. </w:t>
      </w:r>
      <w:r w:rsidR="00FD2EC4" w:rsidRPr="00491FB9">
        <w:rPr>
          <w:rFonts w:ascii="Garamond" w:hAnsi="Garamond"/>
        </w:rPr>
        <w:t>The requirement to collect at least 20 samples may be reduced if the source of contamination is a continuous source (e.g., effluent discharge). At least 20 samples are needed when the source is intermittent (e.g., motorized, non-stationary source)</w:t>
      </w:r>
      <w:r w:rsidR="00FD2EC4">
        <w:rPr>
          <w:rFonts w:ascii="Garamond" w:hAnsi="Garamond"/>
        </w:rPr>
        <w:t xml:space="preserve"> to establish an exceedance of the TAH or TAqH criteria</w:t>
      </w:r>
      <w:r w:rsidR="00FD2EC4" w:rsidRPr="00491FB9">
        <w:rPr>
          <w:rFonts w:ascii="Garamond" w:hAnsi="Garamond"/>
        </w:rPr>
        <w:t>.</w:t>
      </w:r>
    </w:p>
    <w:p w14:paraId="72C5BD65" w14:textId="7100A0C2" w:rsidR="00D17CBA" w:rsidRDefault="00D17CBA" w:rsidP="00FD2EC4">
      <w:pPr>
        <w:pStyle w:val="ListAlpha"/>
        <w:spacing w:line="276" w:lineRule="auto"/>
        <w:ind w:firstLine="0"/>
        <w:rPr>
          <w:rFonts w:ascii="Garamond" w:hAnsi="Garamond"/>
        </w:rPr>
      </w:pPr>
      <w:r w:rsidRPr="00D2042D">
        <w:rPr>
          <w:rFonts w:ascii="Garamond" w:hAnsi="Garamond"/>
        </w:rPr>
        <w:t xml:space="preserve">A single sample is sufficient to establish </w:t>
      </w:r>
      <w:r w:rsidR="00FD2EC4" w:rsidRPr="00D2042D">
        <w:rPr>
          <w:rFonts w:ascii="Garamond" w:hAnsi="Garamond"/>
        </w:rPr>
        <w:t xml:space="preserve">the duration of </w:t>
      </w:r>
      <w:r w:rsidRPr="00D2042D">
        <w:rPr>
          <w:rFonts w:ascii="Garamond" w:hAnsi="Garamond"/>
        </w:rPr>
        <w:t>an exceedance of the acute criteria (see impairment determination below).</w:t>
      </w:r>
    </w:p>
    <w:p w14:paraId="7261908F" w14:textId="64B6AC7C" w:rsidR="009143BC" w:rsidRPr="00491FB9" w:rsidRDefault="009143BC" w:rsidP="00491FB9">
      <w:pPr>
        <w:pStyle w:val="ListAlpha"/>
        <w:numPr>
          <w:ilvl w:val="0"/>
          <w:numId w:val="3"/>
        </w:numPr>
        <w:spacing w:line="276" w:lineRule="auto"/>
        <w:rPr>
          <w:rFonts w:ascii="Garamond" w:hAnsi="Garamond"/>
        </w:rPr>
      </w:pPr>
      <w:r w:rsidRPr="00491FB9">
        <w:rPr>
          <w:rFonts w:ascii="Garamond" w:hAnsi="Garamond"/>
          <w:u w:val="single"/>
        </w:rPr>
        <w:t>Impairment Determination</w:t>
      </w:r>
      <w:r w:rsidRPr="00491FB9">
        <w:rPr>
          <w:rFonts w:ascii="Garamond" w:hAnsi="Garamond"/>
        </w:rPr>
        <w:t xml:space="preserve">: If the 4-day average </w:t>
      </w:r>
      <w:r w:rsidR="006A10E8">
        <w:rPr>
          <w:rFonts w:ascii="Garamond" w:hAnsi="Garamond"/>
        </w:rPr>
        <w:t>exceeds</w:t>
      </w:r>
      <w:r w:rsidRPr="00491FB9">
        <w:rPr>
          <w:rFonts w:ascii="Garamond" w:hAnsi="Garamond"/>
        </w:rPr>
        <w:t xml:space="preserve"> </w:t>
      </w:r>
      <w:r w:rsidR="006A10E8">
        <w:rPr>
          <w:rFonts w:ascii="Garamond" w:hAnsi="Garamond"/>
        </w:rPr>
        <w:t>the TAH or TAqH criteria (10</w:t>
      </w:r>
      <w:r w:rsidR="00934EE9">
        <w:rPr>
          <w:rFonts w:ascii="Garamond" w:hAnsi="Garamond"/>
        </w:rPr>
        <w:t xml:space="preserve"> </w:t>
      </w:r>
      <w:r w:rsidR="006A10E8">
        <w:rPr>
          <w:rFonts w:ascii="Garamond" w:hAnsi="Garamond"/>
        </w:rPr>
        <w:t>µg/l and 15 µg/l respectively)</w:t>
      </w:r>
      <w:r w:rsidRPr="00491FB9">
        <w:rPr>
          <w:rFonts w:ascii="Garamond" w:hAnsi="Garamond"/>
        </w:rPr>
        <w:t xml:space="preserve"> more than once in a 3-year period, then the waterbody </w:t>
      </w:r>
      <w:r w:rsidR="00B27357" w:rsidRPr="00491FB9">
        <w:rPr>
          <w:rFonts w:ascii="Garamond" w:hAnsi="Garamond"/>
        </w:rPr>
        <w:t xml:space="preserve">will </w:t>
      </w:r>
      <w:r w:rsidRPr="00491FB9">
        <w:rPr>
          <w:rFonts w:ascii="Garamond" w:hAnsi="Garamond"/>
        </w:rPr>
        <w:t xml:space="preserve">be considered impaired </w:t>
      </w:r>
      <w:r w:rsidR="006A10E8">
        <w:rPr>
          <w:rFonts w:ascii="Garamond" w:hAnsi="Garamond"/>
        </w:rPr>
        <w:t xml:space="preserve">for aquatic life related uses due to chronic toxicity. </w:t>
      </w:r>
      <w:r w:rsidRPr="00491FB9">
        <w:rPr>
          <w:rFonts w:ascii="Garamond" w:hAnsi="Garamond"/>
        </w:rPr>
        <w:t xml:space="preserve">In addition, if the </w:t>
      </w:r>
      <w:r w:rsidR="0079220A">
        <w:rPr>
          <w:rFonts w:ascii="Garamond" w:hAnsi="Garamond"/>
        </w:rPr>
        <w:t>1</w:t>
      </w:r>
      <w:r w:rsidRPr="00491FB9">
        <w:rPr>
          <w:rFonts w:ascii="Garamond" w:hAnsi="Garamond"/>
        </w:rPr>
        <w:t xml:space="preserve">-hour average exceeds 1,000 µg/L for TAH or 1,500 µg/L for TAqH more than once in a 3-year period, then the waterbody </w:t>
      </w:r>
      <w:r w:rsidR="00B27357" w:rsidRPr="00491FB9">
        <w:rPr>
          <w:rFonts w:ascii="Garamond" w:hAnsi="Garamond"/>
        </w:rPr>
        <w:t xml:space="preserve">will </w:t>
      </w:r>
      <w:r w:rsidRPr="00491FB9">
        <w:rPr>
          <w:rFonts w:ascii="Garamond" w:hAnsi="Garamond"/>
        </w:rPr>
        <w:t>be considered impaired</w:t>
      </w:r>
      <w:r w:rsidR="006A10E8">
        <w:rPr>
          <w:rFonts w:ascii="Garamond" w:hAnsi="Garamond"/>
        </w:rPr>
        <w:t xml:space="preserve"> for aquatic life uses</w:t>
      </w:r>
      <w:r w:rsidRPr="00491FB9">
        <w:rPr>
          <w:rFonts w:ascii="Garamond" w:hAnsi="Garamond"/>
        </w:rPr>
        <w:t xml:space="preserve"> due to acute toxicity. </w:t>
      </w:r>
      <w:r w:rsidR="00324193">
        <w:rPr>
          <w:rFonts w:ascii="Garamond" w:hAnsi="Garamond"/>
        </w:rPr>
        <w:t xml:space="preserve">Impairment based on the </w:t>
      </w:r>
      <w:r w:rsidR="0079220A">
        <w:rPr>
          <w:rFonts w:ascii="Garamond" w:hAnsi="Garamond"/>
        </w:rPr>
        <w:t>acute</w:t>
      </w:r>
      <w:r w:rsidR="0079220A" w:rsidRPr="00491FB9">
        <w:rPr>
          <w:rFonts w:ascii="Garamond" w:hAnsi="Garamond"/>
        </w:rPr>
        <w:t xml:space="preserve"> </w:t>
      </w:r>
      <w:r w:rsidRPr="00491FB9">
        <w:rPr>
          <w:rFonts w:ascii="Garamond" w:hAnsi="Garamond"/>
        </w:rPr>
        <w:t xml:space="preserve">criterion </w:t>
      </w:r>
      <w:r w:rsidR="00324193">
        <w:rPr>
          <w:rFonts w:ascii="Garamond" w:hAnsi="Garamond"/>
        </w:rPr>
        <w:t xml:space="preserve">would need to be verified as having occurred during two years and </w:t>
      </w:r>
      <w:r w:rsidRPr="00491FB9">
        <w:rPr>
          <w:rFonts w:ascii="Garamond" w:hAnsi="Garamond"/>
        </w:rPr>
        <w:t xml:space="preserve">should not be considered </w:t>
      </w:r>
      <w:r w:rsidR="00324193">
        <w:rPr>
          <w:rFonts w:ascii="Garamond" w:hAnsi="Garamond"/>
        </w:rPr>
        <w:t>an impairment based only on an</w:t>
      </w:r>
      <w:r w:rsidR="00324193" w:rsidRPr="00491FB9">
        <w:rPr>
          <w:rFonts w:ascii="Garamond" w:hAnsi="Garamond"/>
        </w:rPr>
        <w:t xml:space="preserve"> </w:t>
      </w:r>
      <w:r w:rsidRPr="00491FB9">
        <w:rPr>
          <w:rFonts w:ascii="Garamond" w:hAnsi="Garamond"/>
        </w:rPr>
        <w:t xml:space="preserve">isolated event (e.g., active oil spill </w:t>
      </w:r>
      <w:r w:rsidR="00324193">
        <w:rPr>
          <w:rFonts w:ascii="Garamond" w:hAnsi="Garamond"/>
        </w:rPr>
        <w:t>that can be cleaned up in</w:t>
      </w:r>
      <w:r w:rsidR="00324193" w:rsidRPr="00491FB9">
        <w:rPr>
          <w:rFonts w:ascii="Garamond" w:hAnsi="Garamond"/>
        </w:rPr>
        <w:t xml:space="preserve"> </w:t>
      </w:r>
      <w:r w:rsidRPr="00491FB9">
        <w:rPr>
          <w:rFonts w:ascii="Garamond" w:hAnsi="Garamond"/>
        </w:rPr>
        <w:t xml:space="preserve">less than one </w:t>
      </w:r>
      <w:r w:rsidR="00324193">
        <w:rPr>
          <w:rFonts w:ascii="Garamond" w:hAnsi="Garamond"/>
        </w:rPr>
        <w:t>year</w:t>
      </w:r>
      <w:r w:rsidRPr="00491FB9">
        <w:rPr>
          <w:rFonts w:ascii="Garamond" w:hAnsi="Garamond"/>
        </w:rPr>
        <w:t>).</w:t>
      </w:r>
    </w:p>
    <w:p w14:paraId="23F3B59D" w14:textId="77777777" w:rsidR="009143BC" w:rsidRPr="00491FB9" w:rsidRDefault="009143BC" w:rsidP="00491FB9">
      <w:pPr>
        <w:pStyle w:val="Quotelevel"/>
        <w:spacing w:line="276" w:lineRule="auto"/>
        <w:rPr>
          <w:rFonts w:ascii="Garamond" w:hAnsi="Garamond"/>
        </w:rPr>
      </w:pPr>
      <w:r w:rsidRPr="00491FB9">
        <w:rPr>
          <w:rFonts w:ascii="Garamond" w:hAnsi="Garamond"/>
        </w:rPr>
        <w:t>The spatial and seasonal extent of the impairment may be based on independent sampling events consisting of single and/or duplicate samples from multiple sites during the same day. For example, consider a monitoring plan with five monitoring locations. Assume two 4-day averages from monitoring location number 1 (ML1) exceed WQS. If individual sample results from sites ML2 through ML5 also exceed WQS</w:t>
      </w:r>
      <w:r w:rsidRPr="00491FB9" w:rsidDel="007F63B9">
        <w:rPr>
          <w:rFonts w:ascii="Garamond" w:hAnsi="Garamond"/>
        </w:rPr>
        <w:t xml:space="preserve"> </w:t>
      </w:r>
      <w:r w:rsidRPr="00491FB9">
        <w:rPr>
          <w:rFonts w:ascii="Garamond" w:hAnsi="Garamond"/>
        </w:rPr>
        <w:t xml:space="preserve">during both of the two 4-day ML1 sampling events, </w:t>
      </w:r>
      <w:r w:rsidR="00B27357" w:rsidRPr="00491FB9">
        <w:rPr>
          <w:rFonts w:ascii="Garamond" w:hAnsi="Garamond"/>
        </w:rPr>
        <w:t xml:space="preserve">then </w:t>
      </w:r>
      <w:r w:rsidRPr="00491FB9">
        <w:rPr>
          <w:rFonts w:ascii="Garamond" w:hAnsi="Garamond"/>
        </w:rPr>
        <w:t>those additional sites with two exceedances can be used to define the spatial extent of the impairment.</w:t>
      </w:r>
    </w:p>
    <w:p w14:paraId="5DFDF25B" w14:textId="21E38E43" w:rsidR="002638DD" w:rsidRPr="00D2042D" w:rsidRDefault="002638DD" w:rsidP="00491FB9">
      <w:pPr>
        <w:pStyle w:val="Heading2"/>
        <w:rPr>
          <w:b w:val="0"/>
        </w:rPr>
      </w:pPr>
      <w:bookmarkStart w:id="63" w:name="_Toc424721511"/>
      <w:r w:rsidRPr="00D2042D">
        <w:t xml:space="preserve">Other </w:t>
      </w:r>
      <w:r w:rsidRPr="00D2042D">
        <w:rPr>
          <w:color w:val="4472C4" w:themeColor="accent5"/>
        </w:rPr>
        <w:t>Methods</w:t>
      </w:r>
      <w:bookmarkEnd w:id="63"/>
    </w:p>
    <w:p w14:paraId="4A42771F" w14:textId="04C7AC23" w:rsidR="002638DD" w:rsidRPr="00491FB9" w:rsidRDefault="00890F25" w:rsidP="00491FB9">
      <w:pPr>
        <w:spacing w:line="276" w:lineRule="auto"/>
        <w:rPr>
          <w:rFonts w:cs="Times New Roman"/>
        </w:rPr>
      </w:pPr>
      <w:r w:rsidRPr="00D2042D">
        <w:t>Laboratory analytical testing is the preferred methodology to inform listing or delisting a waterbody</w:t>
      </w:r>
      <w:r w:rsidR="00C02504" w:rsidRPr="00D2042D">
        <w:t xml:space="preserve"> for the water column or sediment</w:t>
      </w:r>
      <w:r w:rsidRPr="00D2042D">
        <w:t xml:space="preserve">.  However, DEC recognizes the significant cost and resources necessary to fulfill these data requirements.  Therefore, impairment decisions </w:t>
      </w:r>
      <w:r w:rsidR="00E94ABC" w:rsidRPr="00D2042D">
        <w:t xml:space="preserve">and subsequent restoration monitoring </w:t>
      </w:r>
      <w:r w:rsidRPr="00D2042D">
        <w:t xml:space="preserve">may be based on surrogate information (i.e., statistical modeling or other method agreed upon by DEC).  </w:t>
      </w:r>
      <w:r w:rsidR="00E94ABC" w:rsidRPr="00D2042D">
        <w:t>For example, initial petroleum sampling may be paired with observation of the number</w:t>
      </w:r>
      <w:r w:rsidR="00BF1F0D" w:rsidRPr="00D2042D">
        <w:t>, type</w:t>
      </w:r>
      <w:r w:rsidR="00E94ABC" w:rsidRPr="00D2042D">
        <w:t xml:space="preserve"> and size of </w:t>
      </w:r>
      <w:r w:rsidR="00EA5956" w:rsidRPr="00D2042D">
        <w:t>motors on</w:t>
      </w:r>
      <w:r w:rsidR="00E94ABC" w:rsidRPr="00D2042D">
        <w:t xml:space="preserve"> boats </w:t>
      </w:r>
      <w:r w:rsidR="00BF1F0D" w:rsidRPr="00D2042D">
        <w:t xml:space="preserve">in a river </w:t>
      </w:r>
      <w:r w:rsidR="00E94ABC" w:rsidRPr="00D2042D">
        <w:t xml:space="preserve">to create a petroleum loading model that then allows </w:t>
      </w:r>
      <w:r w:rsidR="00BF1F0D" w:rsidRPr="00D2042D">
        <w:t>boat motor</w:t>
      </w:r>
      <w:r w:rsidR="00E94ABC" w:rsidRPr="00D2042D">
        <w:t xml:space="preserve"> count as a surrogate for petroleum sampling. </w:t>
      </w:r>
      <w:r w:rsidRPr="00D2042D">
        <w:t>Provided sufficient data (at a minimum</w:t>
      </w:r>
      <w:r w:rsidR="00C02504" w:rsidRPr="00D2042D">
        <w:t xml:space="preserve"> 20 samples</w:t>
      </w:r>
      <w:r w:rsidRPr="00D2042D">
        <w:t xml:space="preserve">) is available, a regression analysis of surrogates may be considered </w:t>
      </w:r>
      <w:r w:rsidRPr="00D2042D">
        <w:lastRenderedPageBreak/>
        <w:t>given a strong correlation (example:  R</w:t>
      </w:r>
      <w:r w:rsidRPr="00D2042D">
        <w:rPr>
          <w:vertAlign w:val="superscript"/>
        </w:rPr>
        <w:t>2</w:t>
      </w:r>
      <w:r w:rsidRPr="00D2042D">
        <w:t xml:space="preserve"> more than 0.85) exists between the actual water quality data and the surrogate.</w:t>
      </w:r>
    </w:p>
    <w:p w14:paraId="578AFEA8" w14:textId="77777777" w:rsidR="009143BC" w:rsidRPr="0071303F" w:rsidRDefault="009143BC" w:rsidP="00B54EC5">
      <w:pPr>
        <w:pStyle w:val="Heading1"/>
      </w:pPr>
      <w:bookmarkStart w:id="64" w:name="_Toc354750899"/>
      <w:bookmarkStart w:id="65" w:name="_Toc424721512"/>
      <w:r w:rsidRPr="0071303F">
        <w:t>Removal of a Waterbody from the Section 303(d) List</w:t>
      </w:r>
      <w:bookmarkEnd w:id="64"/>
      <w:r w:rsidRPr="0071303F">
        <w:t xml:space="preserve"> for </w:t>
      </w:r>
      <w:r w:rsidR="00A542AF" w:rsidRPr="0071303F">
        <w:t>Petroleum Hydrocarbons, Oils and Grease</w:t>
      </w:r>
      <w:bookmarkEnd w:id="65"/>
    </w:p>
    <w:p w14:paraId="0A585CD5" w14:textId="29853E7D" w:rsidR="009143BC" w:rsidRPr="00491FB9" w:rsidRDefault="009143BC" w:rsidP="00491FB9">
      <w:pPr>
        <w:spacing w:line="276" w:lineRule="auto"/>
      </w:pPr>
      <w:r w:rsidRPr="00B639F0">
        <w:t xml:space="preserve">The </w:t>
      </w:r>
      <w:r w:rsidR="005C471B" w:rsidRPr="00B639F0">
        <w:t>basic direction for listing determinations</w:t>
      </w:r>
      <w:r w:rsidRPr="00B639F0">
        <w:t xml:space="preserve"> used by Alaska and outlined in the Integrated Report</w:t>
      </w:r>
      <w:r w:rsidR="005C471B" w:rsidRPr="00B639F0">
        <w:t>s</w:t>
      </w:r>
      <w:r w:rsidRPr="00B639F0">
        <w:t xml:space="preserve"> dictate that removing a waterbody from the Section 303(d) list requires a level of data equivalent to </w:t>
      </w:r>
      <w:r w:rsidR="006134C6">
        <w:t xml:space="preserve">that </w:t>
      </w:r>
      <w:r w:rsidRPr="00B639F0">
        <w:t>used in the initial Section 303(d) listing determination. Sampling plans for removing a wa</w:t>
      </w:r>
      <w:r w:rsidRPr="00491FB9">
        <w:t>terbody should be designed to capture whether changes have occurred that have resulted in the waterbody meeting WQS. Sampling should be specifically designed to determine if the documented impairment still exists.</w:t>
      </w:r>
    </w:p>
    <w:p w14:paraId="7AEE1D22" w14:textId="77777777" w:rsidR="009143BC" w:rsidRPr="00491FB9" w:rsidRDefault="009143BC" w:rsidP="00491FB9">
      <w:pPr>
        <w:spacing w:line="276" w:lineRule="auto"/>
      </w:pPr>
      <w:r w:rsidRPr="00491FB9">
        <w:t xml:space="preserve">The minimum number of samples depends on the number needed to document that the criteria are not exceeded during periods of highest risk (e.g., greatest number of sources, low flow). Data from at least </w:t>
      </w:r>
      <w:r w:rsidR="00B27357" w:rsidRPr="00491FB9">
        <w:t xml:space="preserve">two </w:t>
      </w:r>
      <w:r w:rsidRPr="00491FB9">
        <w:t>years must show that criteria have not been exceeded in order to demonstrate consistent attainment of the WQS.</w:t>
      </w:r>
    </w:p>
    <w:p w14:paraId="1BE0A5AD" w14:textId="77777777" w:rsidR="00A07E11" w:rsidRPr="0071303F" w:rsidRDefault="00264AC9" w:rsidP="00F15E99">
      <w:pPr>
        <w:pStyle w:val="Heading1"/>
      </w:pPr>
      <w:bookmarkStart w:id="66" w:name="_Toc424721513"/>
      <w:r w:rsidRPr="0071303F">
        <w:t>References</w:t>
      </w:r>
      <w:bookmarkEnd w:id="66"/>
    </w:p>
    <w:p w14:paraId="1440AF4C" w14:textId="77777777" w:rsidR="00080C39" w:rsidRPr="00491FB9" w:rsidRDefault="00080C39" w:rsidP="00491FB9">
      <w:pPr>
        <w:spacing w:before="240" w:line="276" w:lineRule="auto"/>
        <w:rPr>
          <w:rFonts w:cs="Times New Roman"/>
        </w:rPr>
      </w:pPr>
      <w:r w:rsidRPr="00491FB9">
        <w:rPr>
          <w:rFonts w:cs="Times New Roman"/>
        </w:rPr>
        <w:t>DEC. 1989. Response to Alyeska Pipeline Service Company’s Review of the Derivation of the Department’s Aromatic Hydrocarbon Criterion. Water Quality Management. Juneau, AK.</w:t>
      </w:r>
    </w:p>
    <w:p w14:paraId="1091BB19" w14:textId="77777777" w:rsidR="00080C39" w:rsidRPr="00491FB9" w:rsidRDefault="00080C39" w:rsidP="00491FB9">
      <w:pPr>
        <w:spacing w:line="276" w:lineRule="auto"/>
        <w:rPr>
          <w:rStyle w:val="Hyperlink"/>
          <w:rFonts w:cs="Times New Roman"/>
        </w:rPr>
      </w:pPr>
      <w:r w:rsidRPr="00491FB9">
        <w:rPr>
          <w:rFonts w:cs="Times New Roman"/>
        </w:rPr>
        <w:t xml:space="preserve">DEC. 2008. </w:t>
      </w:r>
      <w:r w:rsidRPr="00491FB9">
        <w:rPr>
          <w:rStyle w:val="Emphasis"/>
          <w:rFonts w:ascii="Garamond" w:hAnsi="Garamond" w:cs="Times New Roman"/>
          <w:i w:val="0"/>
        </w:rPr>
        <w:t>Alaska Water Quality Criteria Manual for Toxic and Other Deleterious Organic and Inorganic Substances</w:t>
      </w:r>
      <w:r w:rsidR="00744347" w:rsidRPr="00491FB9">
        <w:rPr>
          <w:rStyle w:val="Emphasis"/>
          <w:rFonts w:ascii="Garamond" w:hAnsi="Garamond" w:cs="Times New Roman"/>
        </w:rPr>
        <w:t>.</w:t>
      </w:r>
      <w:r w:rsidR="00744347" w:rsidRPr="00491FB9">
        <w:rPr>
          <w:rStyle w:val="Emphasis"/>
          <w:rFonts w:ascii="Garamond" w:hAnsi="Garamond" w:cs="Times New Roman"/>
          <w:i w:val="0"/>
        </w:rPr>
        <w:t xml:space="preserve"> Juneau Alaska.</w:t>
      </w:r>
      <w:r w:rsidRPr="00491FB9">
        <w:rPr>
          <w:rStyle w:val="Emphasis"/>
          <w:rFonts w:ascii="Garamond" w:hAnsi="Garamond" w:cs="Times New Roman"/>
        </w:rPr>
        <w:t xml:space="preserve"> </w:t>
      </w:r>
    </w:p>
    <w:p w14:paraId="41C3624F" w14:textId="77777777" w:rsidR="00080C39" w:rsidRPr="00491FB9" w:rsidRDefault="00080C39" w:rsidP="00491FB9">
      <w:pPr>
        <w:spacing w:line="276" w:lineRule="auto"/>
        <w:rPr>
          <w:rFonts w:cs="Times New Roman"/>
        </w:rPr>
      </w:pPr>
      <w:r w:rsidRPr="00491FB9">
        <w:rPr>
          <w:rFonts w:cs="Times New Roman"/>
        </w:rPr>
        <w:t xml:space="preserve">DEC. 2010. Alaska’s Final 2010 Integrated Water Quality Monitoring and Assessment Report. </w:t>
      </w:r>
    </w:p>
    <w:p w14:paraId="7F9F3B53" w14:textId="77777777" w:rsidR="003B2E45" w:rsidRPr="00491FB9" w:rsidRDefault="003B2E45" w:rsidP="00491FB9">
      <w:pPr>
        <w:spacing w:line="276" w:lineRule="auto"/>
        <w:rPr>
          <w:rFonts w:cs="Times New Roman"/>
        </w:rPr>
      </w:pPr>
      <w:r w:rsidRPr="00491FB9">
        <w:rPr>
          <w:rFonts w:cs="Times New Roman"/>
        </w:rPr>
        <w:t>DEC. 2013. Sediment Quality Guidelines. Technical Memorandum. Division of Spill Response, Contaminated Sites Remediation Program. Juneau, AK.</w:t>
      </w:r>
    </w:p>
    <w:p w14:paraId="1AB3DC0F" w14:textId="77777777" w:rsidR="00080C39" w:rsidRPr="00491FB9" w:rsidRDefault="00080C39" w:rsidP="00491FB9">
      <w:pPr>
        <w:spacing w:line="276" w:lineRule="auto"/>
        <w:rPr>
          <w:rFonts w:cs="Times New Roman"/>
        </w:rPr>
      </w:pPr>
      <w:r w:rsidRPr="00491FB9">
        <w:rPr>
          <w:rFonts w:cs="Times New Roman"/>
        </w:rPr>
        <w:t xml:space="preserve">Environmental Protection Agency (EPA). 1976. Quality Criteria for Water (a.k.a, Red Book).  PB 263 943. Washington, D.C. </w:t>
      </w:r>
    </w:p>
    <w:p w14:paraId="010DFD80" w14:textId="77777777" w:rsidR="00DA5A24" w:rsidRPr="00491FB9" w:rsidRDefault="00DA5A24" w:rsidP="00491FB9">
      <w:pPr>
        <w:spacing w:line="276" w:lineRule="auto"/>
        <w:rPr>
          <w:rFonts w:cs="Times New Roman"/>
        </w:rPr>
      </w:pPr>
      <w:r w:rsidRPr="00491FB9">
        <w:rPr>
          <w:rFonts w:cs="Times New Roman"/>
        </w:rPr>
        <w:t>EPA. 1986. Quality Criteria for Water (a.k.a, Gold Book). EPA 440/5-86-001. Washington, D.C.</w:t>
      </w:r>
    </w:p>
    <w:p w14:paraId="10C2C702" w14:textId="77777777" w:rsidR="00080C39" w:rsidRPr="00491FB9" w:rsidRDefault="00080C39" w:rsidP="00491FB9">
      <w:pPr>
        <w:spacing w:line="276" w:lineRule="auto"/>
        <w:rPr>
          <w:rFonts w:cs="Times New Roman"/>
        </w:rPr>
      </w:pPr>
      <w:r w:rsidRPr="00491FB9">
        <w:rPr>
          <w:rFonts w:cs="Times New Roman"/>
        </w:rPr>
        <w:t>EPA. 1991. Technical Support Document for Water Quality-based Toxics Control. Office of Water. Washington, D.C.</w:t>
      </w:r>
    </w:p>
    <w:p w14:paraId="1B59515A" w14:textId="77777777" w:rsidR="00447D1F" w:rsidRPr="00491FB9" w:rsidRDefault="00447D1F" w:rsidP="00491FB9">
      <w:pPr>
        <w:spacing w:line="276" w:lineRule="auto"/>
        <w:rPr>
          <w:rFonts w:cs="Times New Roman"/>
        </w:rPr>
      </w:pPr>
      <w:r w:rsidRPr="00491FB9">
        <w:rPr>
          <w:rFonts w:cs="Times New Roman"/>
        </w:rPr>
        <w:t xml:space="preserve">EPA. 2002. Consolidated Assessment and Listing Methodology: Toward a Compendium of Best Practices. EPA Office of Wetlands, Oceans and Watersheds. Washington, D.C. </w:t>
      </w:r>
      <w:hyperlink r:id="rId18" w:history="1">
        <w:r w:rsidRPr="00491FB9">
          <w:rPr>
            <w:rStyle w:val="Hyperlink"/>
            <w:rFonts w:cs="Times New Roman"/>
          </w:rPr>
          <w:t>http://water.epa.gov/type/watersheds/monitoring/upload/2003_07_02_monitoring_calm_calm_contents.pdf</w:t>
        </w:r>
      </w:hyperlink>
      <w:r w:rsidRPr="00491FB9">
        <w:rPr>
          <w:rFonts w:cs="Times New Roman"/>
        </w:rPr>
        <w:t xml:space="preserve"> </w:t>
      </w:r>
    </w:p>
    <w:p w14:paraId="4C929C75" w14:textId="77777777" w:rsidR="00080C39" w:rsidRPr="00491FB9" w:rsidRDefault="00080C39" w:rsidP="00491FB9">
      <w:pPr>
        <w:spacing w:line="276" w:lineRule="auto"/>
        <w:rPr>
          <w:rFonts w:cs="Times New Roman"/>
        </w:rPr>
      </w:pPr>
      <w:r w:rsidRPr="00491FB9">
        <w:rPr>
          <w:rFonts w:cs="Times New Roman"/>
        </w:rPr>
        <w:lastRenderedPageBreak/>
        <w:t xml:space="preserve">Stephen, Charles E., et al. 1985.  Guidelines for Deriving Numerical National Water Quality Criteria for the Protection of Aquatic Organisms and Their Uses. EPA Office of Research and Development, Environmental Research Laboratories. PB85-227049, Duluth, MN. </w:t>
      </w:r>
    </w:p>
    <w:p w14:paraId="2F8923E3" w14:textId="77777777" w:rsidR="00080C39" w:rsidRPr="00491FB9" w:rsidRDefault="00080C39" w:rsidP="00491FB9">
      <w:pPr>
        <w:spacing w:line="276" w:lineRule="auto"/>
        <w:rPr>
          <w:rFonts w:cs="Times New Roman"/>
        </w:rPr>
      </w:pPr>
      <w:r w:rsidRPr="00491FB9">
        <w:rPr>
          <w:rFonts w:cs="Times New Roman"/>
        </w:rPr>
        <w:t>Tetra Tech, Inc. 2008. Petroleum Listing Methodology Review. Prepared for the Alaska Department of Environmental Conservation. Juneau, AK.</w:t>
      </w:r>
    </w:p>
    <w:p w14:paraId="3B32827F" w14:textId="77777777" w:rsidR="00264AC9" w:rsidRPr="00491FB9" w:rsidRDefault="002E392C" w:rsidP="00491FB9">
      <w:pPr>
        <w:spacing w:line="276" w:lineRule="auto"/>
        <w:rPr>
          <w:rFonts w:cs="Times New Roman"/>
        </w:rPr>
      </w:pPr>
      <w:r w:rsidRPr="00491FB9">
        <w:rPr>
          <w:rFonts w:cs="Times New Roman"/>
        </w:rPr>
        <w:t>Weber Scannell, P, et</w:t>
      </w:r>
      <w:r w:rsidR="00080C39" w:rsidRPr="00491FB9">
        <w:rPr>
          <w:rFonts w:cs="Times New Roman"/>
        </w:rPr>
        <w:t xml:space="preserve"> al. 2005. Acute and Chronic Toxicity of Hydrocarbons in Marine and Fresh Water with an Emphasis on Alaska Species: a Review of the Literature. Prepared for the Alaska Department of Environmental Conservation. Juneau, AK.</w:t>
      </w:r>
    </w:p>
    <w:p w14:paraId="1BC52379" w14:textId="77777777" w:rsidR="00587AA3" w:rsidRPr="00491FB9" w:rsidRDefault="00587AA3" w:rsidP="00491FB9">
      <w:pPr>
        <w:spacing w:line="276" w:lineRule="auto"/>
        <w:rPr>
          <w:rFonts w:cs="Times New Roman"/>
        </w:rPr>
      </w:pPr>
      <w:r w:rsidRPr="00491FB9">
        <w:rPr>
          <w:rFonts w:cs="Times New Roman"/>
        </w:rPr>
        <w:br w:type="page"/>
      </w:r>
    </w:p>
    <w:p w14:paraId="74EE8A8F" w14:textId="77777777" w:rsidR="00587AA3" w:rsidRPr="0071303F" w:rsidRDefault="00587AA3" w:rsidP="00587AA3">
      <w:pPr>
        <w:pStyle w:val="Heading1"/>
        <w:numPr>
          <w:ilvl w:val="0"/>
          <w:numId w:val="0"/>
        </w:numPr>
        <w:ind w:left="432" w:hanging="432"/>
      </w:pPr>
      <w:bookmarkStart w:id="67" w:name="_Toc424721514"/>
      <w:r w:rsidRPr="0071303F">
        <w:lastRenderedPageBreak/>
        <w:t xml:space="preserve">Appendix A – Visible </w:t>
      </w:r>
      <w:r w:rsidR="008C18AA" w:rsidRPr="0071303F">
        <w:t xml:space="preserve">Oil </w:t>
      </w:r>
      <w:r w:rsidRPr="0071303F">
        <w:t>Sheen</w:t>
      </w:r>
      <w:r w:rsidR="008C18AA" w:rsidRPr="0071303F">
        <w:t xml:space="preserve"> Standard Operating Procedure</w:t>
      </w:r>
      <w:bookmarkEnd w:id="67"/>
    </w:p>
    <w:p w14:paraId="7E46733A" w14:textId="77777777" w:rsidR="00587AA3" w:rsidRPr="0071303F" w:rsidRDefault="00587AA3" w:rsidP="00491FB9">
      <w:pPr>
        <w:spacing w:line="276" w:lineRule="auto"/>
      </w:pPr>
    </w:p>
    <w:p w14:paraId="6FBF6BD5" w14:textId="015A061A" w:rsidR="008C18AA" w:rsidRPr="00491FB9" w:rsidRDefault="00C601E0" w:rsidP="00C601E0">
      <w:pPr>
        <w:rPr>
          <w:rFonts w:cs="Times New Roman"/>
          <w:b/>
          <w:color w:val="4472C4" w:themeColor="accent5"/>
          <w:sz w:val="28"/>
        </w:rPr>
      </w:pPr>
      <w:r w:rsidRPr="00491FB9">
        <w:rPr>
          <w:rFonts w:cs="Times New Roman"/>
          <w:b/>
          <w:color w:val="4472C4" w:themeColor="accent5"/>
          <w:sz w:val="28"/>
        </w:rPr>
        <w:t xml:space="preserve">1.0 </w:t>
      </w:r>
      <w:r w:rsidRPr="0071303F">
        <w:rPr>
          <w:rFonts w:cs="Times New Roman"/>
          <w:b/>
          <w:color w:val="4472C4" w:themeColor="accent5"/>
          <w:sz w:val="28"/>
        </w:rPr>
        <w:t xml:space="preserve">SCOPE </w:t>
      </w:r>
      <w:r w:rsidRPr="00491FB9">
        <w:rPr>
          <w:rFonts w:cs="Times New Roman"/>
          <w:b/>
          <w:color w:val="4472C4" w:themeColor="accent5"/>
        </w:rPr>
        <w:t>A</w:t>
      </w:r>
      <w:r w:rsidRPr="0071303F">
        <w:rPr>
          <w:rFonts w:cs="Times New Roman"/>
          <w:b/>
          <w:color w:val="4472C4" w:themeColor="accent5"/>
          <w:sz w:val="28"/>
        </w:rPr>
        <w:t>ND METHOD SUMMARY</w:t>
      </w:r>
    </w:p>
    <w:p w14:paraId="1D98BCA6" w14:textId="77777777" w:rsidR="008C18AA" w:rsidRPr="00491FB9" w:rsidRDefault="008C18AA" w:rsidP="00491FB9">
      <w:pPr>
        <w:spacing w:line="276" w:lineRule="auto"/>
        <w:rPr>
          <w:rFonts w:cs="Times New Roman"/>
        </w:rPr>
      </w:pPr>
      <w:r w:rsidRPr="00491FB9">
        <w:rPr>
          <w:rFonts w:cs="Times New Roman"/>
        </w:rPr>
        <w:t>Not all sheens are caused by petroleum oil. Sheens with iridescent or silvery appearance are often observed on water in ditches, wetlands, and on other areas with stagnant, standing water. In some cases, there are reddish precipitates associated with the sheen. Such sheens may not be oil related sheens, but actually natural sheens from masses of bacteria. These bacteria include iron and manganese reducing bacteria such as Leptothrix spp. that also produce the reddish or blackish precipitates seen in some stagnant waters (Robbins and Norden, 1994). Natural bacterial or biogenic sheens are often confused with oil sheens.</w:t>
      </w:r>
    </w:p>
    <w:p w14:paraId="0789DFEF" w14:textId="77777777" w:rsidR="008C18AA" w:rsidRPr="00491FB9" w:rsidRDefault="008C18AA" w:rsidP="00491FB9">
      <w:pPr>
        <w:spacing w:line="276" w:lineRule="auto"/>
        <w:rPr>
          <w:rFonts w:cs="Times New Roman"/>
        </w:rPr>
      </w:pPr>
      <w:r w:rsidRPr="00491FB9">
        <w:rPr>
          <w:rFonts w:cs="Times New Roman"/>
        </w:rPr>
        <w:t>This Standard Operating Procedure (SOP) describes the basic methods and testing methodology to differentiate oil sheen from biogenic sheen in the field. The sheen differentiation methods are referred to in this document as ‘Stick Test’ and ‘Jar Shake Test’</w:t>
      </w:r>
      <w:r w:rsidR="007463C2" w:rsidRPr="00491FB9">
        <w:rPr>
          <w:rFonts w:cs="Times New Roman"/>
        </w:rPr>
        <w:t xml:space="preserve"> (see sections 5.1 and 5.2 below)</w:t>
      </w:r>
    </w:p>
    <w:p w14:paraId="4F608D12" w14:textId="304CFE09" w:rsidR="008C18AA" w:rsidRPr="00491FB9" w:rsidRDefault="006134C6" w:rsidP="00491FB9">
      <w:pPr>
        <w:spacing w:line="276" w:lineRule="auto"/>
        <w:rPr>
          <w:rFonts w:cs="Times New Roman"/>
        </w:rPr>
      </w:pPr>
      <w:r>
        <w:rPr>
          <w:rFonts w:cs="Times New Roman"/>
        </w:rPr>
        <w:t>P</w:t>
      </w:r>
      <w:r w:rsidR="008C18AA" w:rsidRPr="00491FB9">
        <w:rPr>
          <w:rFonts w:cs="Times New Roman"/>
        </w:rPr>
        <w:t xml:space="preserve">rocedures outlined in this SOP </w:t>
      </w:r>
      <w:r>
        <w:rPr>
          <w:rFonts w:cs="Times New Roman"/>
        </w:rPr>
        <w:t>should</w:t>
      </w:r>
      <w:r w:rsidR="008C18AA" w:rsidRPr="00491FB9">
        <w:rPr>
          <w:rFonts w:cs="Times New Roman"/>
        </w:rPr>
        <w:t xml:space="preserve"> be followed</w:t>
      </w:r>
      <w:r>
        <w:rPr>
          <w:rFonts w:cs="Times New Roman"/>
        </w:rPr>
        <w:t xml:space="preserve"> to document presence of sheen for the purposes of making an impairment determination</w:t>
      </w:r>
      <w:r w:rsidR="008C18AA" w:rsidRPr="00491FB9">
        <w:rPr>
          <w:rFonts w:cs="Times New Roman"/>
        </w:rPr>
        <w:t xml:space="preserve">. Procedural modifications may be warranted depending on equipment limitations or limitations imposed by the procedure. Substantive modification to this SOP will be noted in </w:t>
      </w:r>
      <w:r w:rsidR="00D82774" w:rsidRPr="00491FB9">
        <w:rPr>
          <w:rFonts w:cs="Times New Roman"/>
        </w:rPr>
        <w:t xml:space="preserve">a </w:t>
      </w:r>
      <w:r w:rsidR="00BF132B" w:rsidRPr="00491FB9">
        <w:rPr>
          <w:rFonts w:cs="Times New Roman"/>
        </w:rPr>
        <w:t>project</w:t>
      </w:r>
      <w:r w:rsidR="008C18AA" w:rsidRPr="00491FB9">
        <w:rPr>
          <w:rFonts w:cs="Times New Roman"/>
        </w:rPr>
        <w:t xml:space="preserve">-specific </w:t>
      </w:r>
      <w:r w:rsidR="00D82774" w:rsidRPr="00491FB9">
        <w:rPr>
          <w:rFonts w:cs="Times New Roman"/>
        </w:rPr>
        <w:t>Quality Assurance Project Plan (QAPP)</w:t>
      </w:r>
      <w:r w:rsidR="008C18AA" w:rsidRPr="00491FB9">
        <w:rPr>
          <w:rFonts w:cs="Times New Roman"/>
        </w:rPr>
        <w:t xml:space="preserve"> </w:t>
      </w:r>
      <w:r w:rsidR="008C18AA" w:rsidRPr="00D2042D">
        <w:rPr>
          <w:rFonts w:cs="Times New Roman"/>
        </w:rPr>
        <w:t xml:space="preserve">and </w:t>
      </w:r>
      <w:r w:rsidR="00B27E92" w:rsidRPr="00D2042D">
        <w:rPr>
          <w:rFonts w:cs="Times New Roman"/>
        </w:rPr>
        <w:t>advance approval</w:t>
      </w:r>
      <w:r w:rsidR="008C18AA" w:rsidRPr="00D2042D">
        <w:rPr>
          <w:rFonts w:cs="Times New Roman"/>
        </w:rPr>
        <w:t xml:space="preserve"> by the </w:t>
      </w:r>
      <w:r w:rsidR="00D82774" w:rsidRPr="00D2042D">
        <w:rPr>
          <w:rFonts w:cs="Times New Roman"/>
        </w:rPr>
        <w:t>DEC Quality Assurance Officer</w:t>
      </w:r>
      <w:r w:rsidR="00B27E92" w:rsidRPr="00D2042D">
        <w:rPr>
          <w:rFonts w:cs="Times New Roman"/>
        </w:rPr>
        <w:t xml:space="preserve"> should be requested.</w:t>
      </w:r>
      <w:r w:rsidR="008C18AA" w:rsidRPr="00491FB9">
        <w:rPr>
          <w:rFonts w:cs="Times New Roman"/>
        </w:rPr>
        <w:t xml:space="preserve"> Deviations from the SOP will be documented in the project records and in subsequent reports. Observations will be recorded in a field log.</w:t>
      </w:r>
    </w:p>
    <w:p w14:paraId="4610BCB0" w14:textId="77777777" w:rsidR="008C18AA" w:rsidRPr="00491FB9" w:rsidRDefault="008C18AA" w:rsidP="00491FB9">
      <w:pPr>
        <w:spacing w:line="276" w:lineRule="auto"/>
        <w:rPr>
          <w:rFonts w:cs="Times New Roman"/>
        </w:rPr>
      </w:pPr>
      <w:r w:rsidRPr="00491FB9">
        <w:rPr>
          <w:rFonts w:cs="Times New Roman"/>
        </w:rPr>
        <w:t>It should be recognized that in some cases the amount of sheen present may preclude application of all the tests described in this SOP. To address this issue, field personnel shall, after initial observation of the sheen, determine if full implementation of the process is practicable. A decision to eliminate one or more steps of the process based on this issue shall be fully documented in the field log.</w:t>
      </w:r>
    </w:p>
    <w:p w14:paraId="0B237AEA" w14:textId="77777777" w:rsidR="008C18AA" w:rsidRPr="00491FB9" w:rsidRDefault="008C18AA" w:rsidP="00491FB9">
      <w:pPr>
        <w:spacing w:after="60" w:line="276" w:lineRule="auto"/>
        <w:rPr>
          <w:rFonts w:cs="Times New Roman"/>
          <w:b/>
          <w:color w:val="4472C4" w:themeColor="accent5"/>
          <w:sz w:val="28"/>
        </w:rPr>
      </w:pPr>
      <w:r w:rsidRPr="00491FB9">
        <w:rPr>
          <w:rFonts w:cs="Times New Roman"/>
          <w:b/>
          <w:color w:val="4472C4" w:themeColor="accent5"/>
          <w:sz w:val="28"/>
        </w:rPr>
        <w:t>2.0 PERSONNEL QUALIFICATIONS</w:t>
      </w:r>
    </w:p>
    <w:p w14:paraId="6B2F27B7" w14:textId="77777777" w:rsidR="008C18AA" w:rsidRPr="00491FB9" w:rsidRDefault="008C18AA" w:rsidP="00491FB9">
      <w:pPr>
        <w:spacing w:line="276" w:lineRule="auto"/>
        <w:rPr>
          <w:rFonts w:cs="Times New Roman"/>
        </w:rPr>
      </w:pPr>
      <w:r w:rsidRPr="00491FB9">
        <w:rPr>
          <w:rFonts w:cs="Times New Roman"/>
        </w:rPr>
        <w:t>Sheen identification via these methods can be a relatively involved process requiring training. It is recommended that initial sampling be supervised by more experienced personnel. Similar to the other tests, the same observers will visually rate the sample.</w:t>
      </w:r>
    </w:p>
    <w:p w14:paraId="0B1386FA" w14:textId="4C192EA5" w:rsidR="008C18AA" w:rsidRPr="00491FB9" w:rsidRDefault="008C18AA" w:rsidP="00491FB9">
      <w:pPr>
        <w:spacing w:line="276" w:lineRule="auto"/>
        <w:rPr>
          <w:rFonts w:cs="Times New Roman"/>
        </w:rPr>
      </w:pPr>
      <w:r w:rsidRPr="00491FB9">
        <w:rPr>
          <w:rFonts w:cs="Times New Roman"/>
        </w:rPr>
        <w:t xml:space="preserve">It is the responsibility of the field personnel to be familiar with the sheen testing procedures outlined within this SOP, a sampling and analysis </w:t>
      </w:r>
      <w:r w:rsidR="00816405" w:rsidRPr="00491FB9">
        <w:rPr>
          <w:rFonts w:cs="Times New Roman"/>
        </w:rPr>
        <w:t>p</w:t>
      </w:r>
      <w:r w:rsidRPr="00491FB9">
        <w:rPr>
          <w:rFonts w:cs="Times New Roman"/>
        </w:rPr>
        <w:t>lan (SAP), an approved QAPP and work plans under which the sampling/testing will be conducted. Field personnel are responsible for sheen testing of samples, decontamination of equipment, disposal of waste, and proper doc</w:t>
      </w:r>
      <w:r w:rsidR="00B27E92">
        <w:rPr>
          <w:rFonts w:cs="Times New Roman"/>
        </w:rPr>
        <w:t>umentation in a field log, and/</w:t>
      </w:r>
      <w:r w:rsidRPr="00491FB9">
        <w:rPr>
          <w:rFonts w:cs="Times New Roman"/>
        </w:rPr>
        <w:t>or electronic data collector.</w:t>
      </w:r>
    </w:p>
    <w:p w14:paraId="35D30CCD" w14:textId="3792983B" w:rsidR="008C18AA" w:rsidRPr="00491FB9" w:rsidRDefault="0071303F" w:rsidP="00491FB9">
      <w:pPr>
        <w:spacing w:after="60" w:line="276" w:lineRule="auto"/>
        <w:rPr>
          <w:rFonts w:cs="Times New Roman"/>
          <w:b/>
          <w:color w:val="4472C4" w:themeColor="accent5"/>
          <w:sz w:val="28"/>
        </w:rPr>
      </w:pPr>
      <w:r>
        <w:rPr>
          <w:rFonts w:cs="Times New Roman"/>
          <w:b/>
        </w:rPr>
        <w:br w:type="page"/>
      </w:r>
      <w:r w:rsidR="008C18AA" w:rsidRPr="00491FB9">
        <w:rPr>
          <w:rFonts w:cs="Times New Roman"/>
          <w:b/>
          <w:color w:val="4472C4" w:themeColor="accent5"/>
          <w:sz w:val="28"/>
        </w:rPr>
        <w:lastRenderedPageBreak/>
        <w:t>3.0 HEALTH AND SAFETY</w:t>
      </w:r>
    </w:p>
    <w:p w14:paraId="7C9EF248" w14:textId="77777777" w:rsidR="008C18AA" w:rsidRPr="00491FB9" w:rsidRDefault="008C18AA" w:rsidP="00491FB9">
      <w:pPr>
        <w:spacing w:line="276" w:lineRule="auto"/>
        <w:rPr>
          <w:rFonts w:cs="Times New Roman"/>
        </w:rPr>
      </w:pPr>
      <w:r w:rsidRPr="00491FB9">
        <w:rPr>
          <w:rFonts w:cs="Times New Roman"/>
        </w:rPr>
        <w:t xml:space="preserve">The health and safety considerations for the work associated with this SOP, including both potential physical and chemical hazards, are addressed in the site specific </w:t>
      </w:r>
      <w:r w:rsidR="009E2637" w:rsidRPr="00491FB9">
        <w:rPr>
          <w:rFonts w:cs="Times New Roman"/>
        </w:rPr>
        <w:t>work plan</w:t>
      </w:r>
      <w:r w:rsidRPr="00491FB9">
        <w:rPr>
          <w:rFonts w:cs="Times New Roman"/>
        </w:rPr>
        <w:t>.</w:t>
      </w:r>
    </w:p>
    <w:p w14:paraId="78C19DE0" w14:textId="77777777" w:rsidR="008C18AA" w:rsidRPr="00491FB9" w:rsidRDefault="008C18AA" w:rsidP="00491FB9">
      <w:pPr>
        <w:spacing w:line="276" w:lineRule="auto"/>
        <w:rPr>
          <w:rFonts w:cs="Times New Roman"/>
        </w:rPr>
      </w:pPr>
      <w:r w:rsidRPr="00491FB9">
        <w:rPr>
          <w:rFonts w:cs="Times New Roman"/>
        </w:rPr>
        <w:t>Sheen differentiation testing may involve physical and/or chemical hazards associated with</w:t>
      </w:r>
      <w:r w:rsidR="00D6539D" w:rsidRPr="00491FB9">
        <w:rPr>
          <w:rFonts w:cs="Times New Roman"/>
        </w:rPr>
        <w:t xml:space="preserve"> </w:t>
      </w:r>
      <w:r w:rsidRPr="00491FB9">
        <w:rPr>
          <w:rFonts w:cs="Times New Roman"/>
        </w:rPr>
        <w:t xml:space="preserve">exposure to water, sediment, </w:t>
      </w:r>
      <w:r w:rsidR="002E392C" w:rsidRPr="00491FB9">
        <w:rPr>
          <w:rFonts w:cs="Times New Roman"/>
        </w:rPr>
        <w:t>and petroleum</w:t>
      </w:r>
      <w:r w:rsidRPr="00491FB9">
        <w:rPr>
          <w:rFonts w:cs="Times New Roman"/>
        </w:rPr>
        <w:t xml:space="preserve"> related materials in contact with either water and/or</w:t>
      </w:r>
      <w:r w:rsidR="00D6539D" w:rsidRPr="00491FB9">
        <w:rPr>
          <w:rFonts w:cs="Times New Roman"/>
        </w:rPr>
        <w:t xml:space="preserve"> </w:t>
      </w:r>
      <w:r w:rsidRPr="00491FB9">
        <w:rPr>
          <w:rFonts w:cs="Times New Roman"/>
        </w:rPr>
        <w:t>sediment. Contact with oil and sheen should be minimized, and proper personal protective</w:t>
      </w:r>
      <w:r w:rsidR="00D6539D" w:rsidRPr="00491FB9">
        <w:rPr>
          <w:rFonts w:cs="Times New Roman"/>
        </w:rPr>
        <w:t xml:space="preserve"> </w:t>
      </w:r>
      <w:r w:rsidRPr="00491FB9">
        <w:rPr>
          <w:rFonts w:cs="Times New Roman"/>
        </w:rPr>
        <w:t>equipment should be worn throughout the sheen collection and testing.</w:t>
      </w:r>
    </w:p>
    <w:p w14:paraId="36D2A5F8" w14:textId="77777777" w:rsidR="008C18AA" w:rsidRPr="00491FB9" w:rsidRDefault="008C18AA" w:rsidP="00491FB9">
      <w:pPr>
        <w:spacing w:after="60" w:line="276" w:lineRule="auto"/>
        <w:rPr>
          <w:rFonts w:cs="Times New Roman"/>
          <w:b/>
          <w:color w:val="4472C4" w:themeColor="accent5"/>
          <w:sz w:val="28"/>
        </w:rPr>
      </w:pPr>
      <w:r w:rsidRPr="00491FB9">
        <w:rPr>
          <w:rFonts w:cs="Times New Roman"/>
          <w:b/>
          <w:color w:val="4472C4" w:themeColor="accent5"/>
          <w:sz w:val="28"/>
        </w:rPr>
        <w:t>4.0 EQUIPMENT AND SUPPLIES</w:t>
      </w:r>
    </w:p>
    <w:p w14:paraId="4A35DDDB" w14:textId="77777777" w:rsidR="008C18AA" w:rsidRPr="00491FB9" w:rsidRDefault="008C18AA" w:rsidP="00491FB9">
      <w:pPr>
        <w:spacing w:after="120" w:line="276" w:lineRule="auto"/>
        <w:rPr>
          <w:rFonts w:cs="Times New Roman"/>
        </w:rPr>
      </w:pPr>
      <w:r w:rsidRPr="00491FB9">
        <w:rPr>
          <w:rFonts w:cs="Times New Roman"/>
        </w:rPr>
        <w:t>The following equipment list contains materials that may be needed to carry out the procedures</w:t>
      </w:r>
      <w:r w:rsidR="00D6539D" w:rsidRPr="00491FB9">
        <w:rPr>
          <w:rFonts w:cs="Times New Roman"/>
        </w:rPr>
        <w:t xml:space="preserve"> </w:t>
      </w:r>
      <w:r w:rsidRPr="00491FB9">
        <w:rPr>
          <w:rFonts w:cs="Times New Roman"/>
        </w:rPr>
        <w:t>contained in this SOP:</w:t>
      </w:r>
    </w:p>
    <w:p w14:paraId="0F8CEE55" w14:textId="77777777" w:rsidR="008C18AA" w:rsidRPr="00491FB9" w:rsidRDefault="008C18AA" w:rsidP="00F15E99">
      <w:pPr>
        <w:pStyle w:val="ListParagraph"/>
        <w:numPr>
          <w:ilvl w:val="0"/>
          <w:numId w:val="9"/>
        </w:numPr>
        <w:rPr>
          <w:rFonts w:cs="Times New Roman"/>
        </w:rPr>
      </w:pPr>
      <w:r w:rsidRPr="00491FB9">
        <w:rPr>
          <w:rFonts w:cs="Times New Roman"/>
        </w:rPr>
        <w:t>Nitrile gloves,</w:t>
      </w:r>
    </w:p>
    <w:p w14:paraId="2C9FE934" w14:textId="77777777" w:rsidR="008C18AA" w:rsidRPr="00491FB9" w:rsidRDefault="008C18AA" w:rsidP="00F15E99">
      <w:pPr>
        <w:pStyle w:val="ListParagraph"/>
        <w:numPr>
          <w:ilvl w:val="0"/>
          <w:numId w:val="9"/>
        </w:numPr>
        <w:rPr>
          <w:rFonts w:cs="Times New Roman"/>
        </w:rPr>
      </w:pPr>
      <w:r w:rsidRPr="00491FB9">
        <w:rPr>
          <w:rFonts w:cs="Times New Roman"/>
        </w:rPr>
        <w:t>Stick or rock,</w:t>
      </w:r>
    </w:p>
    <w:p w14:paraId="0DC23DD2" w14:textId="77777777" w:rsidR="008C18AA" w:rsidRPr="00491FB9" w:rsidRDefault="008C18AA" w:rsidP="00F15E99">
      <w:pPr>
        <w:pStyle w:val="ListParagraph"/>
        <w:numPr>
          <w:ilvl w:val="0"/>
          <w:numId w:val="9"/>
        </w:numPr>
        <w:rPr>
          <w:rFonts w:cs="Times New Roman"/>
        </w:rPr>
      </w:pPr>
      <w:r w:rsidRPr="00491FB9">
        <w:rPr>
          <w:rFonts w:cs="Times New Roman"/>
        </w:rPr>
        <w:t>8 ounce glass jar for the Jar Shake Test,</w:t>
      </w:r>
    </w:p>
    <w:p w14:paraId="6FCA512A" w14:textId="77777777" w:rsidR="008C18AA" w:rsidRPr="00491FB9" w:rsidRDefault="008C18AA" w:rsidP="00F15E99">
      <w:pPr>
        <w:pStyle w:val="ListParagraph"/>
        <w:numPr>
          <w:ilvl w:val="0"/>
          <w:numId w:val="9"/>
        </w:numPr>
        <w:rPr>
          <w:rFonts w:cs="Times New Roman"/>
        </w:rPr>
      </w:pPr>
      <w:r w:rsidRPr="00491FB9">
        <w:rPr>
          <w:rFonts w:cs="Times New Roman"/>
        </w:rPr>
        <w:t>Tetrafluorocarbonethylene-fluorocarbon polymer (Teflon®) sampling nets cut in 2.5 inch</w:t>
      </w:r>
      <w:r w:rsidR="00D6539D" w:rsidRPr="00491FB9">
        <w:rPr>
          <w:rFonts w:cs="Times New Roman"/>
        </w:rPr>
        <w:t xml:space="preserve"> </w:t>
      </w:r>
      <w:r w:rsidRPr="00491FB9">
        <w:rPr>
          <w:rFonts w:cs="Times New Roman"/>
        </w:rPr>
        <w:t>squares,</w:t>
      </w:r>
    </w:p>
    <w:p w14:paraId="3F98BB15" w14:textId="77777777" w:rsidR="008C18AA" w:rsidRPr="00491FB9" w:rsidRDefault="008C18AA" w:rsidP="00F15E99">
      <w:pPr>
        <w:pStyle w:val="ListParagraph"/>
        <w:numPr>
          <w:ilvl w:val="0"/>
          <w:numId w:val="9"/>
        </w:numPr>
        <w:rPr>
          <w:rFonts w:cs="Times New Roman"/>
        </w:rPr>
      </w:pPr>
      <w:r w:rsidRPr="00491FB9">
        <w:rPr>
          <w:rFonts w:cs="Times New Roman"/>
        </w:rPr>
        <w:t>Waterproof marker pens (Sharpie® or similar),</w:t>
      </w:r>
    </w:p>
    <w:p w14:paraId="614DF429" w14:textId="77777777" w:rsidR="00D6539D" w:rsidRPr="00491FB9" w:rsidRDefault="008C18AA" w:rsidP="00F15E99">
      <w:pPr>
        <w:pStyle w:val="ListParagraph"/>
        <w:numPr>
          <w:ilvl w:val="0"/>
          <w:numId w:val="9"/>
        </w:numPr>
        <w:rPr>
          <w:rFonts w:cs="Times New Roman"/>
        </w:rPr>
      </w:pPr>
      <w:r w:rsidRPr="00491FB9">
        <w:rPr>
          <w:rFonts w:cs="Times New Roman"/>
        </w:rPr>
        <w:t xml:space="preserve">Field log or electronic </w:t>
      </w:r>
      <w:r w:rsidR="00D6539D" w:rsidRPr="00491FB9">
        <w:rPr>
          <w:rFonts w:cs="Times New Roman"/>
        </w:rPr>
        <w:t>data collector</w:t>
      </w:r>
      <w:r w:rsidRPr="00491FB9">
        <w:rPr>
          <w:rFonts w:cs="Times New Roman"/>
        </w:rPr>
        <w:t>,</w:t>
      </w:r>
    </w:p>
    <w:p w14:paraId="069CB971" w14:textId="77777777" w:rsidR="00D6539D" w:rsidRPr="00491FB9" w:rsidRDefault="008C18AA" w:rsidP="00F15E99">
      <w:pPr>
        <w:pStyle w:val="ListParagraph"/>
        <w:numPr>
          <w:ilvl w:val="0"/>
          <w:numId w:val="9"/>
        </w:numPr>
        <w:rPr>
          <w:rFonts w:cs="Times New Roman"/>
        </w:rPr>
      </w:pPr>
      <w:r w:rsidRPr="00491FB9">
        <w:rPr>
          <w:rFonts w:cs="Times New Roman"/>
        </w:rPr>
        <w:t>Equipment decontamination supplies, and</w:t>
      </w:r>
    </w:p>
    <w:p w14:paraId="4582D0C8" w14:textId="77777777" w:rsidR="008C18AA" w:rsidRPr="00491FB9" w:rsidRDefault="008C18AA" w:rsidP="00F15E99">
      <w:pPr>
        <w:pStyle w:val="ListParagraph"/>
        <w:numPr>
          <w:ilvl w:val="0"/>
          <w:numId w:val="9"/>
        </w:numPr>
        <w:rPr>
          <w:rFonts w:cs="Times New Roman"/>
        </w:rPr>
      </w:pPr>
      <w:r w:rsidRPr="00491FB9">
        <w:rPr>
          <w:rFonts w:cs="Times New Roman"/>
        </w:rPr>
        <w:t>Health and safety su</w:t>
      </w:r>
      <w:r w:rsidR="00D6539D" w:rsidRPr="00491FB9">
        <w:rPr>
          <w:rFonts w:cs="Times New Roman"/>
        </w:rPr>
        <w:t>pplies</w:t>
      </w:r>
      <w:r w:rsidRPr="00491FB9">
        <w:rPr>
          <w:rFonts w:cs="Times New Roman"/>
        </w:rPr>
        <w:t>.</w:t>
      </w:r>
    </w:p>
    <w:p w14:paraId="4690735B" w14:textId="77777777" w:rsidR="008C18AA" w:rsidRPr="00491FB9" w:rsidRDefault="008C18AA" w:rsidP="00491FB9">
      <w:pPr>
        <w:spacing w:after="60" w:line="276" w:lineRule="auto"/>
        <w:rPr>
          <w:rFonts w:cs="Times New Roman"/>
          <w:b/>
          <w:color w:val="4472C4" w:themeColor="accent5"/>
          <w:sz w:val="28"/>
        </w:rPr>
      </w:pPr>
      <w:r w:rsidRPr="00491FB9">
        <w:rPr>
          <w:rFonts w:cs="Times New Roman"/>
          <w:b/>
          <w:color w:val="4472C4" w:themeColor="accent5"/>
          <w:sz w:val="28"/>
        </w:rPr>
        <w:t>5.0 METHODS</w:t>
      </w:r>
    </w:p>
    <w:p w14:paraId="2EA636B6" w14:textId="77777777" w:rsidR="008C18AA" w:rsidRPr="00491FB9" w:rsidRDefault="008C18AA" w:rsidP="00491FB9">
      <w:pPr>
        <w:spacing w:after="60" w:line="276" w:lineRule="auto"/>
        <w:rPr>
          <w:rFonts w:cs="Times New Roman"/>
          <w:b/>
          <w:color w:val="4472C4" w:themeColor="accent5"/>
          <w:sz w:val="28"/>
        </w:rPr>
      </w:pPr>
      <w:r w:rsidRPr="00491FB9">
        <w:rPr>
          <w:rFonts w:cs="Times New Roman"/>
          <w:b/>
          <w:color w:val="4472C4" w:themeColor="accent5"/>
          <w:sz w:val="28"/>
        </w:rPr>
        <w:t>5.1 Stick Test</w:t>
      </w:r>
    </w:p>
    <w:p w14:paraId="398DB6FD" w14:textId="77777777" w:rsidR="008C18AA" w:rsidRPr="00491FB9" w:rsidRDefault="008C18AA" w:rsidP="00491FB9">
      <w:pPr>
        <w:spacing w:line="276" w:lineRule="auto"/>
        <w:rPr>
          <w:rFonts w:cs="Times New Roman"/>
        </w:rPr>
      </w:pPr>
      <w:r w:rsidRPr="00491FB9">
        <w:rPr>
          <w:rFonts w:cs="Times New Roman"/>
        </w:rPr>
        <w:t>Using a stick or stone, break up the sheen. A biogenic sheen will often break into small</w:t>
      </w:r>
      <w:r w:rsidR="00D6539D" w:rsidRPr="00491FB9">
        <w:rPr>
          <w:rFonts w:cs="Times New Roman"/>
        </w:rPr>
        <w:t xml:space="preserve"> </w:t>
      </w:r>
      <w:r w:rsidRPr="00491FB9">
        <w:rPr>
          <w:rFonts w:cs="Times New Roman"/>
        </w:rPr>
        <w:t>platelets that stay separate and fail to re-coalesce, or entirely dissipate. Oil sheen will tend to</w:t>
      </w:r>
      <w:r w:rsidR="00D6539D" w:rsidRPr="00491FB9">
        <w:rPr>
          <w:rFonts w:cs="Times New Roman"/>
        </w:rPr>
        <w:t xml:space="preserve"> </w:t>
      </w:r>
      <w:r w:rsidRPr="00491FB9">
        <w:rPr>
          <w:rFonts w:cs="Times New Roman"/>
        </w:rPr>
        <w:t>swirl and quickly re-coalesce. Sheen will react differently according to the temperature. At</w:t>
      </w:r>
      <w:r w:rsidR="00D6539D" w:rsidRPr="00491FB9">
        <w:rPr>
          <w:rFonts w:cs="Times New Roman"/>
        </w:rPr>
        <w:t xml:space="preserve"> </w:t>
      </w:r>
      <w:r w:rsidRPr="00491FB9">
        <w:rPr>
          <w:rFonts w:cs="Times New Roman"/>
        </w:rPr>
        <w:t>colder or freezing temperatures, sheen may not reform as quickly as at warmer temperatures.</w:t>
      </w:r>
    </w:p>
    <w:p w14:paraId="0CB1DDB5" w14:textId="77777777" w:rsidR="008C18AA" w:rsidRPr="00491FB9" w:rsidRDefault="008C18AA" w:rsidP="00491FB9">
      <w:pPr>
        <w:spacing w:line="276" w:lineRule="auto"/>
        <w:rPr>
          <w:rFonts w:cs="Times New Roman"/>
        </w:rPr>
      </w:pPr>
      <w:r w:rsidRPr="00491FB9">
        <w:rPr>
          <w:rFonts w:cs="Times New Roman"/>
        </w:rPr>
        <w:t>If sheen type is clearly evident from observations from the Stick Test, then stop. If sheen type is</w:t>
      </w:r>
      <w:r w:rsidR="00D6539D" w:rsidRPr="00491FB9">
        <w:rPr>
          <w:rFonts w:cs="Times New Roman"/>
        </w:rPr>
        <w:t xml:space="preserve"> </w:t>
      </w:r>
      <w:r w:rsidRPr="00491FB9">
        <w:rPr>
          <w:rFonts w:cs="Times New Roman"/>
        </w:rPr>
        <w:t>unclear or concurrence with oversight from United States Environmental Protection Agency or</w:t>
      </w:r>
      <w:r w:rsidR="00D6539D" w:rsidRPr="00491FB9">
        <w:rPr>
          <w:rFonts w:cs="Times New Roman"/>
        </w:rPr>
        <w:t xml:space="preserve"> Alaska</w:t>
      </w:r>
      <w:r w:rsidRPr="00491FB9">
        <w:rPr>
          <w:rFonts w:cs="Times New Roman"/>
        </w:rPr>
        <w:t xml:space="preserve"> Department of Environmental </w:t>
      </w:r>
      <w:r w:rsidR="00D6539D" w:rsidRPr="00491FB9">
        <w:rPr>
          <w:rFonts w:cs="Times New Roman"/>
        </w:rPr>
        <w:t>Conservation</w:t>
      </w:r>
      <w:r w:rsidRPr="00491FB9">
        <w:rPr>
          <w:rFonts w:cs="Times New Roman"/>
        </w:rPr>
        <w:t>, as applicable, cannot be achieved, perform the</w:t>
      </w:r>
      <w:r w:rsidR="00D6539D" w:rsidRPr="00491FB9">
        <w:rPr>
          <w:rFonts w:cs="Times New Roman"/>
        </w:rPr>
        <w:t xml:space="preserve"> </w:t>
      </w:r>
      <w:r w:rsidRPr="00491FB9">
        <w:rPr>
          <w:rFonts w:cs="Times New Roman"/>
        </w:rPr>
        <w:t>Jar Shake Test, as described below in Section 5.2.</w:t>
      </w:r>
    </w:p>
    <w:p w14:paraId="1E931B68" w14:textId="77777777" w:rsidR="008C18AA" w:rsidRPr="00491FB9" w:rsidRDefault="008C18AA" w:rsidP="00491FB9">
      <w:pPr>
        <w:spacing w:after="60" w:line="276" w:lineRule="auto"/>
        <w:rPr>
          <w:rFonts w:cs="Times New Roman"/>
          <w:b/>
          <w:color w:val="4472C4" w:themeColor="accent5"/>
          <w:sz w:val="28"/>
        </w:rPr>
      </w:pPr>
      <w:r w:rsidRPr="00491FB9">
        <w:rPr>
          <w:rFonts w:cs="Times New Roman"/>
          <w:b/>
          <w:color w:val="4472C4" w:themeColor="accent5"/>
          <w:sz w:val="28"/>
        </w:rPr>
        <w:t>5.2 Jar Shake Test</w:t>
      </w:r>
    </w:p>
    <w:p w14:paraId="0C8F3688" w14:textId="77777777" w:rsidR="008C18AA" w:rsidRPr="00491FB9" w:rsidRDefault="008C18AA" w:rsidP="00491FB9">
      <w:pPr>
        <w:spacing w:line="276" w:lineRule="auto"/>
        <w:rPr>
          <w:rFonts w:cs="Times New Roman"/>
        </w:rPr>
      </w:pPr>
      <w:r w:rsidRPr="00491FB9">
        <w:rPr>
          <w:rFonts w:cs="Times New Roman"/>
        </w:rPr>
        <w:t>The premise of this test is that petroleum oil sheen will remain visible or shortly re-coalesce on</w:t>
      </w:r>
      <w:r w:rsidR="00D6539D" w:rsidRPr="00491FB9">
        <w:rPr>
          <w:rFonts w:cs="Times New Roman"/>
        </w:rPr>
        <w:t xml:space="preserve"> </w:t>
      </w:r>
      <w:r w:rsidRPr="00491FB9">
        <w:rPr>
          <w:rFonts w:cs="Times New Roman"/>
        </w:rPr>
        <w:t>the water surface, while biogenic sheen will disperse or dissipate. The continued presence of</w:t>
      </w:r>
      <w:r w:rsidR="00D6539D" w:rsidRPr="00491FB9">
        <w:rPr>
          <w:rFonts w:cs="Times New Roman"/>
        </w:rPr>
        <w:t xml:space="preserve"> </w:t>
      </w:r>
      <w:r w:rsidRPr="00491FB9">
        <w:rPr>
          <w:rFonts w:cs="Times New Roman"/>
        </w:rPr>
        <w:t>sheen is a positive indicator of petroleum oil sheen. The key factor in this test is to collect</w:t>
      </w:r>
      <w:r w:rsidR="00D6539D" w:rsidRPr="00491FB9">
        <w:rPr>
          <w:rFonts w:cs="Times New Roman"/>
        </w:rPr>
        <w:t xml:space="preserve"> </w:t>
      </w:r>
      <w:r w:rsidRPr="00491FB9">
        <w:rPr>
          <w:rFonts w:cs="Times New Roman"/>
        </w:rPr>
        <w:t>sheen in sufficient quantities to be observable.</w:t>
      </w:r>
    </w:p>
    <w:p w14:paraId="6D2BB966" w14:textId="77777777" w:rsidR="008C18AA" w:rsidRPr="00491FB9" w:rsidRDefault="008C18AA" w:rsidP="00491FB9">
      <w:pPr>
        <w:spacing w:line="276" w:lineRule="auto"/>
        <w:rPr>
          <w:rFonts w:cs="Times New Roman"/>
        </w:rPr>
      </w:pPr>
      <w:r w:rsidRPr="00491FB9">
        <w:rPr>
          <w:rFonts w:cs="Times New Roman"/>
        </w:rPr>
        <w:lastRenderedPageBreak/>
        <w:t>Collect as much sheen as possible into a clean, 8-ounce glass jar. To collect sheen, submerge</w:t>
      </w:r>
      <w:r w:rsidR="00D6539D" w:rsidRPr="00491FB9">
        <w:rPr>
          <w:rFonts w:cs="Times New Roman"/>
        </w:rPr>
        <w:t xml:space="preserve"> </w:t>
      </w:r>
      <w:r w:rsidRPr="00491FB9">
        <w:rPr>
          <w:rFonts w:cs="Times New Roman"/>
        </w:rPr>
        <w:t>the jar lip and gently “scoop up” the sheen. Multiple scoops may be collected if needed. The</w:t>
      </w:r>
      <w:r w:rsidR="00D6539D" w:rsidRPr="00491FB9">
        <w:rPr>
          <w:rFonts w:cs="Times New Roman"/>
        </w:rPr>
        <w:t xml:space="preserve"> </w:t>
      </w:r>
      <w:r w:rsidRPr="00491FB9">
        <w:rPr>
          <w:rFonts w:cs="Times New Roman"/>
        </w:rPr>
        <w:t>surface area of sheen collected should be recorded. Carefully seal the jar, vigorously shake it,</w:t>
      </w:r>
      <w:r w:rsidR="00D6539D" w:rsidRPr="00491FB9">
        <w:rPr>
          <w:rFonts w:cs="Times New Roman"/>
        </w:rPr>
        <w:t xml:space="preserve"> </w:t>
      </w:r>
      <w:r w:rsidRPr="00491FB9">
        <w:rPr>
          <w:rFonts w:cs="Times New Roman"/>
        </w:rPr>
        <w:t>and allow the water to settle. Allow sufficient observation time (at least 30 seconds after</w:t>
      </w:r>
      <w:r w:rsidR="00D6539D" w:rsidRPr="00491FB9">
        <w:rPr>
          <w:rFonts w:cs="Times New Roman"/>
        </w:rPr>
        <w:t xml:space="preserve"> </w:t>
      </w:r>
      <w:r w:rsidRPr="00491FB9">
        <w:rPr>
          <w:rFonts w:cs="Times New Roman"/>
        </w:rPr>
        <w:t>shaking) for water to stop moving enough that potential oil sheen can re-accumulate on the</w:t>
      </w:r>
      <w:r w:rsidR="00D6539D" w:rsidRPr="00491FB9">
        <w:rPr>
          <w:rFonts w:cs="Times New Roman"/>
        </w:rPr>
        <w:t xml:space="preserve"> </w:t>
      </w:r>
      <w:r w:rsidRPr="00491FB9">
        <w:rPr>
          <w:rFonts w:cs="Times New Roman"/>
        </w:rPr>
        <w:t>surface of the water. Remove the lid and observe the condition of the surface of the water</w:t>
      </w:r>
      <w:r w:rsidR="00816405" w:rsidRPr="00491FB9">
        <w:rPr>
          <w:rFonts w:cs="Times New Roman"/>
        </w:rPr>
        <w:t xml:space="preserve">. </w:t>
      </w:r>
      <w:r w:rsidRPr="00491FB9">
        <w:rPr>
          <w:rFonts w:cs="Times New Roman"/>
        </w:rPr>
        <w:t>Biogenic sheen will disperse or dissipate into the water and not re-coalesce on the surface,</w:t>
      </w:r>
      <w:r w:rsidR="00D6539D" w:rsidRPr="00491FB9">
        <w:rPr>
          <w:rFonts w:cs="Times New Roman"/>
        </w:rPr>
        <w:t xml:space="preserve"> </w:t>
      </w:r>
      <w:r w:rsidRPr="00491FB9">
        <w:rPr>
          <w:rFonts w:cs="Times New Roman"/>
        </w:rPr>
        <w:t>while oil sheen in sufficient quantities will shortly re-coalesce on the surface. If sheen type is</w:t>
      </w:r>
      <w:r w:rsidR="00D6539D" w:rsidRPr="00491FB9">
        <w:rPr>
          <w:rFonts w:cs="Times New Roman"/>
        </w:rPr>
        <w:t xml:space="preserve"> </w:t>
      </w:r>
      <w:r w:rsidRPr="00491FB9">
        <w:rPr>
          <w:rFonts w:cs="Times New Roman"/>
        </w:rPr>
        <w:t>evident from observation in this test, stop.</w:t>
      </w:r>
    </w:p>
    <w:p w14:paraId="41746E86" w14:textId="77777777" w:rsidR="008C18AA" w:rsidRPr="00491FB9" w:rsidRDefault="008C18AA" w:rsidP="00491FB9">
      <w:pPr>
        <w:spacing w:line="276" w:lineRule="auto"/>
        <w:rPr>
          <w:rFonts w:cs="Times New Roman"/>
        </w:rPr>
      </w:pPr>
      <w:r w:rsidRPr="00491FB9">
        <w:rPr>
          <w:rFonts w:cs="Times New Roman"/>
        </w:rPr>
        <w:t>Observations should be made by the same observers as in the Stick Test. Note presence or</w:t>
      </w:r>
      <w:r w:rsidR="00D6539D" w:rsidRPr="00491FB9">
        <w:rPr>
          <w:rFonts w:cs="Times New Roman"/>
        </w:rPr>
        <w:t xml:space="preserve"> </w:t>
      </w:r>
      <w:r w:rsidRPr="00491FB9">
        <w:rPr>
          <w:rFonts w:cs="Times New Roman"/>
        </w:rPr>
        <w:t>absence of sheen. Jars and their contents will be discarded in accordance with approved</w:t>
      </w:r>
      <w:r w:rsidR="00D6539D" w:rsidRPr="00491FB9">
        <w:rPr>
          <w:rFonts w:cs="Times New Roman"/>
        </w:rPr>
        <w:t xml:space="preserve"> </w:t>
      </w:r>
      <w:r w:rsidRPr="00491FB9">
        <w:rPr>
          <w:rFonts w:cs="Times New Roman"/>
        </w:rPr>
        <w:t>disposal plans for oily wastes. Note results in appropriate f</w:t>
      </w:r>
      <w:r w:rsidR="00D6539D" w:rsidRPr="00491FB9">
        <w:rPr>
          <w:rFonts w:cs="Times New Roman"/>
        </w:rPr>
        <w:t>ield log.</w:t>
      </w:r>
    </w:p>
    <w:p w14:paraId="2AC0D6E2" w14:textId="77777777" w:rsidR="008C18AA" w:rsidRPr="00491FB9" w:rsidRDefault="008C18AA" w:rsidP="00491FB9">
      <w:pPr>
        <w:spacing w:after="60" w:line="276" w:lineRule="auto"/>
        <w:rPr>
          <w:rFonts w:cs="Times New Roman"/>
          <w:b/>
          <w:color w:val="4472C4" w:themeColor="accent5"/>
          <w:sz w:val="28"/>
        </w:rPr>
      </w:pPr>
      <w:r w:rsidRPr="00491FB9">
        <w:rPr>
          <w:rFonts w:cs="Times New Roman"/>
          <w:b/>
          <w:color w:val="4472C4" w:themeColor="accent5"/>
          <w:sz w:val="28"/>
        </w:rPr>
        <w:t>5.3 Equipment Decontamination</w:t>
      </w:r>
    </w:p>
    <w:p w14:paraId="43006B87" w14:textId="77777777" w:rsidR="00D6539D" w:rsidRPr="00491FB9" w:rsidRDefault="008C18AA" w:rsidP="00491FB9">
      <w:pPr>
        <w:spacing w:line="276" w:lineRule="auto"/>
        <w:rPr>
          <w:rFonts w:cs="Times New Roman"/>
        </w:rPr>
      </w:pPr>
      <w:r w:rsidRPr="00491FB9">
        <w:rPr>
          <w:rFonts w:cs="Times New Roman"/>
        </w:rPr>
        <w:t>All investigation derived waste generated from the sampling effort (e.g., gloves, disposable</w:t>
      </w:r>
      <w:r w:rsidR="00D6539D" w:rsidRPr="00491FB9">
        <w:rPr>
          <w:rFonts w:cs="Times New Roman"/>
        </w:rPr>
        <w:t xml:space="preserve"> </w:t>
      </w:r>
      <w:r w:rsidRPr="00491FB9">
        <w:rPr>
          <w:rFonts w:cs="Times New Roman"/>
        </w:rPr>
        <w:t>sampling equipment, decontamination water, etc.) shall be appropriately containerized and</w:t>
      </w:r>
      <w:r w:rsidR="00D6539D" w:rsidRPr="00491FB9">
        <w:rPr>
          <w:rFonts w:cs="Times New Roman"/>
        </w:rPr>
        <w:t xml:space="preserve"> </w:t>
      </w:r>
      <w:r w:rsidRPr="00491FB9">
        <w:rPr>
          <w:rFonts w:cs="Times New Roman"/>
        </w:rPr>
        <w:t>transported to the onsite collection area for appropriate disposal</w:t>
      </w:r>
      <w:r w:rsidR="00D6539D" w:rsidRPr="00491FB9">
        <w:rPr>
          <w:rFonts w:cs="Times New Roman"/>
        </w:rPr>
        <w:t>.</w:t>
      </w:r>
      <w:r w:rsidRPr="00491FB9">
        <w:rPr>
          <w:rFonts w:cs="Times New Roman"/>
        </w:rPr>
        <w:t xml:space="preserve"> </w:t>
      </w:r>
    </w:p>
    <w:p w14:paraId="0229E234" w14:textId="77777777" w:rsidR="008C18AA" w:rsidRPr="00491FB9" w:rsidRDefault="008C18AA" w:rsidP="00491FB9">
      <w:pPr>
        <w:spacing w:after="60" w:line="276" w:lineRule="auto"/>
        <w:rPr>
          <w:rFonts w:cs="Times New Roman"/>
          <w:b/>
          <w:color w:val="4472C4" w:themeColor="accent5"/>
          <w:sz w:val="28"/>
        </w:rPr>
      </w:pPr>
      <w:r w:rsidRPr="00491FB9">
        <w:rPr>
          <w:rFonts w:cs="Times New Roman"/>
          <w:b/>
          <w:color w:val="4472C4" w:themeColor="accent5"/>
          <w:sz w:val="28"/>
        </w:rPr>
        <w:t>6.0 DATA AND RECORDS MANAGEMENT</w:t>
      </w:r>
    </w:p>
    <w:p w14:paraId="1BD7954C" w14:textId="77777777" w:rsidR="008C18AA" w:rsidRPr="00491FB9" w:rsidRDefault="008C18AA" w:rsidP="00491FB9">
      <w:pPr>
        <w:spacing w:after="120" w:line="276" w:lineRule="auto"/>
        <w:rPr>
          <w:rFonts w:cs="Times New Roman"/>
        </w:rPr>
      </w:pPr>
      <w:r w:rsidRPr="00491FB9">
        <w:rPr>
          <w:rFonts w:cs="Times New Roman"/>
        </w:rPr>
        <w:t>The data associated with sheen differentiation will be contained within the following:</w:t>
      </w:r>
    </w:p>
    <w:p w14:paraId="38874520" w14:textId="77777777" w:rsidR="008C18AA" w:rsidRPr="00491FB9" w:rsidRDefault="00D6539D" w:rsidP="00F15E99">
      <w:pPr>
        <w:pStyle w:val="ListParagraph"/>
        <w:numPr>
          <w:ilvl w:val="0"/>
          <w:numId w:val="12"/>
        </w:numPr>
        <w:rPr>
          <w:rFonts w:cs="Times New Roman"/>
        </w:rPr>
      </w:pPr>
      <w:r w:rsidRPr="00491FB9">
        <w:rPr>
          <w:rFonts w:cs="Times New Roman"/>
        </w:rPr>
        <w:t>Field logbook and/or e</w:t>
      </w:r>
      <w:r w:rsidR="008C18AA" w:rsidRPr="00491FB9">
        <w:rPr>
          <w:rFonts w:cs="Times New Roman"/>
        </w:rPr>
        <w:t>lectronic data collecti</w:t>
      </w:r>
      <w:r w:rsidRPr="00491FB9">
        <w:rPr>
          <w:rFonts w:cs="Times New Roman"/>
        </w:rPr>
        <w:t>on</w:t>
      </w:r>
      <w:r w:rsidR="008C18AA" w:rsidRPr="00491FB9">
        <w:rPr>
          <w:rFonts w:cs="Times New Roman"/>
        </w:rPr>
        <w:t>,</w:t>
      </w:r>
    </w:p>
    <w:p w14:paraId="3873B62A" w14:textId="77777777" w:rsidR="008C18AA" w:rsidRPr="00491FB9" w:rsidRDefault="00C97619" w:rsidP="00F15E99">
      <w:pPr>
        <w:pStyle w:val="ListParagraph"/>
        <w:numPr>
          <w:ilvl w:val="0"/>
          <w:numId w:val="12"/>
        </w:numPr>
        <w:rPr>
          <w:rFonts w:cs="Times New Roman"/>
        </w:rPr>
      </w:pPr>
      <w:r w:rsidRPr="00491FB9">
        <w:rPr>
          <w:rFonts w:cs="Times New Roman"/>
        </w:rPr>
        <w:t>Field modification documentation</w:t>
      </w:r>
      <w:r w:rsidR="008C18AA" w:rsidRPr="00491FB9">
        <w:rPr>
          <w:rFonts w:cs="Times New Roman"/>
        </w:rPr>
        <w:t xml:space="preserve"> (used prior to field work, when required), and/ or</w:t>
      </w:r>
    </w:p>
    <w:p w14:paraId="4A20456B" w14:textId="77777777" w:rsidR="00D6539D" w:rsidRPr="00491FB9" w:rsidRDefault="00C97619" w:rsidP="00F15E99">
      <w:pPr>
        <w:pStyle w:val="ListParagraph"/>
        <w:numPr>
          <w:ilvl w:val="0"/>
          <w:numId w:val="12"/>
        </w:numPr>
        <w:rPr>
          <w:rFonts w:cs="Times New Roman"/>
        </w:rPr>
      </w:pPr>
      <w:r w:rsidRPr="00491FB9">
        <w:rPr>
          <w:rFonts w:cs="Times New Roman"/>
        </w:rPr>
        <w:t>Nonconformance r</w:t>
      </w:r>
      <w:r w:rsidR="008C18AA" w:rsidRPr="00491FB9">
        <w:rPr>
          <w:rFonts w:cs="Times New Roman"/>
        </w:rPr>
        <w:t>ecords (used after field work, when required).</w:t>
      </w:r>
      <w:r w:rsidR="00D6539D" w:rsidRPr="00491FB9">
        <w:rPr>
          <w:rFonts w:cs="Times New Roman"/>
        </w:rPr>
        <w:t xml:space="preserve"> </w:t>
      </w:r>
    </w:p>
    <w:p w14:paraId="531403BE" w14:textId="77777777" w:rsidR="008C18AA" w:rsidRPr="00491FB9" w:rsidRDefault="008C18AA" w:rsidP="00491FB9">
      <w:pPr>
        <w:spacing w:after="120" w:line="276" w:lineRule="auto"/>
        <w:rPr>
          <w:rFonts w:cs="Times New Roman"/>
        </w:rPr>
      </w:pPr>
      <w:r w:rsidRPr="00491FB9">
        <w:rPr>
          <w:rFonts w:cs="Times New Roman"/>
        </w:rPr>
        <w:t>During testing relevant notes will be recorded and will include the following information:</w:t>
      </w:r>
    </w:p>
    <w:p w14:paraId="41E0831D" w14:textId="77777777" w:rsidR="008C18AA" w:rsidRPr="00491FB9" w:rsidRDefault="008C18AA" w:rsidP="00F15E99">
      <w:pPr>
        <w:pStyle w:val="ListParagraph"/>
        <w:numPr>
          <w:ilvl w:val="0"/>
          <w:numId w:val="14"/>
        </w:numPr>
        <w:rPr>
          <w:rFonts w:cs="Times New Roman"/>
        </w:rPr>
      </w:pPr>
      <w:r w:rsidRPr="00491FB9">
        <w:rPr>
          <w:rFonts w:cs="Times New Roman"/>
        </w:rPr>
        <w:t>Testing personnel,</w:t>
      </w:r>
    </w:p>
    <w:p w14:paraId="5D12C95F" w14:textId="77777777" w:rsidR="008C18AA" w:rsidRPr="00491FB9" w:rsidRDefault="008C18AA" w:rsidP="00F15E99">
      <w:pPr>
        <w:pStyle w:val="ListParagraph"/>
        <w:numPr>
          <w:ilvl w:val="0"/>
          <w:numId w:val="14"/>
        </w:numPr>
        <w:rPr>
          <w:rFonts w:cs="Times New Roman"/>
        </w:rPr>
      </w:pPr>
      <w:r w:rsidRPr="00491FB9">
        <w:rPr>
          <w:rFonts w:cs="Times New Roman"/>
        </w:rPr>
        <w:t>Type of equipment used,</w:t>
      </w:r>
    </w:p>
    <w:p w14:paraId="34C4398C" w14:textId="77777777" w:rsidR="008C18AA" w:rsidRPr="00491FB9" w:rsidRDefault="008C18AA" w:rsidP="00F15E99">
      <w:pPr>
        <w:pStyle w:val="ListParagraph"/>
        <w:numPr>
          <w:ilvl w:val="0"/>
          <w:numId w:val="14"/>
        </w:numPr>
        <w:rPr>
          <w:rFonts w:cs="Times New Roman"/>
        </w:rPr>
      </w:pPr>
      <w:r w:rsidRPr="00491FB9">
        <w:rPr>
          <w:rFonts w:cs="Times New Roman"/>
        </w:rPr>
        <w:t>Location ID,</w:t>
      </w:r>
    </w:p>
    <w:p w14:paraId="66E0893F" w14:textId="77777777" w:rsidR="008C18AA" w:rsidRPr="00491FB9" w:rsidRDefault="008C18AA" w:rsidP="00F15E99">
      <w:pPr>
        <w:pStyle w:val="ListParagraph"/>
        <w:numPr>
          <w:ilvl w:val="0"/>
          <w:numId w:val="14"/>
        </w:numPr>
        <w:rPr>
          <w:rFonts w:cs="Times New Roman"/>
        </w:rPr>
      </w:pPr>
      <w:r w:rsidRPr="00491FB9">
        <w:rPr>
          <w:rFonts w:cs="Times New Roman"/>
        </w:rPr>
        <w:t>General observations regarding oil/sheen on the water surface present, prior to, and</w:t>
      </w:r>
      <w:r w:rsidR="00D6539D" w:rsidRPr="00491FB9">
        <w:rPr>
          <w:rFonts w:cs="Times New Roman"/>
        </w:rPr>
        <w:t xml:space="preserve"> </w:t>
      </w:r>
      <w:r w:rsidRPr="00491FB9">
        <w:rPr>
          <w:rFonts w:cs="Times New Roman"/>
        </w:rPr>
        <w:t>during the Sheen Test,</w:t>
      </w:r>
    </w:p>
    <w:p w14:paraId="4EFE2A79" w14:textId="77777777" w:rsidR="008C18AA" w:rsidRPr="00491FB9" w:rsidRDefault="008C18AA" w:rsidP="00F15E99">
      <w:pPr>
        <w:pStyle w:val="ListParagraph"/>
        <w:numPr>
          <w:ilvl w:val="0"/>
          <w:numId w:val="14"/>
        </w:numPr>
        <w:rPr>
          <w:rFonts w:cs="Times New Roman"/>
        </w:rPr>
      </w:pPr>
      <w:r w:rsidRPr="00491FB9">
        <w:rPr>
          <w:rFonts w:cs="Times New Roman"/>
        </w:rPr>
        <w:t>Color of sheen (e.g., rainbow, silver, metallic, black, etc.),</w:t>
      </w:r>
    </w:p>
    <w:p w14:paraId="07B05614" w14:textId="77777777" w:rsidR="008C18AA" w:rsidRPr="00491FB9" w:rsidRDefault="008C18AA" w:rsidP="00F15E99">
      <w:pPr>
        <w:pStyle w:val="ListParagraph"/>
        <w:numPr>
          <w:ilvl w:val="0"/>
          <w:numId w:val="14"/>
        </w:numPr>
        <w:rPr>
          <w:rFonts w:cs="Times New Roman"/>
        </w:rPr>
      </w:pPr>
      <w:r w:rsidRPr="00491FB9">
        <w:rPr>
          <w:rFonts w:cs="Times New Roman"/>
        </w:rPr>
        <w:t>Area of sheen collected,</w:t>
      </w:r>
    </w:p>
    <w:p w14:paraId="12E2E2E2" w14:textId="77777777" w:rsidR="008C18AA" w:rsidRPr="00491FB9" w:rsidRDefault="008C18AA" w:rsidP="00F15E99">
      <w:pPr>
        <w:pStyle w:val="ListParagraph"/>
        <w:numPr>
          <w:ilvl w:val="0"/>
          <w:numId w:val="14"/>
        </w:numPr>
        <w:rPr>
          <w:rFonts w:cs="Times New Roman"/>
        </w:rPr>
      </w:pPr>
      <w:r w:rsidRPr="00491FB9">
        <w:rPr>
          <w:rFonts w:cs="Times New Roman"/>
        </w:rPr>
        <w:t>Test type and conclusion of test, and</w:t>
      </w:r>
    </w:p>
    <w:p w14:paraId="2526B29F" w14:textId="77777777" w:rsidR="008C18AA" w:rsidRPr="00491FB9" w:rsidRDefault="008C18AA" w:rsidP="00F15E99">
      <w:pPr>
        <w:pStyle w:val="ListParagraph"/>
        <w:numPr>
          <w:ilvl w:val="0"/>
          <w:numId w:val="14"/>
        </w:numPr>
        <w:rPr>
          <w:rFonts w:cs="Times New Roman"/>
        </w:rPr>
      </w:pPr>
      <w:r w:rsidRPr="00491FB9">
        <w:rPr>
          <w:rFonts w:cs="Times New Roman"/>
        </w:rPr>
        <w:t>Concurrence by applicable oversight.</w:t>
      </w:r>
    </w:p>
    <w:p w14:paraId="589F5248" w14:textId="77777777" w:rsidR="008C18AA" w:rsidRPr="00491FB9" w:rsidRDefault="008C18AA" w:rsidP="00491FB9">
      <w:pPr>
        <w:spacing w:line="276" w:lineRule="auto"/>
        <w:rPr>
          <w:rFonts w:cs="Times New Roman"/>
        </w:rPr>
      </w:pPr>
      <w:r w:rsidRPr="00491FB9">
        <w:rPr>
          <w:rFonts w:cs="Times New Roman"/>
        </w:rPr>
        <w:t>All information will be logged in the appropriate field</w:t>
      </w:r>
      <w:r w:rsidR="00D6539D" w:rsidRPr="00491FB9">
        <w:rPr>
          <w:rFonts w:cs="Times New Roman"/>
        </w:rPr>
        <w:t xml:space="preserve"> documentation</w:t>
      </w:r>
      <w:r w:rsidRPr="00491FB9">
        <w:rPr>
          <w:rFonts w:cs="Times New Roman"/>
        </w:rPr>
        <w:t>.</w:t>
      </w:r>
    </w:p>
    <w:p w14:paraId="56FBA88D" w14:textId="77777777" w:rsidR="00D82774" w:rsidRPr="00491FB9" w:rsidRDefault="00D82774" w:rsidP="00491FB9">
      <w:pPr>
        <w:spacing w:line="276" w:lineRule="auto"/>
        <w:rPr>
          <w:rFonts w:cs="Times New Roman"/>
          <w:b/>
        </w:rPr>
      </w:pPr>
    </w:p>
    <w:p w14:paraId="08434216" w14:textId="77777777" w:rsidR="0071303F" w:rsidRDefault="0071303F" w:rsidP="00002442">
      <w:pPr>
        <w:spacing w:after="60" w:line="276" w:lineRule="auto"/>
        <w:rPr>
          <w:rFonts w:cs="Times New Roman"/>
          <w:b/>
          <w:color w:val="4472C4" w:themeColor="accent5"/>
          <w:sz w:val="28"/>
        </w:rPr>
      </w:pPr>
      <w:r>
        <w:rPr>
          <w:rFonts w:cs="Times New Roman"/>
          <w:b/>
          <w:color w:val="4472C4" w:themeColor="accent5"/>
          <w:sz w:val="28"/>
        </w:rPr>
        <w:br w:type="page"/>
      </w:r>
    </w:p>
    <w:p w14:paraId="0F7E035D" w14:textId="0B27931C" w:rsidR="008C18AA" w:rsidRPr="00491FB9" w:rsidRDefault="008C18AA" w:rsidP="00491FB9">
      <w:pPr>
        <w:spacing w:after="60" w:line="276" w:lineRule="auto"/>
        <w:rPr>
          <w:rFonts w:cs="Times New Roman"/>
          <w:b/>
          <w:color w:val="4472C4" w:themeColor="accent5"/>
          <w:sz w:val="28"/>
        </w:rPr>
      </w:pPr>
      <w:r w:rsidRPr="00491FB9">
        <w:rPr>
          <w:rFonts w:cs="Times New Roman"/>
          <w:b/>
          <w:color w:val="4472C4" w:themeColor="accent5"/>
          <w:sz w:val="28"/>
        </w:rPr>
        <w:lastRenderedPageBreak/>
        <w:t>7.0 REFERENCES</w:t>
      </w:r>
    </w:p>
    <w:p w14:paraId="7053CDF7" w14:textId="77777777" w:rsidR="008C18AA" w:rsidRPr="00491FB9" w:rsidRDefault="008C18AA" w:rsidP="00491FB9">
      <w:pPr>
        <w:spacing w:line="276" w:lineRule="auto"/>
        <w:rPr>
          <w:rFonts w:cs="Times New Roman"/>
        </w:rPr>
      </w:pPr>
      <w:r w:rsidRPr="00491FB9">
        <w:rPr>
          <w:rFonts w:cs="Times New Roman"/>
        </w:rPr>
        <w:t>ASTM D4489-95 (2006): D4489-95 (2006) Standards and Practices for Sampling of Waterborne</w:t>
      </w:r>
      <w:r w:rsidR="00C97619" w:rsidRPr="00491FB9">
        <w:rPr>
          <w:rFonts w:cs="Times New Roman"/>
        </w:rPr>
        <w:t xml:space="preserve"> </w:t>
      </w:r>
      <w:r w:rsidRPr="00491FB9">
        <w:rPr>
          <w:rFonts w:cs="Times New Roman"/>
        </w:rPr>
        <w:t>Oils. ASTM International, 2006 Edition.</w:t>
      </w:r>
    </w:p>
    <w:p w14:paraId="5A116BFF" w14:textId="77777777" w:rsidR="008C18AA" w:rsidRPr="00491FB9" w:rsidRDefault="00C97619" w:rsidP="00491FB9">
      <w:pPr>
        <w:spacing w:line="276" w:lineRule="auto"/>
        <w:rPr>
          <w:rFonts w:cs="Times New Roman"/>
        </w:rPr>
      </w:pPr>
      <w:r w:rsidRPr="00491FB9">
        <w:rPr>
          <w:rFonts w:cs="Times New Roman"/>
        </w:rPr>
        <w:t>Enbridge, 2011</w:t>
      </w:r>
      <w:r w:rsidR="008C18AA" w:rsidRPr="00491FB9">
        <w:rPr>
          <w:rFonts w:cs="Times New Roman"/>
        </w:rPr>
        <w:t xml:space="preserve">. Enbridge Line 6B MP 608 Pipeline Release; Marshall, Michigan; </w:t>
      </w:r>
      <w:r w:rsidRPr="00491FB9">
        <w:rPr>
          <w:rFonts w:cs="Times New Roman"/>
        </w:rPr>
        <w:t xml:space="preserve">Sheen Differentiation Methods – SOP. Prepared for Michigan Department of Environmental Quality. </w:t>
      </w:r>
      <w:hyperlink r:id="rId19" w:history="1">
        <w:r w:rsidRPr="00491FB9">
          <w:rPr>
            <w:rStyle w:val="Hyperlink"/>
            <w:rFonts w:cs="Times New Roman"/>
          </w:rPr>
          <w:t>http://www.michigan.gov/documents/deq/wrd-enbridge-residual-oil-10_464696_7.pdf</w:t>
        </w:r>
      </w:hyperlink>
      <w:r w:rsidRPr="00491FB9">
        <w:rPr>
          <w:rFonts w:cs="Times New Roman"/>
        </w:rPr>
        <w:t xml:space="preserve"> </w:t>
      </w:r>
    </w:p>
    <w:p w14:paraId="69690BCC" w14:textId="77777777" w:rsidR="00587AA3" w:rsidRPr="00491FB9" w:rsidRDefault="008C18AA" w:rsidP="00491FB9">
      <w:pPr>
        <w:spacing w:line="276" w:lineRule="auto"/>
        <w:rPr>
          <w:rFonts w:cs="Times New Roman"/>
        </w:rPr>
      </w:pPr>
      <w:r w:rsidRPr="00491FB9">
        <w:rPr>
          <w:rFonts w:cs="Times New Roman"/>
        </w:rPr>
        <w:t>Robbins and Norden, 1994. Robbins, E.I. and Nordern, A.W., 1994. Microbial oxidation of iron</w:t>
      </w:r>
      <w:r w:rsidR="00C97619" w:rsidRPr="00491FB9">
        <w:rPr>
          <w:rFonts w:cs="Times New Roman"/>
        </w:rPr>
        <w:t xml:space="preserve"> </w:t>
      </w:r>
      <w:r w:rsidRPr="00491FB9">
        <w:rPr>
          <w:rFonts w:cs="Times New Roman"/>
        </w:rPr>
        <w:t>and manganese in wetlands and creeks of Maryland, Virginia, Delaware, and Washington, D.C.</w:t>
      </w:r>
      <w:r w:rsidR="00C97619" w:rsidRPr="00491FB9">
        <w:rPr>
          <w:rFonts w:cs="Times New Roman"/>
        </w:rPr>
        <w:t xml:space="preserve"> </w:t>
      </w:r>
      <w:r w:rsidRPr="00491FB9">
        <w:rPr>
          <w:rFonts w:cs="Times New Roman"/>
        </w:rPr>
        <w:t>in Chiang, S.-H., ed., Pittsburgh Coal Conference Proceedings, Coal—Energy and the</w:t>
      </w:r>
      <w:r w:rsidR="00C97619" w:rsidRPr="00491FB9">
        <w:rPr>
          <w:rFonts w:cs="Times New Roman"/>
        </w:rPr>
        <w:t xml:space="preserve"> </w:t>
      </w:r>
      <w:r w:rsidRPr="00491FB9">
        <w:rPr>
          <w:rFonts w:cs="Times New Roman"/>
        </w:rPr>
        <w:t>Environment, Volume 2, p. 1154 – 1159.</w:t>
      </w:r>
    </w:p>
    <w:p w14:paraId="7DF67C1B" w14:textId="77777777" w:rsidR="00587AA3" w:rsidRPr="0071303F" w:rsidRDefault="00587AA3" w:rsidP="00491FB9">
      <w:pPr>
        <w:tabs>
          <w:tab w:val="left" w:pos="1335"/>
        </w:tabs>
        <w:spacing w:line="276" w:lineRule="auto"/>
      </w:pPr>
    </w:p>
    <w:sectPr w:rsidR="00587AA3" w:rsidRPr="0071303F" w:rsidSect="008829B1">
      <w:footerReference w:type="default" r:id="rId20"/>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A9CEC3" w14:textId="77777777" w:rsidR="00AD39AF" w:rsidRDefault="00AD39AF" w:rsidP="009143BC">
      <w:pPr>
        <w:spacing w:after="0" w:line="240" w:lineRule="auto"/>
      </w:pPr>
      <w:r>
        <w:separator/>
      </w:r>
    </w:p>
  </w:endnote>
  <w:endnote w:type="continuationSeparator" w:id="0">
    <w:p w14:paraId="520E26AD" w14:textId="77777777" w:rsidR="00AD39AF" w:rsidRDefault="00AD39AF" w:rsidP="009143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60512898"/>
      <w:docPartObj>
        <w:docPartGallery w:val="Page Numbers (Bottom of Page)"/>
        <w:docPartUnique/>
      </w:docPartObj>
    </w:sdtPr>
    <w:sdtEndPr>
      <w:rPr>
        <w:noProof/>
      </w:rPr>
    </w:sdtEndPr>
    <w:sdtContent>
      <w:p w14:paraId="6264EF34" w14:textId="77777777" w:rsidR="00E717E8" w:rsidRDefault="00E717E8">
        <w:pPr>
          <w:pStyle w:val="Footer"/>
          <w:jc w:val="center"/>
        </w:pPr>
        <w:r>
          <w:fldChar w:fldCharType="begin"/>
        </w:r>
        <w:r>
          <w:instrText xml:space="preserve"> PAGE   \* MERGEFORMAT </w:instrText>
        </w:r>
        <w:r>
          <w:fldChar w:fldCharType="separate"/>
        </w:r>
        <w:r w:rsidR="00512634">
          <w:rPr>
            <w:noProof/>
          </w:rPr>
          <w:t>ii</w:t>
        </w:r>
        <w:r>
          <w:rPr>
            <w:noProof/>
          </w:rPr>
          <w:fldChar w:fldCharType="end"/>
        </w:r>
      </w:p>
    </w:sdtContent>
  </w:sdt>
  <w:p w14:paraId="55397901" w14:textId="77777777" w:rsidR="00E717E8" w:rsidRDefault="00E717E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8AA5D6" w14:textId="77777777" w:rsidR="00E717E8" w:rsidRDefault="00E717E8">
    <w:pPr>
      <w:pStyle w:val="Footer"/>
      <w:jc w:val="center"/>
    </w:pPr>
  </w:p>
  <w:p w14:paraId="1108FDB4" w14:textId="77777777" w:rsidR="00E717E8" w:rsidRDefault="00E717E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98332249"/>
      <w:docPartObj>
        <w:docPartGallery w:val="Page Numbers (Bottom of Page)"/>
        <w:docPartUnique/>
      </w:docPartObj>
    </w:sdtPr>
    <w:sdtEndPr>
      <w:rPr>
        <w:noProof/>
      </w:rPr>
    </w:sdtEndPr>
    <w:sdtContent>
      <w:p w14:paraId="3AD4092B" w14:textId="77777777" w:rsidR="00E717E8" w:rsidRDefault="00E717E8">
        <w:pPr>
          <w:pStyle w:val="Footer"/>
          <w:jc w:val="center"/>
        </w:pPr>
        <w:r>
          <w:fldChar w:fldCharType="begin"/>
        </w:r>
        <w:r>
          <w:instrText xml:space="preserve"> PAGE   \* MERGEFORMAT </w:instrText>
        </w:r>
        <w:r>
          <w:fldChar w:fldCharType="separate"/>
        </w:r>
        <w:r w:rsidR="00512634">
          <w:rPr>
            <w:noProof/>
          </w:rPr>
          <w:t>i</w:t>
        </w:r>
        <w:r>
          <w:rPr>
            <w:noProof/>
          </w:rPr>
          <w:fldChar w:fldCharType="end"/>
        </w:r>
      </w:p>
    </w:sdtContent>
  </w:sdt>
  <w:p w14:paraId="737081FF" w14:textId="77777777" w:rsidR="00E717E8" w:rsidRDefault="00E717E8">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42779259"/>
      <w:docPartObj>
        <w:docPartGallery w:val="Page Numbers (Bottom of Page)"/>
        <w:docPartUnique/>
      </w:docPartObj>
    </w:sdtPr>
    <w:sdtEndPr>
      <w:rPr>
        <w:noProof/>
      </w:rPr>
    </w:sdtEndPr>
    <w:sdtContent>
      <w:p w14:paraId="06D142B4" w14:textId="77777777" w:rsidR="00E717E8" w:rsidRDefault="00E717E8">
        <w:pPr>
          <w:pStyle w:val="Footer"/>
          <w:jc w:val="center"/>
        </w:pPr>
        <w:r>
          <w:fldChar w:fldCharType="begin"/>
        </w:r>
        <w:r>
          <w:instrText xml:space="preserve"> PAGE   \* MERGEFORMAT </w:instrText>
        </w:r>
        <w:r>
          <w:fldChar w:fldCharType="separate"/>
        </w:r>
        <w:r w:rsidR="00512634">
          <w:rPr>
            <w:noProof/>
          </w:rPr>
          <w:t>18</w:t>
        </w:r>
        <w:r>
          <w:rPr>
            <w:noProof/>
          </w:rPr>
          <w:fldChar w:fldCharType="end"/>
        </w:r>
      </w:p>
    </w:sdtContent>
  </w:sdt>
  <w:p w14:paraId="24F8A6A5" w14:textId="77777777" w:rsidR="00E717E8" w:rsidRPr="00A82FED" w:rsidRDefault="00E717E8">
    <w:pPr>
      <w:pStyle w:val="Footer"/>
      <w:rPr>
        <w:rFonts w:ascii="Times New Roman" w:hAnsi="Times New Roman"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8813DA" w14:textId="77777777" w:rsidR="00AD39AF" w:rsidRDefault="00AD39AF" w:rsidP="009143BC">
      <w:pPr>
        <w:spacing w:after="0" w:line="240" w:lineRule="auto"/>
      </w:pPr>
      <w:r>
        <w:separator/>
      </w:r>
    </w:p>
  </w:footnote>
  <w:footnote w:type="continuationSeparator" w:id="0">
    <w:p w14:paraId="31250797" w14:textId="77777777" w:rsidR="00AD39AF" w:rsidRDefault="00AD39AF" w:rsidP="009143BC">
      <w:pPr>
        <w:spacing w:after="0" w:line="240" w:lineRule="auto"/>
      </w:pPr>
      <w:r>
        <w:continuationSeparator/>
      </w:r>
    </w:p>
  </w:footnote>
  <w:footnote w:id="1">
    <w:p w14:paraId="1D3DDAD8" w14:textId="79F04561" w:rsidR="00E717E8" w:rsidRDefault="00E717E8" w:rsidP="00C9504F">
      <w:pPr>
        <w:spacing w:line="276" w:lineRule="auto"/>
        <w:ind w:left="180"/>
      </w:pPr>
      <w:r>
        <w:rPr>
          <w:rStyle w:val="FootnoteReference"/>
        </w:rPr>
        <w:footnoteRef/>
      </w:r>
      <w:r>
        <w:t xml:space="preserve"> Note </w:t>
      </w:r>
      <w:r w:rsidRPr="00493225">
        <w:t>7.  Samples to determine concentrations of total aromatic hydrocarbons (TAH) and total aqueous hydrocarbons (TAqH) must be collected in marine and fresh waters below the surface and away from any observable sheen; concentrations of TAqH must be determined and summed using a combination of:  (A)  EPA Method 602 (plus xylenes) or EPA Method 624 to quantify monoaromatic hydrocarbons and to measure TAH; and (B)  EPA Method 610 or EPA Method 625 to quantify polynuclear aromatic hydrocarbons listed in EPA Method 610; use of an alternative method requires department approval; the EPA methods referred to in this note may be found in Appendix A of 40 C.F.R. 136, Appendix A, as revised as of July 1, 2003  and adopted by reference</w:t>
      </w:r>
      <w:r w:rsidR="00671A29">
        <w:t>.</w:t>
      </w:r>
    </w:p>
    <w:p w14:paraId="0E219352" w14:textId="37C1B4B2" w:rsidR="00E717E8" w:rsidRDefault="00E717E8">
      <w:pPr>
        <w:pStyle w:val="FootnoteText"/>
      </w:pPr>
    </w:p>
  </w:footnote>
  <w:footnote w:id="2">
    <w:p w14:paraId="387AFD7A" w14:textId="77777777" w:rsidR="00E717E8" w:rsidRPr="00B639F0" w:rsidRDefault="00E717E8" w:rsidP="009143BC">
      <w:pPr>
        <w:rPr>
          <w:rFonts w:cs="Times New Roman"/>
          <w:sz w:val="20"/>
          <w:szCs w:val="20"/>
        </w:rPr>
      </w:pPr>
      <w:r w:rsidRPr="00A82FED">
        <w:rPr>
          <w:rStyle w:val="FootnoteReference"/>
          <w:rFonts w:ascii="Times New Roman" w:hAnsi="Times New Roman" w:cs="Times New Roman"/>
        </w:rPr>
        <w:footnoteRef/>
      </w:r>
      <w:r w:rsidRPr="00A82FED">
        <w:rPr>
          <w:rFonts w:ascii="Times New Roman" w:hAnsi="Times New Roman" w:cs="Times New Roman"/>
        </w:rPr>
        <w:t xml:space="preserve"> </w:t>
      </w:r>
      <w:r w:rsidRPr="00B639F0">
        <w:rPr>
          <w:rFonts w:cs="Times New Roman"/>
          <w:sz w:val="20"/>
          <w:szCs w:val="20"/>
        </w:rPr>
        <w:t>TAH means the sum of the following volatile monoaromatic hydrocarbon compounds: benzene, ethylbenzene, toluene, and the xylenes isomers, commonly called BETX [sic]. 18 AAC 70.990(60).</w:t>
      </w:r>
    </w:p>
  </w:footnote>
  <w:footnote w:id="3">
    <w:p w14:paraId="615B15A6" w14:textId="77777777" w:rsidR="00E717E8" w:rsidRPr="00E10FCA" w:rsidRDefault="00E717E8" w:rsidP="009143BC">
      <w:pPr>
        <w:rPr>
          <w:sz w:val="20"/>
          <w:szCs w:val="20"/>
        </w:rPr>
      </w:pPr>
      <w:r w:rsidRPr="00A82FED">
        <w:rPr>
          <w:rStyle w:val="FootnoteReference"/>
          <w:rFonts w:ascii="Times New Roman" w:hAnsi="Times New Roman" w:cs="Times New Roman"/>
          <w:sz w:val="20"/>
          <w:szCs w:val="20"/>
        </w:rPr>
        <w:footnoteRef/>
      </w:r>
      <w:r w:rsidRPr="00B639F0">
        <w:rPr>
          <w:rFonts w:cs="Times New Roman"/>
          <w:sz w:val="20"/>
          <w:szCs w:val="20"/>
        </w:rPr>
        <w:t xml:space="preserve"> TAqH means those collective dissolved and water-accommodated monoaromatic and polynuclear aromatic petroleum hydrocarbons that are persistent in the water column; "total aqueous hydrocarbons" does not include floating surface oil or grease. 18 AAC 70.990(59).</w:t>
      </w:r>
    </w:p>
  </w:footnote>
  <w:footnote w:id="4">
    <w:p w14:paraId="7E5A6375" w14:textId="77777777" w:rsidR="00E717E8" w:rsidRPr="00B639F0" w:rsidRDefault="00E717E8" w:rsidP="009143BC">
      <w:pPr>
        <w:rPr>
          <w:rFonts w:cs="Times New Roman"/>
          <w:sz w:val="20"/>
          <w:szCs w:val="20"/>
        </w:rPr>
      </w:pPr>
      <w:r w:rsidRPr="00A82FED">
        <w:rPr>
          <w:rStyle w:val="FootnoteReference"/>
          <w:rFonts w:ascii="Times New Roman" w:hAnsi="Times New Roman" w:cs="Times New Roman"/>
          <w:sz w:val="20"/>
          <w:szCs w:val="20"/>
        </w:rPr>
        <w:footnoteRef/>
      </w:r>
      <w:r w:rsidRPr="00B639F0">
        <w:rPr>
          <w:rFonts w:cs="Times New Roman"/>
          <w:sz w:val="20"/>
          <w:szCs w:val="20"/>
        </w:rPr>
        <w:t xml:space="preserve"> Oils and grease as defined by the procedure used under </w:t>
      </w:r>
      <w:r w:rsidRPr="00B639F0">
        <w:rPr>
          <w:rFonts w:cs="Times New Roman"/>
          <w:i/>
          <w:sz w:val="20"/>
          <w:szCs w:val="20"/>
        </w:rPr>
        <w:t>Standard Methods for the Examination of Water and Wastewater</w:t>
      </w:r>
      <w:r w:rsidRPr="00B639F0">
        <w:rPr>
          <w:rFonts w:cs="Times New Roman"/>
          <w:sz w:val="20"/>
          <w:szCs w:val="20"/>
        </w:rPr>
        <w:t>, 18</w:t>
      </w:r>
      <w:r w:rsidRPr="00A82FED">
        <w:rPr>
          <w:rFonts w:ascii="Times New Roman" w:hAnsi="Times New Roman" w:cs="Times New Roman"/>
          <w:sz w:val="20"/>
          <w:szCs w:val="20"/>
          <w:vertAlign w:val="superscript"/>
        </w:rPr>
        <w:t>th</w:t>
      </w:r>
      <w:r w:rsidRPr="00B639F0">
        <w:rPr>
          <w:rFonts w:cs="Times New Roman"/>
          <w:sz w:val="20"/>
          <w:szCs w:val="20"/>
        </w:rPr>
        <w:t xml:space="preserve"> edition, 1992; 19</w:t>
      </w:r>
      <w:r w:rsidRPr="00A82FED">
        <w:rPr>
          <w:rFonts w:ascii="Times New Roman" w:hAnsi="Times New Roman" w:cs="Times New Roman"/>
          <w:sz w:val="20"/>
          <w:szCs w:val="20"/>
          <w:vertAlign w:val="superscript"/>
        </w:rPr>
        <w:t>th</w:t>
      </w:r>
      <w:r w:rsidRPr="00B639F0">
        <w:rPr>
          <w:rFonts w:cs="Times New Roman"/>
          <w:sz w:val="20"/>
          <w:szCs w:val="20"/>
        </w:rPr>
        <w:t xml:space="preserve"> edition, 1995; or 20</w:t>
      </w:r>
      <w:r w:rsidRPr="00A82FED">
        <w:rPr>
          <w:rFonts w:ascii="Times New Roman" w:hAnsi="Times New Roman" w:cs="Times New Roman"/>
          <w:sz w:val="20"/>
          <w:szCs w:val="20"/>
          <w:vertAlign w:val="superscript"/>
        </w:rPr>
        <w:t>th</w:t>
      </w:r>
      <w:r w:rsidRPr="00B639F0">
        <w:rPr>
          <w:rFonts w:cs="Times New Roman"/>
          <w:sz w:val="20"/>
          <w:szCs w:val="20"/>
        </w:rPr>
        <w:t xml:space="preserve"> edition, 1998 published jointly by the American Public Health and American Water Works Associations and the Water Environment Federation. 18 AAC 70.990(43) and 18 AAC 70.020(c)(1).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6806FD" w14:textId="77777777" w:rsidR="00E717E8" w:rsidRPr="00B639F0" w:rsidRDefault="00E717E8" w:rsidP="00D35284">
    <w:pPr>
      <w:pStyle w:val="Header"/>
      <w:rPr>
        <w:rFonts w:cs="Times New Roman"/>
      </w:rPr>
    </w:pPr>
    <w:r w:rsidRPr="00B639F0">
      <w:rPr>
        <w:rFonts w:cs="Times New Roman"/>
      </w:rPr>
      <w:t>Listing Methodology for Determining Water Quality Impairments from Petroleum Hydrocarbons, Oils and Grease</w:t>
    </w:r>
  </w:p>
  <w:p w14:paraId="67E0D8B9" w14:textId="77777777" w:rsidR="00E717E8" w:rsidRPr="00B639F0" w:rsidRDefault="00E717E8" w:rsidP="00D35284">
    <w:pPr>
      <w:pStyle w:val="Header"/>
      <w:rPr>
        <w:rFonts w:cs="Times New Roman"/>
      </w:rPr>
    </w:pPr>
    <w:r w:rsidRPr="00B639F0">
      <w:rPr>
        <w:rFonts w:cs="Times New Roman"/>
      </w:rPr>
      <w:t>Alaska Department of Environmental Conservation</w:t>
    </w:r>
  </w:p>
  <w:p w14:paraId="37E70F9E" w14:textId="0DAF505B" w:rsidR="00E717E8" w:rsidRPr="00B639F0" w:rsidRDefault="00D2042D" w:rsidP="00D35284">
    <w:pPr>
      <w:pStyle w:val="Header"/>
      <w:rPr>
        <w:rFonts w:cs="Times New Roman"/>
      </w:rPr>
    </w:pPr>
    <w:r>
      <w:rPr>
        <w:rFonts w:cs="Times New Roman"/>
      </w:rPr>
      <w:t>December 14</w:t>
    </w:r>
    <w:r w:rsidR="00E717E8" w:rsidRPr="00B639F0">
      <w:rPr>
        <w:rFonts w:cs="Times New Roman"/>
      </w:rPr>
      <w:t>, 2015</w:t>
    </w:r>
  </w:p>
  <w:p w14:paraId="364EF525" w14:textId="77777777" w:rsidR="00E717E8" w:rsidRDefault="00E717E8"/>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647268" w14:textId="77777777" w:rsidR="00E717E8" w:rsidRPr="00B639F0" w:rsidRDefault="00E717E8" w:rsidP="00AA7475">
    <w:pPr>
      <w:pStyle w:val="Header"/>
      <w:rPr>
        <w:rFonts w:cs="Times New Roman"/>
      </w:rPr>
    </w:pPr>
    <w:r w:rsidRPr="00B639F0">
      <w:rPr>
        <w:rFonts w:cs="Times New Roman"/>
      </w:rPr>
      <w:t>Hydrocarbons, Oils and Grease</w:t>
    </w:r>
  </w:p>
  <w:p w14:paraId="0285D607" w14:textId="77777777" w:rsidR="00E717E8" w:rsidRPr="00B639F0" w:rsidRDefault="00E717E8" w:rsidP="00AA7475">
    <w:pPr>
      <w:pStyle w:val="Header"/>
      <w:rPr>
        <w:rFonts w:cs="Times New Roman"/>
      </w:rPr>
    </w:pPr>
    <w:r w:rsidRPr="00B639F0">
      <w:rPr>
        <w:rFonts w:cs="Times New Roman"/>
      </w:rPr>
      <w:t>Alaska Department of Environmental Conservation</w:t>
    </w:r>
  </w:p>
  <w:p w14:paraId="637080A4" w14:textId="7AEAE51E" w:rsidR="00E717E8" w:rsidRPr="00B639F0" w:rsidRDefault="00D2042D" w:rsidP="00AA7475">
    <w:pPr>
      <w:pStyle w:val="Header"/>
      <w:rPr>
        <w:rFonts w:cs="Times New Roman"/>
      </w:rPr>
    </w:pPr>
    <w:r>
      <w:rPr>
        <w:rFonts w:cs="Times New Roman"/>
      </w:rPr>
      <w:t>December 14</w:t>
    </w:r>
    <w:r w:rsidR="00E717E8" w:rsidRPr="00B639F0">
      <w:rPr>
        <w:rFonts w:cs="Times New Roman"/>
      </w:rPr>
      <w:t>, 2015</w:t>
    </w:r>
  </w:p>
  <w:p w14:paraId="6E03F2F6" w14:textId="77777777" w:rsidR="00E717E8" w:rsidRDefault="00E717E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7B060326"/>
    <w:lvl w:ilvl="0">
      <w:start w:val="1"/>
      <w:numFmt w:val="bullet"/>
      <w:pStyle w:val="ListBullet"/>
      <w:lvlText w:val=""/>
      <w:lvlJc w:val="left"/>
      <w:pPr>
        <w:tabs>
          <w:tab w:val="num" w:pos="900"/>
        </w:tabs>
        <w:ind w:left="900" w:hanging="360"/>
      </w:pPr>
      <w:rPr>
        <w:rFonts w:ascii="Symbol" w:hAnsi="Symbol" w:hint="default"/>
        <w:sz w:val="22"/>
      </w:rPr>
    </w:lvl>
  </w:abstractNum>
  <w:abstractNum w:abstractNumId="1" w15:restartNumberingAfterBreak="0">
    <w:nsid w:val="0B961FD1"/>
    <w:multiLevelType w:val="multilevel"/>
    <w:tmpl w:val="6CCC479C"/>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DF769C6"/>
    <w:multiLevelType w:val="hybridMultilevel"/>
    <w:tmpl w:val="E7EE4FA8"/>
    <w:lvl w:ilvl="0" w:tplc="E0DC14B0">
      <w:start w:val="1"/>
      <w:numFmt w:val="lowerLetter"/>
      <w:lvlText w:val="(%1)"/>
      <w:lvlJc w:val="left"/>
      <w:pPr>
        <w:ind w:left="720" w:hanging="360"/>
      </w:pPr>
      <w:rPr>
        <w:rFonts w:hint="default"/>
      </w:rPr>
    </w:lvl>
    <w:lvl w:ilvl="1" w:tplc="04090019">
      <w:start w:val="1"/>
      <w:numFmt w:val="lowerLetter"/>
      <w:lvlText w:val="%2."/>
      <w:lvlJc w:val="left"/>
      <w:pPr>
        <w:ind w:left="1800" w:hanging="360"/>
      </w:pPr>
    </w:lvl>
    <w:lvl w:ilvl="2" w:tplc="F836CE56">
      <w:numFmt w:val="bullet"/>
      <w:lvlText w:val="•"/>
      <w:lvlJc w:val="left"/>
      <w:pPr>
        <w:ind w:left="2700" w:hanging="360"/>
      </w:pPr>
      <w:rPr>
        <w:rFonts w:ascii="Times New Roman" w:eastAsiaTheme="minorHAnsi" w:hAnsi="Times New Roman" w:cs="Times New Roman"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FD510D0"/>
    <w:multiLevelType w:val="hybridMultilevel"/>
    <w:tmpl w:val="831E8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511685"/>
    <w:multiLevelType w:val="hybridMultilevel"/>
    <w:tmpl w:val="4F68AA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3960F9"/>
    <w:multiLevelType w:val="hybridMultilevel"/>
    <w:tmpl w:val="D638A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6805BAC"/>
    <w:multiLevelType w:val="hybridMultilevel"/>
    <w:tmpl w:val="33048F60"/>
    <w:lvl w:ilvl="0" w:tplc="E0DC14B0">
      <w:start w:val="1"/>
      <w:numFmt w:val="lowerLetter"/>
      <w:lvlText w:val="(%1)"/>
      <w:lvlJc w:val="left"/>
      <w:pPr>
        <w:ind w:left="720" w:hanging="360"/>
      </w:pPr>
      <w:rPr>
        <w:rFonts w:hint="default"/>
      </w:rPr>
    </w:lvl>
    <w:lvl w:ilvl="1" w:tplc="04090019">
      <w:start w:val="1"/>
      <w:numFmt w:val="lowerLetter"/>
      <w:lvlText w:val="%2."/>
      <w:lvlJc w:val="left"/>
      <w:pPr>
        <w:ind w:left="1800" w:hanging="360"/>
      </w:pPr>
    </w:lvl>
    <w:lvl w:ilvl="2" w:tplc="04090001">
      <w:start w:val="1"/>
      <w:numFmt w:val="bullet"/>
      <w:lvlText w:val=""/>
      <w:lvlJc w:val="left"/>
      <w:pPr>
        <w:ind w:left="2700" w:hanging="360"/>
      </w:pPr>
      <w:rPr>
        <w:rFonts w:ascii="Symbol" w:hAnsi="Symbol"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DAC0882"/>
    <w:multiLevelType w:val="hybridMultilevel"/>
    <w:tmpl w:val="24BA741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800" w:hanging="360"/>
      </w:pPr>
    </w:lvl>
    <w:lvl w:ilvl="2" w:tplc="F836CE56">
      <w:numFmt w:val="bullet"/>
      <w:lvlText w:val="•"/>
      <w:lvlJc w:val="left"/>
      <w:pPr>
        <w:ind w:left="2700" w:hanging="360"/>
      </w:pPr>
      <w:rPr>
        <w:rFonts w:ascii="Times New Roman" w:eastAsiaTheme="minorHAnsi" w:hAnsi="Times New Roman" w:cs="Times New Roman"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F075A87"/>
    <w:multiLevelType w:val="hybridMultilevel"/>
    <w:tmpl w:val="181A1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5BB53E2"/>
    <w:multiLevelType w:val="hybridMultilevel"/>
    <w:tmpl w:val="83AA9252"/>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800" w:hanging="360"/>
      </w:pPr>
    </w:lvl>
    <w:lvl w:ilvl="2" w:tplc="04090001">
      <w:start w:val="1"/>
      <w:numFmt w:val="bullet"/>
      <w:lvlText w:val=""/>
      <w:lvlJc w:val="left"/>
      <w:pPr>
        <w:ind w:left="2700" w:hanging="360"/>
      </w:pPr>
      <w:rPr>
        <w:rFonts w:ascii="Symbol" w:hAnsi="Symbol"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7E606A8A"/>
    <w:multiLevelType w:val="hybridMultilevel"/>
    <w:tmpl w:val="FCF84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FCE585C"/>
    <w:multiLevelType w:val="hybridMultilevel"/>
    <w:tmpl w:val="11BE1C54"/>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800" w:hanging="360"/>
      </w:pPr>
    </w:lvl>
    <w:lvl w:ilvl="2" w:tplc="F836CE56">
      <w:numFmt w:val="bullet"/>
      <w:lvlText w:val="•"/>
      <w:lvlJc w:val="left"/>
      <w:pPr>
        <w:ind w:left="2700" w:hanging="360"/>
      </w:pPr>
      <w:rPr>
        <w:rFonts w:ascii="Times New Roman" w:eastAsiaTheme="minorHAnsi" w:hAnsi="Times New Roman" w:cs="Times New Roman"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2"/>
  </w:num>
  <w:num w:numId="4">
    <w:abstractNumId w:val="2"/>
    <w:lvlOverride w:ilvl="0">
      <w:startOverride w:val="1"/>
    </w:lvlOverride>
  </w:num>
  <w:num w:numId="5">
    <w:abstractNumId w:val="2"/>
    <w:lvlOverride w:ilvl="0">
      <w:startOverride w:val="1"/>
    </w:lvlOverride>
  </w:num>
  <w:num w:numId="6">
    <w:abstractNumId w:val="1"/>
  </w:num>
  <w:num w:numId="7">
    <w:abstractNumId w:val="4"/>
  </w:num>
  <w:num w:numId="8">
    <w:abstractNumId w:val="10"/>
  </w:num>
  <w:num w:numId="9">
    <w:abstractNumId w:val="11"/>
  </w:num>
  <w:num w:numId="10">
    <w:abstractNumId w:val="3"/>
  </w:num>
  <w:num w:numId="11">
    <w:abstractNumId w:val="6"/>
  </w:num>
  <w:num w:numId="12">
    <w:abstractNumId w:val="9"/>
  </w:num>
  <w:num w:numId="13">
    <w:abstractNumId w:val="5"/>
  </w:num>
  <w:num w:numId="14">
    <w:abstractNumId w:val="7"/>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NotTrackFormatting/>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43BC"/>
    <w:rsid w:val="00002442"/>
    <w:rsid w:val="00003C57"/>
    <w:rsid w:val="00007A4D"/>
    <w:rsid w:val="00013C0A"/>
    <w:rsid w:val="00032BCD"/>
    <w:rsid w:val="000357E1"/>
    <w:rsid w:val="0005672B"/>
    <w:rsid w:val="00080B2A"/>
    <w:rsid w:val="00080C39"/>
    <w:rsid w:val="00080C95"/>
    <w:rsid w:val="00093BB2"/>
    <w:rsid w:val="000948E4"/>
    <w:rsid w:val="000A4734"/>
    <w:rsid w:val="000D2B68"/>
    <w:rsid w:val="000E3B63"/>
    <w:rsid w:val="000F41B9"/>
    <w:rsid w:val="000F74DF"/>
    <w:rsid w:val="00110E76"/>
    <w:rsid w:val="00132601"/>
    <w:rsid w:val="00134E31"/>
    <w:rsid w:val="0015562B"/>
    <w:rsid w:val="00167E88"/>
    <w:rsid w:val="001810A8"/>
    <w:rsid w:val="00184197"/>
    <w:rsid w:val="001A3FA9"/>
    <w:rsid w:val="001E4CEF"/>
    <w:rsid w:val="001F1509"/>
    <w:rsid w:val="001F3504"/>
    <w:rsid w:val="00216F14"/>
    <w:rsid w:val="00262C29"/>
    <w:rsid w:val="002638DD"/>
    <w:rsid w:val="00264AC9"/>
    <w:rsid w:val="00265D2E"/>
    <w:rsid w:val="00273C76"/>
    <w:rsid w:val="002A1AFF"/>
    <w:rsid w:val="002D4144"/>
    <w:rsid w:val="002D6DD7"/>
    <w:rsid w:val="002E2E89"/>
    <w:rsid w:val="002E392C"/>
    <w:rsid w:val="003130FF"/>
    <w:rsid w:val="0031413B"/>
    <w:rsid w:val="00316487"/>
    <w:rsid w:val="00324193"/>
    <w:rsid w:val="00350D8B"/>
    <w:rsid w:val="00363DB2"/>
    <w:rsid w:val="00375C90"/>
    <w:rsid w:val="00376EBA"/>
    <w:rsid w:val="003931DE"/>
    <w:rsid w:val="00394F81"/>
    <w:rsid w:val="003A72E6"/>
    <w:rsid w:val="003B2E45"/>
    <w:rsid w:val="003C54A5"/>
    <w:rsid w:val="003D2B5A"/>
    <w:rsid w:val="003F0F75"/>
    <w:rsid w:val="003F25D7"/>
    <w:rsid w:val="00412203"/>
    <w:rsid w:val="00447157"/>
    <w:rsid w:val="00447D1F"/>
    <w:rsid w:val="00454994"/>
    <w:rsid w:val="00467CD9"/>
    <w:rsid w:val="00480893"/>
    <w:rsid w:val="00491FB9"/>
    <w:rsid w:val="00493225"/>
    <w:rsid w:val="004A56F3"/>
    <w:rsid w:val="004A59A8"/>
    <w:rsid w:val="004C546E"/>
    <w:rsid w:val="005067CB"/>
    <w:rsid w:val="00510577"/>
    <w:rsid w:val="00512634"/>
    <w:rsid w:val="005347ED"/>
    <w:rsid w:val="00534A5F"/>
    <w:rsid w:val="005434E9"/>
    <w:rsid w:val="00567AE7"/>
    <w:rsid w:val="00574D98"/>
    <w:rsid w:val="00582DC6"/>
    <w:rsid w:val="0058673A"/>
    <w:rsid w:val="00587AA3"/>
    <w:rsid w:val="005A20BA"/>
    <w:rsid w:val="005A2D5A"/>
    <w:rsid w:val="005B32E9"/>
    <w:rsid w:val="005C471B"/>
    <w:rsid w:val="005E2224"/>
    <w:rsid w:val="005F76F2"/>
    <w:rsid w:val="0060222F"/>
    <w:rsid w:val="0060303D"/>
    <w:rsid w:val="006134C6"/>
    <w:rsid w:val="00651B7F"/>
    <w:rsid w:val="00671A29"/>
    <w:rsid w:val="00672E94"/>
    <w:rsid w:val="00680965"/>
    <w:rsid w:val="006A10E8"/>
    <w:rsid w:val="006A6868"/>
    <w:rsid w:val="006F2DBD"/>
    <w:rsid w:val="007002AE"/>
    <w:rsid w:val="0071303F"/>
    <w:rsid w:val="007229BB"/>
    <w:rsid w:val="00741D0F"/>
    <w:rsid w:val="00744347"/>
    <w:rsid w:val="00744432"/>
    <w:rsid w:val="007463C2"/>
    <w:rsid w:val="00746C2E"/>
    <w:rsid w:val="00747733"/>
    <w:rsid w:val="0077487F"/>
    <w:rsid w:val="0079220A"/>
    <w:rsid w:val="00793959"/>
    <w:rsid w:val="007A4D83"/>
    <w:rsid w:val="007B08E3"/>
    <w:rsid w:val="007B5D79"/>
    <w:rsid w:val="007B5E60"/>
    <w:rsid w:val="007C3EC9"/>
    <w:rsid w:val="007D099D"/>
    <w:rsid w:val="007D5A6D"/>
    <w:rsid w:val="007F0928"/>
    <w:rsid w:val="008027C6"/>
    <w:rsid w:val="0080661E"/>
    <w:rsid w:val="00807D64"/>
    <w:rsid w:val="00810B46"/>
    <w:rsid w:val="00816405"/>
    <w:rsid w:val="008205C9"/>
    <w:rsid w:val="0084216F"/>
    <w:rsid w:val="00846679"/>
    <w:rsid w:val="0087294D"/>
    <w:rsid w:val="0087710D"/>
    <w:rsid w:val="008829B1"/>
    <w:rsid w:val="00890F25"/>
    <w:rsid w:val="008C18AA"/>
    <w:rsid w:val="008C5769"/>
    <w:rsid w:val="008E7FBD"/>
    <w:rsid w:val="008F591D"/>
    <w:rsid w:val="009143BC"/>
    <w:rsid w:val="00922EFD"/>
    <w:rsid w:val="00934EE9"/>
    <w:rsid w:val="00935907"/>
    <w:rsid w:val="00935FD6"/>
    <w:rsid w:val="00942A12"/>
    <w:rsid w:val="00977B6D"/>
    <w:rsid w:val="00991388"/>
    <w:rsid w:val="0099182F"/>
    <w:rsid w:val="009A142A"/>
    <w:rsid w:val="009A3CA6"/>
    <w:rsid w:val="009D62B0"/>
    <w:rsid w:val="009D7B00"/>
    <w:rsid w:val="009E0D73"/>
    <w:rsid w:val="009E2637"/>
    <w:rsid w:val="009F502B"/>
    <w:rsid w:val="009F6867"/>
    <w:rsid w:val="00A02CD5"/>
    <w:rsid w:val="00A07E11"/>
    <w:rsid w:val="00A12E2E"/>
    <w:rsid w:val="00A339DA"/>
    <w:rsid w:val="00A40312"/>
    <w:rsid w:val="00A46DB1"/>
    <w:rsid w:val="00A53793"/>
    <w:rsid w:val="00A542AF"/>
    <w:rsid w:val="00A82FED"/>
    <w:rsid w:val="00A83783"/>
    <w:rsid w:val="00AA7475"/>
    <w:rsid w:val="00AB7951"/>
    <w:rsid w:val="00AC1ED1"/>
    <w:rsid w:val="00AD39AF"/>
    <w:rsid w:val="00AD539F"/>
    <w:rsid w:val="00AE75F0"/>
    <w:rsid w:val="00B022D9"/>
    <w:rsid w:val="00B1777D"/>
    <w:rsid w:val="00B27357"/>
    <w:rsid w:val="00B27E92"/>
    <w:rsid w:val="00B50A00"/>
    <w:rsid w:val="00B54EC5"/>
    <w:rsid w:val="00B6011E"/>
    <w:rsid w:val="00B639F0"/>
    <w:rsid w:val="00B8776A"/>
    <w:rsid w:val="00BB6ECA"/>
    <w:rsid w:val="00BF132B"/>
    <w:rsid w:val="00BF1F0D"/>
    <w:rsid w:val="00C02504"/>
    <w:rsid w:val="00C2607F"/>
    <w:rsid w:val="00C32D4D"/>
    <w:rsid w:val="00C37CC3"/>
    <w:rsid w:val="00C601E0"/>
    <w:rsid w:val="00C71C98"/>
    <w:rsid w:val="00C87C4E"/>
    <w:rsid w:val="00C9504F"/>
    <w:rsid w:val="00C97619"/>
    <w:rsid w:val="00CB341F"/>
    <w:rsid w:val="00CB3FE6"/>
    <w:rsid w:val="00CE3240"/>
    <w:rsid w:val="00CE5CBD"/>
    <w:rsid w:val="00D12A31"/>
    <w:rsid w:val="00D15F30"/>
    <w:rsid w:val="00D17CBA"/>
    <w:rsid w:val="00D2042D"/>
    <w:rsid w:val="00D35284"/>
    <w:rsid w:val="00D51973"/>
    <w:rsid w:val="00D6351C"/>
    <w:rsid w:val="00D6539D"/>
    <w:rsid w:val="00D70335"/>
    <w:rsid w:val="00D76AD2"/>
    <w:rsid w:val="00D82774"/>
    <w:rsid w:val="00D9074A"/>
    <w:rsid w:val="00D907C9"/>
    <w:rsid w:val="00D96F31"/>
    <w:rsid w:val="00D973CC"/>
    <w:rsid w:val="00DA5A24"/>
    <w:rsid w:val="00DB5EF1"/>
    <w:rsid w:val="00E01AC0"/>
    <w:rsid w:val="00E449D0"/>
    <w:rsid w:val="00E51D5E"/>
    <w:rsid w:val="00E55EF0"/>
    <w:rsid w:val="00E5789E"/>
    <w:rsid w:val="00E717E8"/>
    <w:rsid w:val="00E94ABC"/>
    <w:rsid w:val="00EA5956"/>
    <w:rsid w:val="00EC65F3"/>
    <w:rsid w:val="00ED3B97"/>
    <w:rsid w:val="00EF6F9C"/>
    <w:rsid w:val="00F15E99"/>
    <w:rsid w:val="00F52183"/>
    <w:rsid w:val="00F66309"/>
    <w:rsid w:val="00F83630"/>
    <w:rsid w:val="00F8699A"/>
    <w:rsid w:val="00F91CF9"/>
    <w:rsid w:val="00FA7C59"/>
    <w:rsid w:val="00FD2306"/>
    <w:rsid w:val="00FD2EC4"/>
    <w:rsid w:val="00FE2E56"/>
    <w:rsid w:val="00FE38B7"/>
    <w:rsid w:val="00FE52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BE91C7"/>
  <w15:chartTrackingRefBased/>
  <w15:docId w15:val="{D2C5768C-B1CE-4209-AAD6-A57C569EF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01E0"/>
    <w:rPr>
      <w:rFonts w:ascii="Garamond" w:hAnsi="Garamond"/>
      <w:sz w:val="24"/>
    </w:rPr>
  </w:style>
  <w:style w:type="paragraph" w:styleId="Heading1">
    <w:name w:val="heading 1"/>
    <w:basedOn w:val="Normal"/>
    <w:next w:val="Normal"/>
    <w:link w:val="Heading1Char"/>
    <w:autoRedefine/>
    <w:uiPriority w:val="9"/>
    <w:qFormat/>
    <w:rsid w:val="00376EBA"/>
    <w:pPr>
      <w:keepNext/>
      <w:keepLines/>
      <w:numPr>
        <w:numId w:val="6"/>
      </w:numPr>
      <w:spacing w:before="240" w:after="0"/>
      <w:outlineLvl w:val="0"/>
    </w:pPr>
    <w:rPr>
      <w:rFonts w:eastAsiaTheme="majorEastAsia" w:cstheme="majorBidi"/>
      <w:b/>
      <w:color w:val="2E74B5" w:themeColor="accent1" w:themeShade="BF"/>
      <w:sz w:val="32"/>
      <w:szCs w:val="32"/>
    </w:rPr>
  </w:style>
  <w:style w:type="paragraph" w:styleId="Heading2">
    <w:name w:val="heading 2"/>
    <w:basedOn w:val="Normal"/>
    <w:next w:val="Normal"/>
    <w:link w:val="Heading2Char"/>
    <w:autoRedefine/>
    <w:uiPriority w:val="9"/>
    <w:unhideWhenUsed/>
    <w:qFormat/>
    <w:rsid w:val="0071303F"/>
    <w:pPr>
      <w:keepNext/>
      <w:keepLines/>
      <w:numPr>
        <w:ilvl w:val="1"/>
        <w:numId w:val="6"/>
      </w:numPr>
      <w:spacing w:before="240" w:after="120"/>
      <w:outlineLvl w:val="1"/>
    </w:pPr>
    <w:rPr>
      <w:rFonts w:eastAsiaTheme="majorEastAsia" w:cstheme="majorBidi"/>
      <w:b/>
      <w:color w:val="0070C0"/>
      <w:sz w:val="28"/>
      <w:szCs w:val="28"/>
    </w:rPr>
  </w:style>
  <w:style w:type="paragraph" w:styleId="Heading3">
    <w:name w:val="heading 3"/>
    <w:basedOn w:val="Normal"/>
    <w:next w:val="Normal"/>
    <w:link w:val="Heading3Char"/>
    <w:autoRedefine/>
    <w:uiPriority w:val="9"/>
    <w:unhideWhenUsed/>
    <w:qFormat/>
    <w:rsid w:val="00C601E0"/>
    <w:pPr>
      <w:keepNext/>
      <w:keepLines/>
      <w:numPr>
        <w:ilvl w:val="2"/>
        <w:numId w:val="6"/>
      </w:numPr>
      <w:spacing w:before="240" w:after="120"/>
      <w:outlineLvl w:val="2"/>
    </w:pPr>
    <w:rPr>
      <w:rFonts w:eastAsiaTheme="majorEastAsia" w:cstheme="majorBidi"/>
      <w:b/>
      <w:color w:val="0070C0"/>
      <w:szCs w:val="24"/>
    </w:rPr>
  </w:style>
  <w:style w:type="paragraph" w:styleId="Heading4">
    <w:name w:val="heading 4"/>
    <w:basedOn w:val="Normal"/>
    <w:next w:val="Normal"/>
    <w:link w:val="Heading4Char"/>
    <w:uiPriority w:val="9"/>
    <w:semiHidden/>
    <w:unhideWhenUsed/>
    <w:qFormat/>
    <w:rsid w:val="00746C2E"/>
    <w:pPr>
      <w:keepNext/>
      <w:keepLines/>
      <w:numPr>
        <w:ilvl w:val="3"/>
        <w:numId w:val="6"/>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746C2E"/>
    <w:pPr>
      <w:keepNext/>
      <w:keepLines/>
      <w:numPr>
        <w:ilvl w:val="4"/>
        <w:numId w:val="6"/>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746C2E"/>
    <w:pPr>
      <w:keepNext/>
      <w:keepLines/>
      <w:numPr>
        <w:ilvl w:val="5"/>
        <w:numId w:val="6"/>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746C2E"/>
    <w:pPr>
      <w:keepNext/>
      <w:keepLines/>
      <w:numPr>
        <w:ilvl w:val="6"/>
        <w:numId w:val="6"/>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746C2E"/>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46C2E"/>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9143BC"/>
    <w:rPr>
      <w:vertAlign w:val="superscript"/>
    </w:rPr>
  </w:style>
  <w:style w:type="paragraph" w:styleId="BodyText">
    <w:name w:val="Body Text"/>
    <w:basedOn w:val="Normal"/>
    <w:link w:val="BodyTextChar"/>
    <w:rsid w:val="009143BC"/>
    <w:pPr>
      <w:spacing w:before="120" w:after="60" w:line="300" w:lineRule="exact"/>
    </w:pPr>
    <w:rPr>
      <w:rFonts w:ascii="Times New Roman" w:eastAsia="Times New Roman" w:hAnsi="Times New Roman" w:cs="Arial"/>
      <w:szCs w:val="24"/>
      <w:lang w:eastAsia="en-AU"/>
    </w:rPr>
  </w:style>
  <w:style w:type="character" w:customStyle="1" w:styleId="BodyTextChar">
    <w:name w:val="Body Text Char"/>
    <w:basedOn w:val="DefaultParagraphFont"/>
    <w:link w:val="BodyText"/>
    <w:rsid w:val="009143BC"/>
    <w:rPr>
      <w:rFonts w:ascii="Times New Roman" w:eastAsia="Times New Roman" w:hAnsi="Times New Roman" w:cs="Arial"/>
      <w:sz w:val="24"/>
      <w:szCs w:val="24"/>
      <w:lang w:eastAsia="en-AU"/>
    </w:rPr>
  </w:style>
  <w:style w:type="character" w:styleId="Hyperlink">
    <w:name w:val="Hyperlink"/>
    <w:basedOn w:val="DefaultParagraphFont"/>
    <w:uiPriority w:val="99"/>
    <w:unhideWhenUsed/>
    <w:rsid w:val="009143BC"/>
    <w:rPr>
      <w:color w:val="0563C1" w:themeColor="hyperlink"/>
      <w:u w:val="single"/>
    </w:rPr>
  </w:style>
  <w:style w:type="paragraph" w:customStyle="1" w:styleId="App-Head1">
    <w:name w:val="App - Head 1"/>
    <w:basedOn w:val="Heading1"/>
    <w:next w:val="BodyText"/>
    <w:rsid w:val="009143BC"/>
    <w:pPr>
      <w:keepLines w:val="0"/>
      <w:spacing w:before="0" w:after="240" w:line="240" w:lineRule="auto"/>
    </w:pPr>
    <w:rPr>
      <w:rFonts w:ascii="Times New Roman" w:eastAsia="Times New Roman" w:hAnsi="Times New Roman" w:cs="Arial"/>
      <w:b w:val="0"/>
      <w:bCs/>
      <w:caps/>
      <w:smallCaps/>
      <w:color w:val="008080"/>
      <w:sz w:val="44"/>
      <w:lang w:eastAsia="en-AU"/>
    </w:rPr>
  </w:style>
  <w:style w:type="paragraph" w:styleId="ListBullet">
    <w:name w:val="List Bullet"/>
    <w:basedOn w:val="BodyText"/>
    <w:rsid w:val="009143BC"/>
    <w:pPr>
      <w:numPr>
        <w:numId w:val="1"/>
      </w:numPr>
      <w:tabs>
        <w:tab w:val="clear" w:pos="900"/>
        <w:tab w:val="num" w:pos="360"/>
      </w:tabs>
      <w:ind w:left="720"/>
    </w:pPr>
  </w:style>
  <w:style w:type="character" w:styleId="Strong">
    <w:name w:val="Strong"/>
    <w:basedOn w:val="DefaultParagraphFont"/>
    <w:qFormat/>
    <w:rsid w:val="009143BC"/>
    <w:rPr>
      <w:rFonts w:ascii="Times New Roman" w:hAnsi="Times New Roman"/>
      <w:b/>
      <w:bCs/>
    </w:rPr>
  </w:style>
  <w:style w:type="character" w:styleId="Emphasis">
    <w:name w:val="Emphasis"/>
    <w:basedOn w:val="DefaultParagraphFont"/>
    <w:uiPriority w:val="20"/>
    <w:qFormat/>
    <w:rsid w:val="009143BC"/>
    <w:rPr>
      <w:rFonts w:ascii="Times New Roman" w:hAnsi="Times New Roman"/>
      <w:i/>
      <w:iCs/>
    </w:rPr>
  </w:style>
  <w:style w:type="paragraph" w:customStyle="1" w:styleId="ListAlpha">
    <w:name w:val="List Alpha"/>
    <w:basedOn w:val="ListNumber"/>
    <w:uiPriority w:val="99"/>
    <w:qFormat/>
    <w:rsid w:val="009143BC"/>
    <w:pPr>
      <w:spacing w:before="120" w:after="60" w:line="300" w:lineRule="exact"/>
      <w:contextualSpacing w:val="0"/>
    </w:pPr>
    <w:rPr>
      <w:rFonts w:ascii="Times New Roman" w:eastAsia="Times New Roman" w:hAnsi="Times New Roman" w:cs="Arial"/>
      <w:szCs w:val="24"/>
      <w:lang w:eastAsia="en-AU"/>
    </w:rPr>
  </w:style>
  <w:style w:type="paragraph" w:customStyle="1" w:styleId="App-Head3">
    <w:name w:val="App - Head 3"/>
    <w:basedOn w:val="Normal"/>
    <w:next w:val="BodyText"/>
    <w:uiPriority w:val="99"/>
    <w:rsid w:val="009143BC"/>
    <w:pPr>
      <w:keepNext/>
      <w:spacing w:before="240" w:after="240" w:line="240" w:lineRule="auto"/>
      <w:outlineLvl w:val="2"/>
    </w:pPr>
    <w:rPr>
      <w:rFonts w:ascii="Times New Roman" w:eastAsia="Times New Roman" w:hAnsi="Times New Roman" w:cs="Arial"/>
      <w:b/>
      <w:sz w:val="28"/>
      <w:szCs w:val="20"/>
      <w:lang w:eastAsia="en-AU"/>
    </w:rPr>
  </w:style>
  <w:style w:type="paragraph" w:customStyle="1" w:styleId="App-Head4">
    <w:name w:val="App - Head 4"/>
    <w:basedOn w:val="App-Head3"/>
    <w:next w:val="BodyText"/>
    <w:uiPriority w:val="99"/>
    <w:rsid w:val="009143BC"/>
    <w:pPr>
      <w:spacing w:after="120"/>
      <w:outlineLvl w:val="3"/>
    </w:pPr>
    <w:rPr>
      <w:i/>
    </w:rPr>
  </w:style>
  <w:style w:type="paragraph" w:customStyle="1" w:styleId="App-Head5">
    <w:name w:val="App - Head 5"/>
    <w:basedOn w:val="App-Head4"/>
    <w:next w:val="BodyText"/>
    <w:uiPriority w:val="99"/>
    <w:rsid w:val="009143BC"/>
    <w:rPr>
      <w:i w:val="0"/>
      <w:sz w:val="24"/>
    </w:rPr>
  </w:style>
  <w:style w:type="paragraph" w:customStyle="1" w:styleId="Quotelevel">
    <w:name w:val="Quote level"/>
    <w:basedOn w:val="BodyText"/>
    <w:next w:val="BodyText2"/>
    <w:uiPriority w:val="99"/>
    <w:rsid w:val="009143BC"/>
    <w:pPr>
      <w:spacing w:after="120"/>
      <w:ind w:left="720"/>
    </w:pPr>
  </w:style>
  <w:style w:type="paragraph" w:customStyle="1" w:styleId="AppJ-Head2">
    <w:name w:val="App J - Head 2"/>
    <w:basedOn w:val="Normal"/>
    <w:next w:val="BodyText"/>
    <w:rsid w:val="009143BC"/>
    <w:pPr>
      <w:keepNext/>
      <w:spacing w:before="240" w:after="240" w:line="240" w:lineRule="auto"/>
      <w:outlineLvl w:val="1"/>
    </w:pPr>
    <w:rPr>
      <w:rFonts w:ascii="Times New Roman" w:eastAsia="Times New Roman" w:hAnsi="Times New Roman" w:cs="Arial"/>
      <w:b/>
      <w:smallCaps/>
      <w:sz w:val="28"/>
      <w:szCs w:val="20"/>
      <w:lang w:eastAsia="en-AU"/>
    </w:rPr>
  </w:style>
  <w:style w:type="character" w:customStyle="1" w:styleId="Heading1Char">
    <w:name w:val="Heading 1 Char"/>
    <w:basedOn w:val="DefaultParagraphFont"/>
    <w:link w:val="Heading1"/>
    <w:uiPriority w:val="9"/>
    <w:rsid w:val="00376EBA"/>
    <w:rPr>
      <w:rFonts w:ascii="Garamond" w:eastAsiaTheme="majorEastAsia" w:hAnsi="Garamond" w:cstheme="majorBidi"/>
      <w:b/>
      <w:color w:val="2E74B5" w:themeColor="accent1" w:themeShade="BF"/>
      <w:sz w:val="32"/>
      <w:szCs w:val="32"/>
    </w:rPr>
  </w:style>
  <w:style w:type="paragraph" w:styleId="ListNumber">
    <w:name w:val="List Number"/>
    <w:basedOn w:val="Normal"/>
    <w:uiPriority w:val="99"/>
    <w:semiHidden/>
    <w:unhideWhenUsed/>
    <w:rsid w:val="009143BC"/>
    <w:pPr>
      <w:ind w:left="720" w:hanging="360"/>
      <w:contextualSpacing/>
    </w:pPr>
  </w:style>
  <w:style w:type="paragraph" w:styleId="BodyText2">
    <w:name w:val="Body Text 2"/>
    <w:basedOn w:val="Normal"/>
    <w:link w:val="BodyText2Char"/>
    <w:uiPriority w:val="99"/>
    <w:semiHidden/>
    <w:unhideWhenUsed/>
    <w:rsid w:val="009143BC"/>
    <w:pPr>
      <w:spacing w:after="120" w:line="480" w:lineRule="auto"/>
    </w:pPr>
  </w:style>
  <w:style w:type="character" w:customStyle="1" w:styleId="BodyText2Char">
    <w:name w:val="Body Text 2 Char"/>
    <w:basedOn w:val="DefaultParagraphFont"/>
    <w:link w:val="BodyText2"/>
    <w:uiPriority w:val="99"/>
    <w:semiHidden/>
    <w:rsid w:val="009143BC"/>
  </w:style>
  <w:style w:type="character" w:customStyle="1" w:styleId="Heading2Char">
    <w:name w:val="Heading 2 Char"/>
    <w:basedOn w:val="DefaultParagraphFont"/>
    <w:link w:val="Heading2"/>
    <w:uiPriority w:val="9"/>
    <w:rsid w:val="0071303F"/>
    <w:rPr>
      <w:rFonts w:ascii="Garamond" w:eastAsiaTheme="majorEastAsia" w:hAnsi="Garamond" w:cstheme="majorBidi"/>
      <w:b/>
      <w:color w:val="0070C0"/>
      <w:sz w:val="28"/>
      <w:szCs w:val="28"/>
    </w:rPr>
  </w:style>
  <w:style w:type="character" w:customStyle="1" w:styleId="Heading3Char">
    <w:name w:val="Heading 3 Char"/>
    <w:basedOn w:val="DefaultParagraphFont"/>
    <w:link w:val="Heading3"/>
    <w:uiPriority w:val="9"/>
    <w:rsid w:val="00C601E0"/>
    <w:rPr>
      <w:rFonts w:ascii="Garamond" w:eastAsiaTheme="majorEastAsia" w:hAnsi="Garamond" w:cstheme="majorBidi"/>
      <w:b/>
      <w:color w:val="0070C0"/>
      <w:sz w:val="24"/>
      <w:szCs w:val="24"/>
    </w:rPr>
  </w:style>
  <w:style w:type="character" w:customStyle="1" w:styleId="Heading4Char">
    <w:name w:val="Heading 4 Char"/>
    <w:basedOn w:val="DefaultParagraphFont"/>
    <w:link w:val="Heading4"/>
    <w:uiPriority w:val="9"/>
    <w:semiHidden/>
    <w:rsid w:val="00746C2E"/>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746C2E"/>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746C2E"/>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746C2E"/>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746C2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46C2E"/>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rsid w:val="00A53793"/>
    <w:pPr>
      <w:spacing w:after="0" w:line="240" w:lineRule="auto"/>
      <w:contextualSpacing/>
    </w:pPr>
    <w:rPr>
      <w:rFonts w:asciiTheme="majorHAnsi" w:eastAsiaTheme="majorEastAsia" w:hAnsiTheme="majorHAnsi" w:cstheme="majorBidi"/>
      <w:spacing w:val="-10"/>
      <w:kern w:val="28"/>
      <w:sz w:val="40"/>
      <w:szCs w:val="56"/>
    </w:rPr>
  </w:style>
  <w:style w:type="character" w:customStyle="1" w:styleId="TitleChar">
    <w:name w:val="Title Char"/>
    <w:basedOn w:val="DefaultParagraphFont"/>
    <w:link w:val="Title"/>
    <w:uiPriority w:val="10"/>
    <w:rsid w:val="00A53793"/>
    <w:rPr>
      <w:rFonts w:asciiTheme="majorHAnsi" w:eastAsiaTheme="majorEastAsia" w:hAnsiTheme="majorHAnsi" w:cstheme="majorBidi"/>
      <w:spacing w:val="-10"/>
      <w:kern w:val="28"/>
      <w:sz w:val="40"/>
      <w:szCs w:val="56"/>
    </w:rPr>
  </w:style>
  <w:style w:type="paragraph" w:styleId="Header">
    <w:name w:val="header"/>
    <w:basedOn w:val="Normal"/>
    <w:link w:val="HeaderChar"/>
    <w:uiPriority w:val="99"/>
    <w:unhideWhenUsed/>
    <w:rsid w:val="00A537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3793"/>
  </w:style>
  <w:style w:type="paragraph" w:styleId="Footer">
    <w:name w:val="footer"/>
    <w:basedOn w:val="Normal"/>
    <w:link w:val="FooterChar"/>
    <w:uiPriority w:val="99"/>
    <w:unhideWhenUsed/>
    <w:rsid w:val="00A537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3793"/>
  </w:style>
  <w:style w:type="paragraph" w:styleId="TOCHeading">
    <w:name w:val="TOC Heading"/>
    <w:basedOn w:val="Heading1"/>
    <w:next w:val="Normal"/>
    <w:uiPriority w:val="39"/>
    <w:unhideWhenUsed/>
    <w:qFormat/>
    <w:rsid w:val="00BF1F0D"/>
    <w:pPr>
      <w:numPr>
        <w:numId w:val="0"/>
      </w:numPr>
      <w:outlineLvl w:val="9"/>
    </w:pPr>
    <w:rPr>
      <w:color w:val="4472C4" w:themeColor="accent5"/>
    </w:rPr>
  </w:style>
  <w:style w:type="paragraph" w:styleId="TOC1">
    <w:name w:val="toc 1"/>
    <w:basedOn w:val="Normal"/>
    <w:next w:val="Normal"/>
    <w:autoRedefine/>
    <w:uiPriority w:val="39"/>
    <w:unhideWhenUsed/>
    <w:rsid w:val="00A82FED"/>
    <w:pPr>
      <w:tabs>
        <w:tab w:val="left" w:pos="440"/>
        <w:tab w:val="right" w:leader="dot" w:pos="9350"/>
      </w:tabs>
      <w:spacing w:after="100"/>
      <w:ind w:left="450" w:hanging="450"/>
    </w:pPr>
  </w:style>
  <w:style w:type="paragraph" w:styleId="TOC3">
    <w:name w:val="toc 3"/>
    <w:basedOn w:val="Normal"/>
    <w:next w:val="Normal"/>
    <w:autoRedefine/>
    <w:uiPriority w:val="39"/>
    <w:unhideWhenUsed/>
    <w:rsid w:val="008829B1"/>
    <w:pPr>
      <w:spacing w:after="100"/>
      <w:ind w:left="440"/>
    </w:pPr>
  </w:style>
  <w:style w:type="paragraph" w:styleId="BalloonText">
    <w:name w:val="Balloon Text"/>
    <w:basedOn w:val="Normal"/>
    <w:link w:val="BalloonTextChar"/>
    <w:uiPriority w:val="99"/>
    <w:semiHidden/>
    <w:unhideWhenUsed/>
    <w:rsid w:val="008829B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29B1"/>
    <w:rPr>
      <w:rFonts w:ascii="Segoe UI" w:hAnsi="Segoe UI" w:cs="Segoe UI"/>
      <w:sz w:val="18"/>
      <w:szCs w:val="18"/>
    </w:rPr>
  </w:style>
  <w:style w:type="paragraph" w:styleId="TOC2">
    <w:name w:val="toc 2"/>
    <w:basedOn w:val="Normal"/>
    <w:next w:val="Normal"/>
    <w:autoRedefine/>
    <w:uiPriority w:val="39"/>
    <w:unhideWhenUsed/>
    <w:rsid w:val="00CE5CBD"/>
    <w:pPr>
      <w:spacing w:after="100"/>
      <w:ind w:left="220"/>
    </w:pPr>
  </w:style>
  <w:style w:type="paragraph" w:styleId="Subtitle">
    <w:name w:val="Subtitle"/>
    <w:basedOn w:val="Normal"/>
    <w:next w:val="Normal"/>
    <w:link w:val="SubtitleChar"/>
    <w:uiPriority w:val="11"/>
    <w:qFormat/>
    <w:rsid w:val="000A4734"/>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0A4734"/>
    <w:rPr>
      <w:rFonts w:eastAsiaTheme="minorEastAsia"/>
      <w:color w:val="5A5A5A" w:themeColor="text1" w:themeTint="A5"/>
      <w:spacing w:val="15"/>
    </w:rPr>
  </w:style>
  <w:style w:type="character" w:styleId="CommentReference">
    <w:name w:val="annotation reference"/>
    <w:basedOn w:val="DefaultParagraphFont"/>
    <w:uiPriority w:val="99"/>
    <w:semiHidden/>
    <w:unhideWhenUsed/>
    <w:rsid w:val="00977B6D"/>
    <w:rPr>
      <w:sz w:val="16"/>
      <w:szCs w:val="16"/>
    </w:rPr>
  </w:style>
  <w:style w:type="paragraph" w:styleId="CommentText">
    <w:name w:val="annotation text"/>
    <w:basedOn w:val="Normal"/>
    <w:link w:val="CommentTextChar"/>
    <w:uiPriority w:val="99"/>
    <w:unhideWhenUsed/>
    <w:rsid w:val="00977B6D"/>
    <w:pPr>
      <w:spacing w:line="240" w:lineRule="auto"/>
    </w:pPr>
    <w:rPr>
      <w:sz w:val="20"/>
      <w:szCs w:val="20"/>
    </w:rPr>
  </w:style>
  <w:style w:type="character" w:customStyle="1" w:styleId="CommentTextChar">
    <w:name w:val="Comment Text Char"/>
    <w:basedOn w:val="DefaultParagraphFont"/>
    <w:link w:val="CommentText"/>
    <w:uiPriority w:val="99"/>
    <w:rsid w:val="00977B6D"/>
    <w:rPr>
      <w:sz w:val="20"/>
      <w:szCs w:val="20"/>
    </w:rPr>
  </w:style>
  <w:style w:type="paragraph" w:styleId="CommentSubject">
    <w:name w:val="annotation subject"/>
    <w:basedOn w:val="CommentText"/>
    <w:next w:val="CommentText"/>
    <w:link w:val="CommentSubjectChar"/>
    <w:uiPriority w:val="99"/>
    <w:semiHidden/>
    <w:unhideWhenUsed/>
    <w:rsid w:val="00977B6D"/>
    <w:rPr>
      <w:b/>
      <w:bCs/>
    </w:rPr>
  </w:style>
  <w:style w:type="character" w:customStyle="1" w:styleId="CommentSubjectChar">
    <w:name w:val="Comment Subject Char"/>
    <w:basedOn w:val="CommentTextChar"/>
    <w:link w:val="CommentSubject"/>
    <w:uiPriority w:val="99"/>
    <w:semiHidden/>
    <w:rsid w:val="00977B6D"/>
    <w:rPr>
      <w:b/>
      <w:bCs/>
      <w:sz w:val="20"/>
      <w:szCs w:val="20"/>
    </w:rPr>
  </w:style>
  <w:style w:type="paragraph" w:styleId="ListParagraph">
    <w:name w:val="List Paragraph"/>
    <w:basedOn w:val="Normal"/>
    <w:uiPriority w:val="34"/>
    <w:qFormat/>
    <w:rsid w:val="00D6539D"/>
    <w:pPr>
      <w:ind w:left="720"/>
      <w:contextualSpacing/>
    </w:pPr>
  </w:style>
  <w:style w:type="character" w:styleId="FollowedHyperlink">
    <w:name w:val="FollowedHyperlink"/>
    <w:basedOn w:val="DefaultParagraphFont"/>
    <w:uiPriority w:val="99"/>
    <w:semiHidden/>
    <w:unhideWhenUsed/>
    <w:rsid w:val="00A339DA"/>
    <w:rPr>
      <w:color w:val="954F72" w:themeColor="followedHyperlink"/>
      <w:u w:val="single"/>
    </w:rPr>
  </w:style>
  <w:style w:type="paragraph" w:styleId="Caption">
    <w:name w:val="caption"/>
    <w:basedOn w:val="Normal"/>
    <w:next w:val="Normal"/>
    <w:uiPriority w:val="35"/>
    <w:unhideWhenUsed/>
    <w:qFormat/>
    <w:rsid w:val="00493225"/>
    <w:pPr>
      <w:spacing w:after="200" w:line="240" w:lineRule="auto"/>
      <w:jc w:val="center"/>
    </w:pPr>
    <w:rPr>
      <w:iCs/>
      <w:szCs w:val="18"/>
    </w:rPr>
  </w:style>
  <w:style w:type="paragraph" w:styleId="FootnoteText">
    <w:name w:val="footnote text"/>
    <w:basedOn w:val="Normal"/>
    <w:link w:val="FootnoteTextChar"/>
    <w:uiPriority w:val="99"/>
    <w:semiHidden/>
    <w:unhideWhenUsed/>
    <w:rsid w:val="00C9504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9504F"/>
    <w:rPr>
      <w:rFonts w:ascii="Garamond" w:hAnsi="Garamond"/>
      <w:sz w:val="20"/>
      <w:szCs w:val="20"/>
    </w:rPr>
  </w:style>
  <w:style w:type="paragraph" w:styleId="TableofFigures">
    <w:name w:val="table of figures"/>
    <w:basedOn w:val="Normal"/>
    <w:next w:val="Normal"/>
    <w:uiPriority w:val="99"/>
    <w:unhideWhenUsed/>
    <w:rsid w:val="00BF1F0D"/>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0518949">
      <w:bodyDiv w:val="1"/>
      <w:marLeft w:val="0"/>
      <w:marRight w:val="0"/>
      <w:marTop w:val="0"/>
      <w:marBottom w:val="0"/>
      <w:divBdr>
        <w:top w:val="none" w:sz="0" w:space="0" w:color="auto"/>
        <w:left w:val="none" w:sz="0" w:space="0" w:color="auto"/>
        <w:bottom w:val="none" w:sz="0" w:space="0" w:color="auto"/>
        <w:right w:val="none" w:sz="0" w:space="0" w:color="auto"/>
      </w:divBdr>
    </w:div>
    <w:div w:id="1410424286">
      <w:bodyDiv w:val="1"/>
      <w:marLeft w:val="0"/>
      <w:marRight w:val="0"/>
      <w:marTop w:val="0"/>
      <w:marBottom w:val="0"/>
      <w:divBdr>
        <w:top w:val="none" w:sz="0" w:space="0" w:color="auto"/>
        <w:left w:val="none" w:sz="0" w:space="0" w:color="auto"/>
        <w:bottom w:val="none" w:sz="0" w:space="0" w:color="auto"/>
        <w:right w:val="none" w:sz="0" w:space="0" w:color="auto"/>
      </w:divBdr>
    </w:div>
    <w:div w:id="1957515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hyperlink" Target="http://water.epa.gov/type/watersheds/monitoring/upload/2003_07_02_monitoring_calm_calm_contents.pdf"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pubs.usgs.gov/gip/microbes/intro.html" TargetMode="External"/><Relationship Id="rId2" Type="http://schemas.openxmlformats.org/officeDocument/2006/relationships/numbering" Target="numbering.xml"/><Relationship Id="rId16" Type="http://schemas.openxmlformats.org/officeDocument/2006/relationships/hyperlink" Target="http://response.restoration.noaa.gov/sites/default/files/SQuiRTs.pdf"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ater.epa.gov/scitech/swguidance/standards/criteria/current/index.cfm" TargetMode="External"/><Relationship Id="rId10" Type="http://schemas.openxmlformats.org/officeDocument/2006/relationships/footer" Target="footer1.xml"/><Relationship Id="rId19" Type="http://schemas.openxmlformats.org/officeDocument/2006/relationships/hyperlink" Target="http://www.michigan.gov/documents/deq/wrd-enbridge-residual-oil-10_464696_7.pdf"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dec.alaska.gov/water/wqsar/wqs/pdfs/Alaska%20Water%20Quality%20Criteria%20Manual%20for%20Toxic%20and%20Other%20Deleterious%20Organic%20and%20Inorganic%20Substances.pdf"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7F94AF-7ADE-433F-A72C-03D65A2964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6625</Words>
  <Characters>37766</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
    </vt:vector>
  </TitlesOfParts>
  <Company>DEC</Company>
  <LinksUpToDate>false</LinksUpToDate>
  <CharactersWithSpaces>44303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Grant, Drew</dc:creator>
  <cp:keywords/>
  <dc:description/>
  <cp:lastModifiedBy>Travis, Natalie</cp:lastModifiedBy>
  <cp:revision>2</cp:revision>
  <cp:lastPrinted>2015-07-10T22:10:00Z</cp:lastPrinted>
  <dcterms:created xsi:type="dcterms:W3CDTF">2018-09-07T22:41:00Z</dcterms:created>
  <dcterms:modified xsi:type="dcterms:W3CDTF">2018-09-07T22:41:00Z</dcterms:modified>
</cp:coreProperties>
</file>