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712B" w:rsidRDefault="00F0712B"/>
    <w:tbl>
      <w:tblPr>
        <w:tblW w:w="10440" w:type="dxa"/>
        <w:jc w:val="center"/>
        <w:tblInd w:w="216" w:type="dxa"/>
        <w:tblCellMar>
          <w:left w:w="0" w:type="dxa"/>
          <w:right w:w="0" w:type="dxa"/>
        </w:tblCellMar>
        <w:tblLook w:val="0000"/>
      </w:tblPr>
      <w:tblGrid>
        <w:gridCol w:w="10440"/>
      </w:tblGrid>
      <w:tr w:rsidR="00F0712B" w:rsidRPr="00F0712B" w:rsidTr="00211511">
        <w:trPr>
          <w:trHeight w:val="422"/>
          <w:jc w:val="center"/>
        </w:trPr>
        <w:tc>
          <w:tcPr>
            <w:tcW w:w="10440" w:type="dxa"/>
            <w:shd w:val="clear" w:color="auto" w:fill="auto"/>
            <w:tcMar>
              <w:left w:w="216" w:type="dxa"/>
            </w:tcMar>
            <w:vAlign w:val="center"/>
          </w:tcPr>
          <w:p w:rsidR="00F0712B" w:rsidRDefault="00F0712B" w:rsidP="00211511">
            <w:pPr>
              <w:pStyle w:val="CompanyPhoneNumber"/>
              <w:rPr>
                <w:rStyle w:val="CompanyNameCharChar"/>
                <w:sz w:val="20"/>
                <w:szCs w:val="20"/>
              </w:rPr>
            </w:pPr>
          </w:p>
          <w:p w:rsidR="00F0712B" w:rsidRPr="005C11C8" w:rsidRDefault="00F0712B" w:rsidP="00211511">
            <w:pPr>
              <w:pStyle w:val="CompanyPhoneNumber"/>
              <w:rPr>
                <w:rStyle w:val="CompanyNameCharChar"/>
                <w:b w:val="0"/>
                <w:sz w:val="22"/>
                <w:szCs w:val="22"/>
              </w:rPr>
            </w:pPr>
            <w:r w:rsidRPr="005C11C8">
              <w:rPr>
                <w:rStyle w:val="CompanyNameCharChar"/>
                <w:b w:val="0"/>
                <w:sz w:val="22"/>
                <w:szCs w:val="22"/>
              </w:rPr>
              <w:t>State of Alaska, Department of Environmental Conservation</w:t>
            </w:r>
          </w:p>
          <w:p w:rsidR="00F0712B" w:rsidRPr="00F0712B" w:rsidRDefault="00F0712B" w:rsidP="00F0712B">
            <w:pPr>
              <w:pStyle w:val="CompanyPhoneNumber"/>
              <w:rPr>
                <w:rFonts w:cs="Arial"/>
                <w:bCs/>
                <w:spacing w:val="0"/>
                <w:kern w:val="32"/>
                <w:sz w:val="40"/>
                <w:szCs w:val="40"/>
              </w:rPr>
            </w:pPr>
            <w:r w:rsidRPr="005C11C8">
              <w:rPr>
                <w:rStyle w:val="CompanyNameCharChar"/>
                <w:b w:val="0"/>
                <w:sz w:val="22"/>
                <w:szCs w:val="22"/>
              </w:rPr>
              <w:t>Division of Environmental Health, Drinking Water Program</w:t>
            </w:r>
          </w:p>
        </w:tc>
      </w:tr>
    </w:tbl>
    <w:p w:rsidR="00F0712B" w:rsidRDefault="00F0712B"/>
    <w:tbl>
      <w:tblPr>
        <w:tblW w:w="10620" w:type="dxa"/>
        <w:jc w:val="center"/>
        <w:tblCellMar>
          <w:left w:w="0" w:type="dxa"/>
          <w:right w:w="0" w:type="dxa"/>
        </w:tblCellMar>
        <w:tblLook w:val="0000"/>
      </w:tblPr>
      <w:tblGrid>
        <w:gridCol w:w="2609"/>
        <w:gridCol w:w="3871"/>
        <w:gridCol w:w="4140"/>
      </w:tblGrid>
      <w:tr w:rsidR="001A383B" w:rsidTr="00E07DA9">
        <w:trPr>
          <w:trHeight w:val="1080"/>
          <w:jc w:val="center"/>
        </w:trPr>
        <w:tc>
          <w:tcPr>
            <w:tcW w:w="10620" w:type="dxa"/>
            <w:gridSpan w:val="3"/>
            <w:tcBorders>
              <w:bottom w:val="single" w:sz="4" w:space="0" w:color="008080"/>
            </w:tcBorders>
            <w:shd w:val="clear" w:color="auto" w:fill="auto"/>
          </w:tcPr>
          <w:p w:rsidR="00D539EC" w:rsidRPr="00D539EC" w:rsidRDefault="00727972" w:rsidP="00D539EC">
            <w:pPr>
              <w:pStyle w:val="Heading1"/>
              <w:rPr>
                <w:sz w:val="40"/>
                <w:szCs w:val="40"/>
              </w:rPr>
            </w:pPr>
            <w:r>
              <w:rPr>
                <w:noProof/>
                <w:sz w:val="40"/>
                <w:szCs w:val="40"/>
              </w:rPr>
              <w:pict>
                <v:group id="_x0000_s1210" style="position:absolute;left:0;text-align:left;margin-left:459.15pt;margin-top:2.65pt;width:16.55pt;height:65.9pt;rotation:-90;flip:x;z-index:251683840;mso-position-horizontal-relative:page;mso-position-vertical-relative:page" coordorigin="1499,1727" coordsize="420,1670">
                  <v:oval id="_x0000_s1211" style="position:absolute;left:1499;top:2977;width:420;height:420" fillcolor="teal" stroked="f"/>
                  <v:oval id="_x0000_s1212" style="position:absolute;left:1499;top:2352;width:420;height:420" fillcolor="teal" stroked="f">
                    <v:fill opacity=".5"/>
                  </v:oval>
                  <v:oval id="_x0000_s1213" style="position:absolute;left:1499;top:1727;width:420;height:420" fillcolor="teal" stroked="f">
                    <v:fill opacity=".25"/>
                  </v:oval>
                  <w10:wrap anchorx="page" anchory="page"/>
                </v:group>
              </w:pict>
            </w:r>
            <w:r w:rsidR="00D539EC">
              <w:rPr>
                <w:sz w:val="40"/>
                <w:szCs w:val="40"/>
              </w:rPr>
              <w:t>Alaska’s Capacity Development Strategy</w:t>
            </w:r>
          </w:p>
          <w:p w:rsidR="00D539EC" w:rsidRPr="00D539EC" w:rsidRDefault="00D539EC" w:rsidP="00241499"/>
        </w:tc>
      </w:tr>
      <w:tr w:rsidR="001A383B" w:rsidTr="00E07DA9">
        <w:trPr>
          <w:trHeight w:val="422"/>
          <w:jc w:val="center"/>
        </w:trPr>
        <w:tc>
          <w:tcPr>
            <w:tcW w:w="6480" w:type="dxa"/>
            <w:gridSpan w:val="2"/>
            <w:tcBorders>
              <w:top w:val="single" w:sz="4" w:space="0" w:color="008080"/>
            </w:tcBorders>
            <w:shd w:val="clear" w:color="auto" w:fill="auto"/>
            <w:tcMar>
              <w:left w:w="216" w:type="dxa"/>
            </w:tcMar>
            <w:vAlign w:val="center"/>
          </w:tcPr>
          <w:p w:rsidR="00241499" w:rsidRDefault="00241499" w:rsidP="004F7152">
            <w:pPr>
              <w:pStyle w:val="CompanyPhoneNumber"/>
              <w:rPr>
                <w:rStyle w:val="CompanyNameCharChar"/>
                <w:sz w:val="20"/>
                <w:szCs w:val="20"/>
              </w:rPr>
            </w:pPr>
          </w:p>
          <w:p w:rsidR="00D539EC" w:rsidRPr="00D539EC" w:rsidRDefault="00F0712B" w:rsidP="004F7152">
            <w:pPr>
              <w:pStyle w:val="CompanyPhoneNumber"/>
              <w:rPr>
                <w:sz w:val="20"/>
                <w:szCs w:val="20"/>
              </w:rPr>
            </w:pPr>
            <w:r>
              <w:rPr>
                <w:rStyle w:val="CompanyNameCharChar"/>
                <w:sz w:val="20"/>
                <w:szCs w:val="20"/>
              </w:rPr>
              <w:t>Improving the Technical, Managerial</w:t>
            </w:r>
            <w:r w:rsidR="00F03F06">
              <w:rPr>
                <w:rStyle w:val="CompanyNameCharChar"/>
                <w:sz w:val="20"/>
                <w:szCs w:val="20"/>
              </w:rPr>
              <w:t>,</w:t>
            </w:r>
            <w:r>
              <w:rPr>
                <w:rStyle w:val="CompanyNameCharChar"/>
                <w:sz w:val="20"/>
                <w:szCs w:val="20"/>
              </w:rPr>
              <w:t xml:space="preserve"> and Financial Capacity of Alaska Public Water Systems.</w:t>
            </w:r>
          </w:p>
          <w:p w:rsidR="00D539EC" w:rsidRDefault="00D539EC" w:rsidP="004F7152">
            <w:pPr>
              <w:pStyle w:val="CompanyPhoneNumber"/>
            </w:pPr>
          </w:p>
        </w:tc>
        <w:tc>
          <w:tcPr>
            <w:tcW w:w="4140" w:type="dxa"/>
            <w:tcBorders>
              <w:top w:val="single" w:sz="4" w:space="0" w:color="008080"/>
            </w:tcBorders>
            <w:shd w:val="clear" w:color="auto" w:fill="auto"/>
            <w:tcMar>
              <w:right w:w="288" w:type="dxa"/>
            </w:tcMar>
            <w:vAlign w:val="center"/>
          </w:tcPr>
          <w:p w:rsidR="001A383B" w:rsidRPr="00F0712B" w:rsidRDefault="00D539EC" w:rsidP="000D0F42">
            <w:pPr>
              <w:pStyle w:val="VolumeDate"/>
              <w:rPr>
                <w:rFonts w:cs="Arial"/>
                <w:bCs/>
                <w:spacing w:val="0"/>
                <w:kern w:val="32"/>
                <w:sz w:val="40"/>
                <w:szCs w:val="40"/>
              </w:rPr>
            </w:pPr>
            <w:r w:rsidRPr="00F0712B">
              <w:rPr>
                <w:rFonts w:cs="Arial"/>
                <w:bCs/>
                <w:spacing w:val="0"/>
                <w:kern w:val="32"/>
                <w:sz w:val="40"/>
                <w:szCs w:val="40"/>
              </w:rPr>
              <w:t>20</w:t>
            </w:r>
            <w:r w:rsidR="000D0F42">
              <w:rPr>
                <w:rFonts w:cs="Arial"/>
                <w:bCs/>
                <w:spacing w:val="0"/>
                <w:kern w:val="32"/>
                <w:sz w:val="40"/>
                <w:szCs w:val="40"/>
              </w:rPr>
              <w:t>11</w:t>
            </w:r>
          </w:p>
        </w:tc>
      </w:tr>
      <w:tr w:rsidR="00667B70" w:rsidTr="009C0DC4">
        <w:trPr>
          <w:trHeight w:val="1422"/>
          <w:jc w:val="center"/>
        </w:trPr>
        <w:tc>
          <w:tcPr>
            <w:tcW w:w="2609" w:type="dxa"/>
            <w:vMerge w:val="restart"/>
            <w:shd w:val="clear" w:color="auto" w:fill="auto"/>
          </w:tcPr>
          <w:p w:rsidR="00667B70" w:rsidRDefault="00727972" w:rsidP="00667B70">
            <w:r>
              <w:rPr>
                <w:noProof/>
              </w:rPr>
              <w:pict>
                <v:shapetype id="_x0000_t202" coordsize="21600,21600" o:spt="202" path="m,l,21600r21600,l21600,xe">
                  <v:stroke joinstyle="miter"/>
                  <v:path gradientshapeok="t" o:connecttype="rect"/>
                </v:shapetype>
                <v:shape id="_x0000_s1122" type="#_x0000_t202" style="position:absolute;margin-left:3.75pt;margin-top:1.45pt;width:121.3pt;height:546.75pt;z-index:251658240;mso-position-horizontal-relative:page;mso-position-vertical-relative:page" fillcolor="#c5e9e3" stroked="f">
                  <v:fill opacity="19661f" color2="fill darken(249)" o:opacity2="19661f" method="linear sigma" focus="100%" type="gradient"/>
                  <v:textbox style="mso-next-textbox:#_x0000_s1122">
                    <w:txbxContent>
                      <w:p w:rsidR="00EC6404" w:rsidRDefault="00EC6404" w:rsidP="00C612CC">
                        <w:pPr>
                          <w:pStyle w:val="LCTBold"/>
                          <w:spacing w:after="0"/>
                        </w:pPr>
                        <w:r>
                          <w:t>2008 - 2011</w:t>
                        </w:r>
                      </w:p>
                      <w:p w:rsidR="00EC6404" w:rsidRPr="00C5631F" w:rsidRDefault="00EC6404" w:rsidP="00C612CC">
                        <w:pPr>
                          <w:pStyle w:val="LCTBold"/>
                        </w:pPr>
                        <w:r>
                          <w:t>Significant Achievements</w:t>
                        </w:r>
                      </w:p>
                      <w:p w:rsidR="00EC6404" w:rsidRDefault="00EC6404" w:rsidP="00C612CC">
                        <w:pPr>
                          <w:pStyle w:val="LeftColumnText"/>
                          <w:suppressOverlap/>
                        </w:pPr>
                        <w:r>
                          <w:t>Updated Capacity Development Strategy</w:t>
                        </w:r>
                      </w:p>
                      <w:p w:rsidR="00EC6404" w:rsidRPr="00C5631F" w:rsidRDefault="00EC6404" w:rsidP="00C612CC">
                        <w:pPr>
                          <w:pStyle w:val="LeftColumnText"/>
                          <w:suppressOverlap/>
                        </w:pPr>
                        <w:r>
                          <w:t>Development and Implementation of a Status Component Inspection Program</w:t>
                        </w:r>
                      </w:p>
                      <w:p w:rsidR="00EC6404" w:rsidRDefault="00EC6404" w:rsidP="00667B70">
                        <w:pPr>
                          <w:pStyle w:val="LCTBold"/>
                          <w:suppressOverlap/>
                        </w:pPr>
                      </w:p>
                      <w:p w:rsidR="00EC6404" w:rsidRDefault="00EC6404" w:rsidP="00667B70">
                        <w:pPr>
                          <w:pStyle w:val="LCTBold"/>
                          <w:suppressOverlap/>
                        </w:pPr>
                      </w:p>
                      <w:p w:rsidR="00EC6404" w:rsidRDefault="00EC6404" w:rsidP="00667B70">
                        <w:pPr>
                          <w:pStyle w:val="LCTBold"/>
                          <w:suppressOverlap/>
                        </w:pPr>
                      </w:p>
                      <w:p w:rsidR="00EC6404" w:rsidRDefault="00EC6404" w:rsidP="00667B70">
                        <w:pPr>
                          <w:pStyle w:val="LCTBold"/>
                          <w:suppressOverlap/>
                        </w:pPr>
                      </w:p>
                      <w:p w:rsidR="00EC6404" w:rsidRDefault="00EC6404" w:rsidP="00667B70">
                        <w:pPr>
                          <w:pStyle w:val="LCTBold"/>
                          <w:suppressOverlap/>
                        </w:pPr>
                      </w:p>
                      <w:p w:rsidR="00EC6404" w:rsidRDefault="00EC6404" w:rsidP="00667B70">
                        <w:pPr>
                          <w:pStyle w:val="LCTBold"/>
                          <w:suppressOverlap/>
                        </w:pPr>
                      </w:p>
                      <w:p w:rsidR="00EC6404" w:rsidRDefault="00EC6404" w:rsidP="00667B70">
                        <w:pPr>
                          <w:pStyle w:val="LCTBold"/>
                          <w:suppressOverlap/>
                        </w:pPr>
                      </w:p>
                      <w:p w:rsidR="00EC6404" w:rsidRDefault="00EC6404" w:rsidP="00667B70">
                        <w:pPr>
                          <w:pStyle w:val="LCTBold"/>
                          <w:suppressOverlap/>
                        </w:pPr>
                      </w:p>
                      <w:p w:rsidR="00EC6404" w:rsidRPr="00C5631F" w:rsidRDefault="00EC6404" w:rsidP="00667B70">
                        <w:pPr>
                          <w:pStyle w:val="LCTBold"/>
                          <w:suppressOverlap/>
                        </w:pPr>
                        <w:r>
                          <w:t>Contents</w:t>
                        </w:r>
                      </w:p>
                      <w:p w:rsidR="00EC6404" w:rsidRPr="00C5631F" w:rsidRDefault="00EC6404" w:rsidP="00667B70">
                        <w:pPr>
                          <w:pStyle w:val="LeftColumnText"/>
                          <w:tabs>
                            <w:tab w:val="left" w:pos="1980"/>
                          </w:tabs>
                          <w:suppressOverlap/>
                        </w:pPr>
                        <w:r>
                          <w:t>Background</w:t>
                        </w:r>
                        <w:r w:rsidRPr="00C5631F">
                          <w:tab/>
                        </w:r>
                        <w:r>
                          <w:t>1</w:t>
                        </w:r>
                      </w:p>
                      <w:p w:rsidR="00EC6404" w:rsidRPr="00C5631F" w:rsidRDefault="00EC6404" w:rsidP="00667B70">
                        <w:pPr>
                          <w:pStyle w:val="LeftColumnText"/>
                          <w:tabs>
                            <w:tab w:val="left" w:pos="1980"/>
                          </w:tabs>
                          <w:suppressOverlap/>
                        </w:pPr>
                        <w:r>
                          <w:t>Strategy Update</w:t>
                        </w:r>
                        <w:r w:rsidRPr="00C5631F">
                          <w:tab/>
                        </w:r>
                        <w:r>
                          <w:t>2</w:t>
                        </w:r>
                      </w:p>
                      <w:p w:rsidR="00EC6404" w:rsidRPr="00C5631F" w:rsidRDefault="00EC6404" w:rsidP="00667B70">
                        <w:pPr>
                          <w:pStyle w:val="LeftColumnText"/>
                          <w:tabs>
                            <w:tab w:val="left" w:pos="1980"/>
                          </w:tabs>
                          <w:suppressOverlap/>
                        </w:pPr>
                        <w:r>
                          <w:t>Strategy Elements</w:t>
                        </w:r>
                        <w:r w:rsidRPr="00C5631F">
                          <w:tab/>
                        </w:r>
                        <w:r>
                          <w:t>2</w:t>
                        </w:r>
                      </w:p>
                      <w:p w:rsidR="00EC6404" w:rsidRDefault="00EC6404" w:rsidP="00667B70">
                        <w:pPr>
                          <w:pStyle w:val="LeftColumnText"/>
                          <w:tabs>
                            <w:tab w:val="left" w:pos="1980"/>
                          </w:tabs>
                          <w:suppressOverlap/>
                        </w:pPr>
                        <w:r>
                          <w:t>Status Component Inspections</w:t>
                        </w:r>
                        <w:r w:rsidRPr="00C5631F">
                          <w:tab/>
                        </w:r>
                        <w:r>
                          <w:t>3</w:t>
                        </w:r>
                      </w:p>
                      <w:p w:rsidR="00EC6404" w:rsidRDefault="00EC6404" w:rsidP="00667B70">
                        <w:pPr>
                          <w:pStyle w:val="LeftColumnText"/>
                          <w:tabs>
                            <w:tab w:val="left" w:pos="1980"/>
                          </w:tabs>
                          <w:suppressOverlap/>
                        </w:pPr>
                        <w:r>
                          <w:t xml:space="preserve">  Kongiganak</w:t>
                        </w:r>
                        <w:r>
                          <w:tab/>
                          <w:t>5</w:t>
                        </w:r>
                      </w:p>
                      <w:p w:rsidR="00EC6404" w:rsidRDefault="00EC6404" w:rsidP="00667B70">
                        <w:pPr>
                          <w:pStyle w:val="LeftColumnText"/>
                          <w:tabs>
                            <w:tab w:val="left" w:pos="1980"/>
                          </w:tabs>
                          <w:suppressOverlap/>
                        </w:pPr>
                        <w:r>
                          <w:t xml:space="preserve">  Noatak</w:t>
                        </w:r>
                        <w:r>
                          <w:tab/>
                          <w:t>6</w:t>
                        </w:r>
                      </w:p>
                      <w:p w:rsidR="00EC6404" w:rsidRDefault="00EC6404" w:rsidP="00667B70">
                        <w:pPr>
                          <w:pStyle w:val="LeftColumnText"/>
                          <w:tabs>
                            <w:tab w:val="left" w:pos="1980"/>
                          </w:tabs>
                          <w:suppressOverlap/>
                        </w:pPr>
                        <w:r>
                          <w:t xml:space="preserve">Review of Operational  </w:t>
                        </w:r>
                        <w:r>
                          <w:tab/>
                          <w:t>7 Data</w:t>
                        </w:r>
                      </w:p>
                      <w:p w:rsidR="00EC6404" w:rsidRDefault="00EC6404" w:rsidP="00D11000">
                        <w:pPr>
                          <w:pStyle w:val="LeftColumnText"/>
                          <w:tabs>
                            <w:tab w:val="left" w:pos="1980"/>
                          </w:tabs>
                          <w:spacing w:after="0"/>
                          <w:suppressOverlap/>
                        </w:pPr>
                        <w:r>
                          <w:t xml:space="preserve">Outreach &amp; </w:t>
                        </w:r>
                        <w:r>
                          <w:tab/>
                          <w:t>8</w:t>
                        </w:r>
                      </w:p>
                      <w:p w:rsidR="00EC6404" w:rsidRPr="00C5631F" w:rsidRDefault="00EC6404" w:rsidP="00D11000">
                        <w:pPr>
                          <w:pStyle w:val="LeftColumnText"/>
                          <w:tabs>
                            <w:tab w:val="left" w:pos="1980"/>
                          </w:tabs>
                          <w:suppressOverlap/>
                        </w:pPr>
                        <w:r>
                          <w:t>Special Projects</w:t>
                        </w:r>
                        <w:r>
                          <w:tab/>
                        </w:r>
                      </w:p>
                      <w:p w:rsidR="00EC6404" w:rsidRPr="00C5631F" w:rsidRDefault="00EC6404" w:rsidP="00667B70">
                        <w:pPr>
                          <w:pStyle w:val="LeftColumnText"/>
                          <w:tabs>
                            <w:tab w:val="left" w:pos="1980"/>
                          </w:tabs>
                          <w:suppressOverlap/>
                        </w:pPr>
                        <w:r>
                          <w:t>Conclusion</w:t>
                        </w:r>
                        <w:r w:rsidRPr="00C5631F">
                          <w:tab/>
                        </w:r>
                        <w:r>
                          <w:t>8</w:t>
                        </w:r>
                      </w:p>
                    </w:txbxContent>
                  </v:textbox>
                  <w10:wrap anchorx="page" anchory="page"/>
                </v:shape>
              </w:pict>
            </w:r>
            <w:r>
              <w:rPr>
                <w:noProof/>
              </w:rPr>
              <w:pict>
                <v:shape id="_x0000_s1121" type="#_x0000_t202" style="position:absolute;margin-left:5.25pt;margin-top:18.6pt;width:121.3pt;height:128.45pt;z-index:251657216;mso-position-horizontal-relative:page;mso-position-vertical-relative:page" filled="f" stroked="f">
                  <v:textbox style="mso-next-textbox:#_x0000_s1121;mso-fit-shape-to-text:t">
                    <w:txbxContent>
                      <w:p w:rsidR="00EC6404" w:rsidRDefault="00EC6404" w:rsidP="00667B70">
                        <w:pPr>
                          <w:pStyle w:val="LeftColumnText"/>
                          <w:suppressOverlap/>
                        </w:pPr>
                      </w:p>
                    </w:txbxContent>
                  </v:textbox>
                  <w10:wrap anchorx="page" anchory="page"/>
                </v:shape>
              </w:pict>
            </w:r>
          </w:p>
        </w:tc>
        <w:tc>
          <w:tcPr>
            <w:tcW w:w="8011" w:type="dxa"/>
            <w:gridSpan w:val="2"/>
            <w:shd w:val="clear" w:color="auto" w:fill="auto"/>
          </w:tcPr>
          <w:p w:rsidR="004A4F50" w:rsidRDefault="004C0EEB" w:rsidP="00667B70">
            <w:r>
              <w:rPr>
                <w:noProof/>
              </w:rPr>
              <w:drawing>
                <wp:anchor distT="0" distB="0" distL="114300" distR="114300" simplePos="0" relativeHeight="251625471" behindDoc="1" locked="0" layoutInCell="1" allowOverlap="1">
                  <wp:simplePos x="0" y="0"/>
                  <wp:positionH relativeFrom="page">
                    <wp:posOffset>3283437</wp:posOffset>
                  </wp:positionH>
                  <wp:positionV relativeFrom="paragraph">
                    <wp:posOffset>20410</wp:posOffset>
                  </wp:positionV>
                  <wp:extent cx="1775638" cy="1263690"/>
                  <wp:effectExtent l="19050" t="0" r="0" b="0"/>
                  <wp:wrapNone/>
                  <wp:docPr id="9" name="Picture 5" descr="F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rn"/>
                          <pic:cNvPicPr>
                            <a:picLocks noChangeAspect="1" noChangeArrowheads="1"/>
                          </pic:cNvPicPr>
                        </pic:nvPicPr>
                        <pic:blipFill>
                          <a:blip r:embed="rId8" cstate="print"/>
                          <a:stretch>
                            <a:fillRect/>
                          </a:stretch>
                        </pic:blipFill>
                        <pic:spPr bwMode="auto">
                          <a:xfrm>
                            <a:off x="0" y="0"/>
                            <a:ext cx="1771188" cy="1260523"/>
                          </a:xfrm>
                          <a:prstGeom prst="rect">
                            <a:avLst/>
                          </a:prstGeom>
                          <a:noFill/>
                          <a:ln w="9525">
                            <a:noFill/>
                            <a:miter lim="800000"/>
                            <a:headEnd/>
                            <a:tailEnd/>
                          </a:ln>
                        </pic:spPr>
                      </pic:pic>
                    </a:graphicData>
                  </a:graphic>
                </wp:anchor>
              </w:drawing>
            </w:r>
            <w:r w:rsidR="00727972">
              <w:rPr>
                <w:noProof/>
              </w:rPr>
              <w:pict>
                <v:shape id="_x0000_s1215" type="#_x0000_t202" style="position:absolute;margin-left:238.35pt;margin-top:18pt;width:147.75pt;height:96.9pt;z-index:-251631616;mso-wrap-style:none;mso-position-horizontal-relative:page;mso-position-vertical-relative:page" filled="f" stroked="f">
                  <v:textbox style="mso-next-textbox:#_x0000_s1215;mso-fit-shape-to-text:t">
                    <w:txbxContent>
                      <w:p w:rsidR="00EC6404" w:rsidRPr="00600FED" w:rsidRDefault="00EC6404"/>
                    </w:txbxContent>
                  </v:textbox>
                  <w10:wrap anchorx="page" anchory="page"/>
                </v:shape>
              </w:pict>
            </w:r>
          </w:p>
          <w:p w:rsidR="004A4F50" w:rsidRDefault="004C0EEB" w:rsidP="004C0EEB">
            <w:r>
              <w:tab/>
            </w:r>
          </w:p>
          <w:p w:rsidR="00667B70" w:rsidRPr="004A4F50" w:rsidRDefault="004A4F50" w:rsidP="004A4F50">
            <w:pPr>
              <w:tabs>
                <w:tab w:val="left" w:pos="4970"/>
                <w:tab w:val="left" w:pos="5940"/>
              </w:tabs>
            </w:pPr>
            <w:r>
              <w:tab/>
            </w:r>
            <w:r>
              <w:tab/>
            </w:r>
          </w:p>
        </w:tc>
      </w:tr>
      <w:tr w:rsidR="00667B70" w:rsidTr="009C0DC4">
        <w:trPr>
          <w:trHeight w:val="450"/>
          <w:jc w:val="center"/>
        </w:trPr>
        <w:tc>
          <w:tcPr>
            <w:tcW w:w="2609" w:type="dxa"/>
            <w:vMerge/>
            <w:shd w:val="clear" w:color="auto" w:fill="auto"/>
          </w:tcPr>
          <w:p w:rsidR="00667B70" w:rsidRDefault="00667B70" w:rsidP="00667B70"/>
        </w:tc>
        <w:tc>
          <w:tcPr>
            <w:tcW w:w="8011" w:type="dxa"/>
            <w:gridSpan w:val="2"/>
            <w:shd w:val="clear" w:color="auto" w:fill="auto"/>
          </w:tcPr>
          <w:p w:rsidR="00667B70" w:rsidRDefault="00727972" w:rsidP="00667B70">
            <w:pPr>
              <w:pStyle w:val="Heading2"/>
            </w:pPr>
            <w:r>
              <w:rPr>
                <w:noProof/>
                <w:lang w:eastAsia="zh-TW"/>
              </w:rPr>
              <w:pict>
                <v:shape id="_x0000_s1264" type="#_x0000_t202" style="position:absolute;left:0;text-align:left;margin-left:277pt;margin-top:21.35pt;width:108.55pt;height:11.75pt;z-index:251717632;mso-position-horizontal-relative:text;mso-position-vertical-relative:text;mso-width-relative:margin;mso-height-relative:margin;v-text-anchor:middle" stroked="f">
                  <v:textbox inset="0,0,0,0">
                    <w:txbxContent>
                      <w:p w:rsidR="00EC6404" w:rsidRDefault="00EC6404" w:rsidP="009C0DC4">
                        <w:pPr>
                          <w:jc w:val="center"/>
                        </w:pPr>
                        <w:r>
                          <w:t>Kotzebue Water Source</w:t>
                        </w:r>
                      </w:p>
                    </w:txbxContent>
                  </v:textbox>
                </v:shape>
              </w:pict>
            </w:r>
            <w:r w:rsidR="00C474F0">
              <w:t>Background</w:t>
            </w:r>
          </w:p>
        </w:tc>
      </w:tr>
      <w:tr w:rsidR="00EF6227" w:rsidTr="00E07DA9">
        <w:trPr>
          <w:trHeight w:val="4607"/>
          <w:jc w:val="center"/>
        </w:trPr>
        <w:tc>
          <w:tcPr>
            <w:tcW w:w="2609" w:type="dxa"/>
            <w:vMerge/>
            <w:shd w:val="clear" w:color="auto" w:fill="auto"/>
          </w:tcPr>
          <w:p w:rsidR="00EF6227" w:rsidRDefault="00EF6227" w:rsidP="00667B70"/>
        </w:tc>
        <w:tc>
          <w:tcPr>
            <w:tcW w:w="3871" w:type="dxa"/>
            <w:shd w:val="clear" w:color="auto" w:fill="auto"/>
          </w:tcPr>
          <w:p w:rsidR="00EF6227" w:rsidRDefault="00727972" w:rsidP="00667B70">
            <w:r>
              <w:rPr>
                <w:noProof/>
              </w:rPr>
              <w:pict>
                <v:shape id="_x0000_s1247" type="#_x0000_t202" style="position:absolute;margin-left:3.75pt;margin-top:1.85pt;width:186.7pt;height:233.6pt;z-index:251707392;mso-position-horizontal-relative:page;mso-position-vertical-relative:page" filled="f" stroked="f">
                  <v:textbox style="mso-next-textbox:#_x0000_s1248">
                    <w:txbxContent>
                      <w:p w:rsidR="00EC6404" w:rsidRDefault="00EC6404" w:rsidP="00B071DE">
                        <w:pPr>
                          <w:pStyle w:val="NewsletterBodyText"/>
                        </w:pPr>
                        <w:r>
                          <w:t>The 1996 Safe Drinking Water Act Amendments included requirements to prevent the creation of new, nonviable waterworks serving communities and non-transient non-communities (including schools, offices, and work-camps),  and to develop a strategy to address the capacity of all existing waterworks.  This is a report on Alaska’s efforts to improve the technical, manageria</w:t>
                        </w:r>
                        <w:r w:rsidR="00CA6827">
                          <w:t>l,</w:t>
                        </w:r>
                        <w:r>
                          <w:t xml:space="preserve"> and financial capacity of Alaska Public Water Systems for 2008-2011.  </w:t>
                        </w:r>
                      </w:p>
                      <w:p w:rsidR="00EC6404" w:rsidRDefault="00EC6404" w:rsidP="009E45AD">
                        <w:pPr>
                          <w:pStyle w:val="NewsletterBodyText"/>
                        </w:pPr>
                        <w:r>
                          <w:t xml:space="preserve">The initial Capacity Development Strategy was finalized in 2000.  Since that time there have been new federal rules, decreased funding for infrastructure upgrades, increased operational costs, and growing communities.  Public water systems have struggled to keep up with the associated challenges of maintaining a sustainable public water system.  </w:t>
                        </w:r>
                      </w:p>
                      <w:p w:rsidR="00EC6404" w:rsidRDefault="00EC6404" w:rsidP="009E45AD">
                        <w:pPr>
                          <w:pStyle w:val="NewsletterBodyText"/>
                        </w:pPr>
                        <w:r>
                          <w:t xml:space="preserve">Many communities were unsure of their status after the final phase in of new federal rules.  </w:t>
                        </w:r>
                        <w:r w:rsidR="00442B0E">
                          <w:t>The Department of Environmental Conservation‘s (</w:t>
                        </w:r>
                        <w:r>
                          <w:t>DEC</w:t>
                        </w:r>
                        <w:r w:rsidR="00442B0E">
                          <w:t>)</w:t>
                        </w:r>
                        <w:r>
                          <w:t xml:space="preserve"> written documentation of system components was often inaccurate or incomplete.  Providing guidance without accurate knowledge of system information was ineffective.  </w:t>
                        </w:r>
                      </w:p>
                      <w:p w:rsidR="00EC6404" w:rsidRDefault="00EC6404" w:rsidP="009E45AD">
                        <w:pPr>
                          <w:pStyle w:val="NewsletterBodyText"/>
                        </w:pPr>
                        <w:r>
                          <w:t>Therefore, DEC has spent much of the past three years making needed updates to the existing Capacity Development Strategy, updating the infrastructure information on public water systems, and advising systems of the current status of their waterworks based on engineering inspections.  This report provides a summary of these efforts.</w:t>
                        </w:r>
                      </w:p>
                    </w:txbxContent>
                  </v:textbox>
                  <w10:wrap anchorx="page" anchory="page"/>
                </v:shape>
              </w:pict>
            </w:r>
          </w:p>
        </w:tc>
        <w:tc>
          <w:tcPr>
            <w:tcW w:w="4140" w:type="dxa"/>
            <w:shd w:val="clear" w:color="auto" w:fill="auto"/>
          </w:tcPr>
          <w:p w:rsidR="00EF6227" w:rsidRDefault="00727972" w:rsidP="00667B70">
            <w:r>
              <w:rPr>
                <w:noProof/>
              </w:rPr>
              <w:pict>
                <v:shape id="_x0000_s1248" type="#_x0000_t202" style="position:absolute;margin-left:3.85pt;margin-top:2.6pt;width:198.5pt;height:237.35pt;z-index:251708416;mso-position-horizontal-relative:page;mso-position-vertical-relative:page" filled="f" stroked="f">
                  <v:textbox style="mso-next-textbox:#_x0000_s1248">
                    <w:txbxContent/>
                  </v:textbox>
                  <w10:wrap anchorx="page" anchory="page"/>
                </v:shape>
              </w:pict>
            </w:r>
          </w:p>
        </w:tc>
      </w:tr>
      <w:tr w:rsidR="00667B70" w:rsidTr="00E07DA9">
        <w:trPr>
          <w:trHeight w:val="720"/>
          <w:jc w:val="center"/>
        </w:trPr>
        <w:tc>
          <w:tcPr>
            <w:tcW w:w="2609" w:type="dxa"/>
            <w:vMerge/>
            <w:shd w:val="clear" w:color="auto" w:fill="auto"/>
          </w:tcPr>
          <w:p w:rsidR="00667B70" w:rsidRDefault="00667B70" w:rsidP="00667B70"/>
        </w:tc>
        <w:tc>
          <w:tcPr>
            <w:tcW w:w="8011" w:type="dxa"/>
            <w:gridSpan w:val="2"/>
            <w:shd w:val="clear" w:color="auto" w:fill="auto"/>
          </w:tcPr>
          <w:p w:rsidR="00667B70" w:rsidRDefault="00211511" w:rsidP="00667B70">
            <w:pPr>
              <w:pStyle w:val="Heading2"/>
              <w:rPr>
                <w:sz w:val="24"/>
                <w:szCs w:val="24"/>
              </w:rPr>
            </w:pPr>
            <w:r w:rsidRPr="00211511">
              <w:rPr>
                <w:sz w:val="24"/>
                <w:szCs w:val="24"/>
              </w:rPr>
              <w:t>Public Water Systems in Alaska</w:t>
            </w:r>
          </w:p>
          <w:p w:rsidR="00211511" w:rsidRPr="00211511" w:rsidRDefault="00211511" w:rsidP="00211511">
            <w:pPr>
              <w:ind w:left="181"/>
              <w:rPr>
                <w:rFonts w:cs="Arial"/>
                <w:bCs/>
                <w:iCs/>
                <w:color w:val="008080"/>
                <w:sz w:val="20"/>
                <w:szCs w:val="20"/>
              </w:rPr>
            </w:pPr>
            <w:r w:rsidRPr="00211511">
              <w:rPr>
                <w:rFonts w:cs="Arial"/>
                <w:bCs/>
                <w:iCs/>
                <w:color w:val="008080"/>
                <w:sz w:val="20"/>
                <w:szCs w:val="20"/>
              </w:rPr>
              <w:t>Community and Non-Transient Non-Community</w:t>
            </w:r>
          </w:p>
          <w:p w:rsidR="00211511" w:rsidRPr="00211511" w:rsidRDefault="00211511" w:rsidP="00211511"/>
        </w:tc>
      </w:tr>
      <w:tr w:rsidR="00211511" w:rsidTr="00E07DA9">
        <w:trPr>
          <w:trHeight w:val="3060"/>
          <w:jc w:val="center"/>
        </w:trPr>
        <w:tc>
          <w:tcPr>
            <w:tcW w:w="2609" w:type="dxa"/>
            <w:vMerge/>
            <w:shd w:val="clear" w:color="auto" w:fill="auto"/>
          </w:tcPr>
          <w:p w:rsidR="00211511" w:rsidRDefault="00211511" w:rsidP="00667B70"/>
        </w:tc>
        <w:tc>
          <w:tcPr>
            <w:tcW w:w="8011" w:type="dxa"/>
            <w:gridSpan w:val="2"/>
            <w:shd w:val="clear" w:color="auto" w:fill="auto"/>
          </w:tcPr>
          <w:p w:rsidR="00211511" w:rsidRDefault="008A38F2" w:rsidP="00667B70">
            <w:r w:rsidRPr="008A38F2">
              <w:rPr>
                <w:noProof/>
              </w:rPr>
              <w:drawing>
                <wp:inline distT="0" distB="0" distL="0" distR="0">
                  <wp:extent cx="5037006" cy="1914861"/>
                  <wp:effectExtent l="19050" t="0" r="11244" b="9189"/>
                  <wp:docPr id="1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bl>
    <w:p w:rsidR="00B071DE" w:rsidRDefault="00B071DE"/>
    <w:tbl>
      <w:tblPr>
        <w:tblW w:w="10386" w:type="dxa"/>
        <w:jc w:val="center"/>
        <w:tblInd w:w="-2536" w:type="dxa"/>
        <w:tblCellMar>
          <w:left w:w="0" w:type="dxa"/>
          <w:right w:w="0" w:type="dxa"/>
        </w:tblCellMar>
        <w:tblLook w:val="0000"/>
      </w:tblPr>
      <w:tblGrid>
        <w:gridCol w:w="2556"/>
        <w:gridCol w:w="2610"/>
        <w:gridCol w:w="5157"/>
        <w:gridCol w:w="63"/>
      </w:tblGrid>
      <w:tr w:rsidR="00B071DE" w:rsidTr="00E3247A">
        <w:trPr>
          <w:gridAfter w:val="1"/>
          <w:wAfter w:w="63" w:type="dxa"/>
          <w:trHeight w:val="576"/>
          <w:jc w:val="center"/>
        </w:trPr>
        <w:tc>
          <w:tcPr>
            <w:tcW w:w="10323" w:type="dxa"/>
            <w:gridSpan w:val="3"/>
            <w:tcBorders>
              <w:bottom w:val="single" w:sz="4" w:space="0" w:color="008080"/>
            </w:tcBorders>
            <w:shd w:val="clear" w:color="auto" w:fill="auto"/>
          </w:tcPr>
          <w:p w:rsidR="00211511" w:rsidRDefault="00211511" w:rsidP="00211511">
            <w:pPr>
              <w:tabs>
                <w:tab w:val="left" w:pos="1905"/>
              </w:tabs>
            </w:pPr>
          </w:p>
          <w:p w:rsidR="00B071DE" w:rsidRPr="00211511" w:rsidRDefault="00EF51ED" w:rsidP="00EF51ED">
            <w:pPr>
              <w:tabs>
                <w:tab w:val="left" w:pos="915"/>
              </w:tabs>
            </w:pPr>
            <w:r>
              <w:tab/>
            </w:r>
          </w:p>
        </w:tc>
      </w:tr>
      <w:tr w:rsidR="00B071DE" w:rsidTr="00E3247A">
        <w:trPr>
          <w:gridAfter w:val="1"/>
          <w:wAfter w:w="63" w:type="dxa"/>
          <w:trHeight w:val="720"/>
          <w:jc w:val="center"/>
        </w:trPr>
        <w:tc>
          <w:tcPr>
            <w:tcW w:w="2556" w:type="dxa"/>
            <w:vMerge w:val="restart"/>
            <w:tcBorders>
              <w:top w:val="single" w:sz="4" w:space="0" w:color="008080"/>
            </w:tcBorders>
            <w:shd w:val="clear" w:color="auto" w:fill="auto"/>
          </w:tcPr>
          <w:p w:rsidR="00B071DE" w:rsidRDefault="00727972" w:rsidP="008E0FD5">
            <w:r>
              <w:rPr>
                <w:noProof/>
              </w:rPr>
              <w:pict>
                <v:shape id="_x0000_s1123" type="#_x0000_t202" style="position:absolute;margin-left:-.6pt;margin-top:576.75pt;width:125.35pt;height:96.4pt;z-index:251659264;mso-position-horizontal-relative:page;mso-position-vertical-relative:page" filled="f" stroked="f">
                  <v:textbox style="mso-next-textbox:#_x0000_s1123">
                    <w:txbxContent>
                      <w:p w:rsidR="00EC6404" w:rsidRDefault="00EC6404" w:rsidP="0065056A">
                        <w:pPr>
                          <w:pStyle w:val="ColumnCaption"/>
                          <w:spacing w:after="0" w:line="300" w:lineRule="auto"/>
                        </w:pPr>
                        <w:r w:rsidRPr="00667B70">
                          <w:t>“</w:t>
                        </w:r>
                        <w:r>
                          <w:t>By 1936 simple filtration and chlorination of city water supplies reduced overall mortality in the U.S. cities by 13 percent.  Clean water cut child mortality in half. “</w:t>
                        </w:r>
                      </w:p>
                      <w:p w:rsidR="00EC6404" w:rsidRDefault="00EC6404" w:rsidP="0065056A">
                        <w:pPr>
                          <w:pStyle w:val="ColumnCaption"/>
                          <w:spacing w:after="0" w:line="300" w:lineRule="auto"/>
                        </w:pPr>
                        <w:r>
                          <w:t>Cutler and Stanford, Harvard</w:t>
                        </w:r>
                      </w:p>
                    </w:txbxContent>
                  </v:textbox>
                  <w10:wrap anchorx="page" anchory="page"/>
                </v:shape>
              </w:pict>
            </w:r>
            <w:r>
              <w:rPr>
                <w:noProof/>
              </w:rPr>
              <w:pict>
                <v:shape id="_x0000_s1265" type="#_x0000_t202" style="position:absolute;margin-left:12.35pt;margin-top:513.6pt;width:108.55pt;height:16.05pt;z-index:251718656;mso-position-horizontal-relative:text;mso-position-vertical-relative:text;mso-width-relative:margin;mso-height-relative:margin" stroked="f">
                  <v:textbox style="mso-next-textbox:#_x0000_s1265">
                    <w:txbxContent>
                      <w:p w:rsidR="00EC6404" w:rsidRDefault="00EC6404" w:rsidP="00C95239">
                        <w:proofErr w:type="spellStart"/>
                        <w:r>
                          <w:t>Noorvik</w:t>
                        </w:r>
                        <w:proofErr w:type="spellEnd"/>
                        <w:r>
                          <w:t xml:space="preserve"> Pressure Filter</w:t>
                        </w:r>
                      </w:p>
                    </w:txbxContent>
                  </v:textbox>
                </v:shape>
              </w:pict>
            </w:r>
            <w:r>
              <w:rPr>
                <w:noProof/>
              </w:rPr>
              <w:pict>
                <v:shape id="_x0000_s1216" type="#_x0000_t202" style="position:absolute;margin-left:5.95pt;margin-top:15.85pt;width:113.2pt;height:183.55pt;z-index:-251630592;mso-wrap-style:none;mso-position-horizontal-relative:page;mso-position-vertical-relative:page" filled="f" stroked="f">
                  <v:textbox style="mso-next-textbox:#_x0000_s1216;mso-fit-shape-to-text:t">
                    <w:txbxContent>
                      <w:p w:rsidR="00EC6404" w:rsidRPr="00600FED" w:rsidRDefault="00EC6404">
                        <w:r>
                          <w:rPr>
                            <w:noProof/>
                          </w:rPr>
                          <w:drawing>
                            <wp:inline distT="0" distB="0" distL="0" distR="0">
                              <wp:extent cx="1257300" cy="6229718"/>
                              <wp:effectExtent l="19050" t="0" r="0" b="0"/>
                              <wp:docPr id="3" name="Picture 3" descr="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ves"/>
                                      <pic:cNvPicPr>
                                        <a:picLocks noChangeAspect="1" noChangeArrowheads="1"/>
                                      </pic:cNvPicPr>
                                    </pic:nvPicPr>
                                    <pic:blipFill>
                                      <a:blip r:embed="rId10"/>
                                      <a:stretch>
                                        <a:fillRect/>
                                      </a:stretch>
                                    </pic:blipFill>
                                    <pic:spPr bwMode="auto">
                                      <a:xfrm>
                                        <a:off x="0" y="0"/>
                                        <a:ext cx="1257300" cy="6229718"/>
                                      </a:xfrm>
                                      <a:prstGeom prst="rect">
                                        <a:avLst/>
                                      </a:prstGeom>
                                      <a:noFill/>
                                      <a:ln w="9525">
                                        <a:noFill/>
                                        <a:miter lim="800000"/>
                                        <a:headEnd/>
                                        <a:tailEnd/>
                                      </a:ln>
                                    </pic:spPr>
                                  </pic:pic>
                                </a:graphicData>
                              </a:graphic>
                            </wp:inline>
                          </w:drawing>
                        </w:r>
                      </w:p>
                    </w:txbxContent>
                  </v:textbox>
                  <w10:wrap anchorx="page" anchory="page"/>
                </v:shape>
              </w:pict>
            </w:r>
          </w:p>
        </w:tc>
        <w:tc>
          <w:tcPr>
            <w:tcW w:w="7767" w:type="dxa"/>
            <w:gridSpan w:val="2"/>
            <w:tcBorders>
              <w:top w:val="single" w:sz="4" w:space="0" w:color="008080"/>
            </w:tcBorders>
            <w:shd w:val="clear" w:color="auto" w:fill="auto"/>
          </w:tcPr>
          <w:p w:rsidR="00B071DE" w:rsidRPr="00667B70" w:rsidRDefault="00A95D48" w:rsidP="00A95D48">
            <w:pPr>
              <w:pStyle w:val="Heading2"/>
              <w:tabs>
                <w:tab w:val="left" w:pos="4867"/>
              </w:tabs>
            </w:pPr>
            <w:r>
              <w:t>Strategy Update</w:t>
            </w:r>
          </w:p>
        </w:tc>
      </w:tr>
      <w:tr w:rsidR="00B071DE" w:rsidTr="00E3247A">
        <w:trPr>
          <w:trHeight w:val="5652"/>
          <w:jc w:val="center"/>
        </w:trPr>
        <w:tc>
          <w:tcPr>
            <w:tcW w:w="2556" w:type="dxa"/>
            <w:vMerge/>
            <w:shd w:val="clear" w:color="auto" w:fill="auto"/>
          </w:tcPr>
          <w:p w:rsidR="00B071DE" w:rsidRDefault="00B071DE" w:rsidP="008E0FD5"/>
        </w:tc>
        <w:tc>
          <w:tcPr>
            <w:tcW w:w="2610" w:type="dxa"/>
            <w:shd w:val="clear" w:color="auto" w:fill="auto"/>
          </w:tcPr>
          <w:p w:rsidR="00B071DE" w:rsidRDefault="00727972" w:rsidP="008E0FD5">
            <w:r>
              <w:rPr>
                <w:noProof/>
              </w:rPr>
              <w:pict>
                <v:shape id="_x0000_s1048" type="#_x0000_t202" style="position:absolute;margin-left:3.85pt;margin-top:1.55pt;width:122.4pt;height:287.75pt;z-index:251632640;mso-position-horizontal-relative:page;mso-position-vertical-relative:page" filled="f" stroked="f">
                  <v:textbox style="mso-next-textbox:#_x0000_s1049">
                    <w:txbxContent>
                      <w:p w:rsidR="00EC6404" w:rsidRDefault="00EC6404" w:rsidP="00120308">
                        <w:pPr>
                          <w:pStyle w:val="NewsletterBodyText"/>
                        </w:pPr>
                        <w:r>
                          <w:t>An update to the original Capacity Development Strategy was initiated in 2009.  Public meetings were held to discuss the original “Report of Findings” which was produced by a 1999 Citizens Advisory Board, and to identify areas of needed updates.   Many of the recommendations from the original report were still valid.  Many of these goals were accomplished.  However, changes in regulatory requirements, agency structure, and community resources supported a need for an update to the original Strategy.</w:t>
                        </w:r>
                      </w:p>
                      <w:p w:rsidR="00EC6404" w:rsidRDefault="00EC6404" w:rsidP="00120308">
                        <w:pPr>
                          <w:pStyle w:val="NewsletterBodyText"/>
                        </w:pPr>
                        <w:r>
                          <w:t xml:space="preserve">A final draft for the updated Strategy was completed in 2011, and is currently being finalized by DEC and EPA.  </w:t>
                        </w:r>
                      </w:p>
                      <w:p w:rsidR="00EC6404" w:rsidRDefault="00EC6404" w:rsidP="00120308">
                        <w:pPr>
                          <w:pStyle w:val="NewsletterBodyText"/>
                        </w:pPr>
                        <w:r>
                          <w:t xml:space="preserve">This updated Strategy focuses on prioritizing water systems based on risk, targeting water system assistance based on primary need (technical, managerial, </w:t>
                        </w:r>
                        <w:r w:rsidR="00CA6827">
                          <w:t xml:space="preserve">and </w:t>
                        </w:r>
                        <w:r>
                          <w:t xml:space="preserve">financial), optimizing the performance of existing systems, and assessing the effectiveness of the Drinking Water Program’s Capacity Development initiatives on an ongoing basis.  </w:t>
                        </w:r>
                      </w:p>
                      <w:p w:rsidR="00EC6404" w:rsidRDefault="00EC6404" w:rsidP="00120308">
                        <w:pPr>
                          <w:pStyle w:val="NewsletterBodyText"/>
                        </w:pPr>
                        <w:r>
                          <w:t xml:space="preserve">The updated Capacity Development Strategy does not duplicate technical, managerial, </w:t>
                        </w:r>
                        <w:r w:rsidR="00CA6827">
                          <w:t xml:space="preserve">and </w:t>
                        </w:r>
                        <w:r>
                          <w:t>financial tools already provided by others, but seeks to supplement and support those efforts.  Tracking mechanisms are being developed to allow assessments over time, to identify strategy elements that are working well, and to rethink those that seem less effective.</w:t>
                        </w:r>
                      </w:p>
                      <w:p w:rsidR="00EC6404" w:rsidRDefault="00EC6404" w:rsidP="00120308">
                        <w:pPr>
                          <w:pStyle w:val="NewsletterBodyText"/>
                        </w:pPr>
                        <w:r>
                          <w:t>The Capacity Development Strategy will be posted on the web once finalized.  The current version is available upon request.</w:t>
                        </w:r>
                      </w:p>
                      <w:p w:rsidR="00EC6404" w:rsidRPr="00120308" w:rsidRDefault="00EC6404" w:rsidP="00120308">
                        <w:pPr>
                          <w:pStyle w:val="NewsletterBodyText"/>
                        </w:pPr>
                      </w:p>
                    </w:txbxContent>
                  </v:textbox>
                  <w10:wrap anchorx="page" anchory="page"/>
                </v:shape>
              </w:pict>
            </w:r>
          </w:p>
        </w:tc>
        <w:tc>
          <w:tcPr>
            <w:tcW w:w="5157" w:type="dxa"/>
            <w:shd w:val="clear" w:color="auto" w:fill="auto"/>
          </w:tcPr>
          <w:p w:rsidR="00B071DE" w:rsidRDefault="00727972" w:rsidP="008E0FD5">
            <w:r>
              <w:rPr>
                <w:noProof/>
              </w:rPr>
              <w:pict>
                <v:shape id="_x0000_s1050" type="#_x0000_t202" style="position:absolute;margin-left:135.75pt;margin-top:1.55pt;width:122.4pt;height:287.75pt;z-index:251634688;mso-position-horizontal-relative:page;mso-position-vertical-relative:page" filled="f" stroked="f">
                  <v:textbox style="mso-next-textbox:#_x0000_s1050">
                    <w:txbxContent/>
                  </v:textbox>
                  <w10:wrap anchorx="page" anchory="page"/>
                </v:shape>
              </w:pict>
            </w:r>
            <w:r>
              <w:rPr>
                <w:noProof/>
              </w:rPr>
              <w:pict>
                <v:shape id="_x0000_s1049" type="#_x0000_t202" style="position:absolute;margin-left:2.6pt;margin-top:1.55pt;width:122.4pt;height:287.75pt;z-index:251633664;mso-position-horizontal-relative:page;mso-position-vertical-relative:page" filled="f" stroked="f">
                  <v:textbox style="mso-next-textbox:#_x0000_s1050">
                    <w:txbxContent/>
                  </v:textbox>
                  <w10:wrap anchorx="page" anchory="page"/>
                </v:shape>
              </w:pict>
            </w:r>
          </w:p>
        </w:tc>
        <w:tc>
          <w:tcPr>
            <w:tcW w:w="63" w:type="dxa"/>
            <w:shd w:val="clear" w:color="auto" w:fill="auto"/>
          </w:tcPr>
          <w:p w:rsidR="00B071DE" w:rsidRDefault="00B071DE" w:rsidP="008E0FD5"/>
        </w:tc>
      </w:tr>
      <w:tr w:rsidR="00B071DE" w:rsidTr="00E3247A">
        <w:trPr>
          <w:gridAfter w:val="1"/>
          <w:wAfter w:w="63" w:type="dxa"/>
          <w:trHeight w:val="720"/>
          <w:jc w:val="center"/>
        </w:trPr>
        <w:tc>
          <w:tcPr>
            <w:tcW w:w="2556" w:type="dxa"/>
            <w:vMerge/>
            <w:shd w:val="clear" w:color="auto" w:fill="auto"/>
          </w:tcPr>
          <w:p w:rsidR="00B071DE" w:rsidRDefault="00B071DE" w:rsidP="008E0FD5"/>
        </w:tc>
        <w:tc>
          <w:tcPr>
            <w:tcW w:w="7767" w:type="dxa"/>
            <w:gridSpan w:val="2"/>
            <w:shd w:val="clear" w:color="auto" w:fill="auto"/>
          </w:tcPr>
          <w:p w:rsidR="00B071DE" w:rsidRDefault="00A95D48" w:rsidP="00667B70">
            <w:pPr>
              <w:pStyle w:val="Heading2"/>
            </w:pPr>
            <w:r>
              <w:t>Strategy Elements</w:t>
            </w:r>
          </w:p>
        </w:tc>
      </w:tr>
      <w:tr w:rsidR="00B071DE" w:rsidTr="00E3247A">
        <w:trPr>
          <w:trHeight w:val="6327"/>
          <w:jc w:val="center"/>
        </w:trPr>
        <w:tc>
          <w:tcPr>
            <w:tcW w:w="2556" w:type="dxa"/>
            <w:vMerge/>
            <w:shd w:val="clear" w:color="auto" w:fill="auto"/>
          </w:tcPr>
          <w:p w:rsidR="00B071DE" w:rsidRDefault="00B071DE" w:rsidP="008E0FD5"/>
        </w:tc>
        <w:tc>
          <w:tcPr>
            <w:tcW w:w="2610" w:type="dxa"/>
            <w:shd w:val="clear" w:color="auto" w:fill="auto"/>
          </w:tcPr>
          <w:p w:rsidR="00B071DE" w:rsidRDefault="00727972" w:rsidP="008E0FD5">
            <w:r>
              <w:rPr>
                <w:noProof/>
              </w:rPr>
              <w:pict>
                <v:shape id="_x0000_s1042" type="#_x0000_t202" style="position:absolute;margin-left:3.4pt;margin-top:1pt;width:122.4pt;height:324.3pt;z-index:251626496;mso-position-horizontal-relative:page;mso-position-vertical-relative:page" filled="f" stroked="f">
                  <v:textbox style="mso-next-textbox:#_x0000_s1043">
                    <w:txbxContent>
                      <w:p w:rsidR="00EC6404" w:rsidRDefault="00EC6404" w:rsidP="00120308">
                        <w:pPr>
                          <w:pStyle w:val="NewsletterBodyText"/>
                        </w:pPr>
                        <w:r>
                          <w:t>Sustainability is the goal for all water systems.  Guidelines and outreach materials continue to be developed for improving the technical, managerial, and financial capacity of all systems.   However, more intensive efforts are implemented based on</w:t>
                        </w:r>
                        <w:r w:rsidR="00CA6827">
                          <w:t xml:space="preserve"> public health protection and</w:t>
                        </w:r>
                        <w:r>
                          <w:t xml:space="preserve"> risk prevention.  </w:t>
                        </w:r>
                      </w:p>
                      <w:p w:rsidR="00EC6404" w:rsidRDefault="00EC6404" w:rsidP="00120308">
                        <w:pPr>
                          <w:pStyle w:val="NewsletterBodyText"/>
                        </w:pPr>
                        <w:r>
                          <w:t>All new public water systems are reviewed prior to construction, to address and avoid long term sustainability issues.  Engineering reviews are expanded to include more detailed financial and managerial information for new systems serving communities and non-transient non-communities.  Since these types of systems serve the same people daily, and the water served is a primary source of drinking water, these systems are considered a higher priority.</w:t>
                        </w:r>
                      </w:p>
                      <w:p w:rsidR="00EC6404" w:rsidRDefault="00EC6404" w:rsidP="00B75087">
                        <w:pPr>
                          <w:pStyle w:val="NewsletterBodyText"/>
                        </w:pPr>
                        <w:r>
                          <w:t>All existing public water systems are addressed through inspection programs and the review of operational data on treatment components.  Systems that appear to be struggling based on operational data are contacted in an effort to prevent excceedences of maximum contaminant levels (MCLs). Public water systems utilizing surface water sources have a higher potential risk of microbial contamination than systems using a groundwater source.  Therefore, surface water treatment systems receive a higher priority.</w:t>
                        </w:r>
                      </w:p>
                      <w:p w:rsidR="00EC6404" w:rsidRDefault="00EC6404" w:rsidP="000B5245">
                        <w:pPr>
                          <w:pStyle w:val="NewsletterBodyText"/>
                        </w:pPr>
                        <w:r>
                          <w:t>Other factors that are considered in the risk prioritization include treatment techniques used, type of water system operation, history of exceedences of drinking water MCLs, and population served.</w:t>
                        </w:r>
                      </w:p>
                      <w:p w:rsidR="00EC6404" w:rsidRDefault="00EC6404" w:rsidP="00120308">
                        <w:pPr>
                          <w:pStyle w:val="NewsletterBodyText"/>
                        </w:pPr>
                        <w:r>
                          <w:t>A primary goal in implementing all activities is to support efforts that are currently underway by others.  Many outreach efforts are coordinated between agencies, groups, and community representatives.</w:t>
                        </w:r>
                      </w:p>
                    </w:txbxContent>
                  </v:textbox>
                  <w10:wrap anchorx="page" anchory="page"/>
                </v:shape>
              </w:pict>
            </w:r>
          </w:p>
        </w:tc>
        <w:tc>
          <w:tcPr>
            <w:tcW w:w="5157" w:type="dxa"/>
            <w:shd w:val="clear" w:color="auto" w:fill="auto"/>
          </w:tcPr>
          <w:p w:rsidR="00B071DE" w:rsidRDefault="00727972" w:rsidP="008E0FD5">
            <w:r>
              <w:rPr>
                <w:noProof/>
              </w:rPr>
              <w:pict>
                <v:shape id="_x0000_s1044" type="#_x0000_t202" style="position:absolute;margin-left:135.75pt;margin-top:1pt;width:122.4pt;height:324.3pt;z-index:251628544;mso-position-horizontal-relative:page;mso-position-vertical-relative:page" filled="f" stroked="f">
                  <v:textbox style="mso-next-textbox:#_x0000_s1044">
                    <w:txbxContent/>
                  </v:textbox>
                  <w10:wrap anchorx="page" anchory="page"/>
                </v:shape>
              </w:pict>
            </w:r>
            <w:r>
              <w:rPr>
                <w:noProof/>
              </w:rPr>
              <w:pict>
                <v:shape id="_x0000_s1043" type="#_x0000_t202" style="position:absolute;margin-left:2.1pt;margin-top:.5pt;width:127.65pt;height:324.8pt;z-index:251627520;mso-position-horizontal-relative:page;mso-position-vertical-relative:page" filled="f" stroked="f">
                  <v:textbox style="mso-next-textbox:#_x0000_s1044">
                    <w:txbxContent/>
                  </v:textbox>
                  <w10:wrap anchorx="page" anchory="page"/>
                </v:shape>
              </w:pict>
            </w:r>
          </w:p>
        </w:tc>
        <w:tc>
          <w:tcPr>
            <w:tcW w:w="63" w:type="dxa"/>
            <w:shd w:val="clear" w:color="auto" w:fill="auto"/>
          </w:tcPr>
          <w:p w:rsidR="00B071DE" w:rsidRDefault="00B071DE" w:rsidP="008E0FD5"/>
        </w:tc>
      </w:tr>
      <w:tr w:rsidR="0080355B" w:rsidTr="006A0074">
        <w:trPr>
          <w:trHeight w:val="4860"/>
          <w:jc w:val="center"/>
        </w:trPr>
        <w:tc>
          <w:tcPr>
            <w:tcW w:w="10323" w:type="dxa"/>
            <w:gridSpan w:val="3"/>
            <w:shd w:val="clear" w:color="auto" w:fill="auto"/>
          </w:tcPr>
          <w:p w:rsidR="0080355B" w:rsidRDefault="0080355B" w:rsidP="008E0FD5">
            <w:pPr>
              <w:rPr>
                <w:noProof/>
              </w:rPr>
            </w:pPr>
          </w:p>
          <w:p w:rsidR="0080355B" w:rsidRPr="0080355B" w:rsidRDefault="0080355B" w:rsidP="008E0FD5">
            <w:pPr>
              <w:rPr>
                <w:rFonts w:cs="Arial"/>
                <w:bCs/>
                <w:iCs/>
                <w:color w:val="008080"/>
                <w:sz w:val="24"/>
              </w:rPr>
            </w:pPr>
          </w:p>
          <w:p w:rsidR="0080355B" w:rsidRDefault="0080355B" w:rsidP="0080355B">
            <w:pPr>
              <w:jc w:val="center"/>
              <w:rPr>
                <w:rFonts w:cs="Arial"/>
                <w:bCs/>
                <w:iCs/>
                <w:color w:val="008080"/>
                <w:sz w:val="24"/>
              </w:rPr>
            </w:pPr>
            <w:r>
              <w:rPr>
                <w:rFonts w:cs="Arial"/>
                <w:bCs/>
                <w:iCs/>
                <w:color w:val="008080"/>
                <w:sz w:val="24"/>
              </w:rPr>
              <w:t>Groundwater vs. Surface Water Treatment Systems in Alaska</w:t>
            </w:r>
          </w:p>
          <w:p w:rsidR="0080355B" w:rsidRDefault="0080355B" w:rsidP="0080355B">
            <w:pPr>
              <w:jc w:val="center"/>
              <w:rPr>
                <w:rFonts w:cs="Arial"/>
                <w:bCs/>
                <w:iCs/>
                <w:color w:val="008080"/>
                <w:sz w:val="24"/>
              </w:rPr>
            </w:pPr>
          </w:p>
          <w:p w:rsidR="00570A4F" w:rsidRPr="005C76DF" w:rsidRDefault="002C50F1" w:rsidP="005C76DF">
            <w:pPr>
              <w:jc w:val="center"/>
              <w:rPr>
                <w:rFonts w:cs="Arial"/>
                <w:bCs/>
                <w:iCs/>
                <w:color w:val="008080"/>
                <w:sz w:val="24"/>
              </w:rPr>
            </w:pPr>
            <w:r w:rsidRPr="002C50F1">
              <w:rPr>
                <w:rFonts w:cs="Arial"/>
                <w:bCs/>
                <w:iCs/>
                <w:color w:val="008080"/>
                <w:sz w:val="24"/>
              </w:rPr>
              <w:drawing>
                <wp:inline distT="0" distB="0" distL="0" distR="0">
                  <wp:extent cx="5724525" cy="2333625"/>
                  <wp:effectExtent l="19050" t="0" r="0" b="0"/>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727972" w:rsidRPr="00727972">
              <w:rPr>
                <w:noProof/>
              </w:rPr>
              <w:pict>
                <v:shape id="_x0000_s1266" type="#_x0000_t202" style="position:absolute;left:0;text-align:left;margin-left:15.25pt;margin-top:163.65pt;width:486.65pt;height:19.5pt;z-index:251719680;mso-position-horizontal-relative:text;mso-position-vertical-relative:text;mso-width-relative:margin;mso-height-relative:margin" stroked="f">
                  <v:textbox style="mso-next-textbox:#_x0000_s1266">
                    <w:txbxContent>
                      <w:p w:rsidR="00EC6404" w:rsidRDefault="00EC6404" w:rsidP="00132A4A">
                        <w:r>
                          <w:t>** Community and Non-Transient Non-Community Water Systems based on available July 2011 data.</w:t>
                        </w:r>
                      </w:p>
                    </w:txbxContent>
                  </v:textbox>
                </v:shape>
              </w:pict>
            </w:r>
          </w:p>
        </w:tc>
        <w:tc>
          <w:tcPr>
            <w:tcW w:w="63" w:type="dxa"/>
            <w:shd w:val="clear" w:color="auto" w:fill="auto"/>
          </w:tcPr>
          <w:p w:rsidR="0080355B" w:rsidRDefault="0080355B" w:rsidP="008E0FD5"/>
        </w:tc>
      </w:tr>
      <w:tr w:rsidR="00B071DE" w:rsidTr="00E3247A">
        <w:trPr>
          <w:trHeight w:val="720"/>
          <w:jc w:val="center"/>
        </w:trPr>
        <w:tc>
          <w:tcPr>
            <w:tcW w:w="10323" w:type="dxa"/>
            <w:gridSpan w:val="3"/>
            <w:tcBorders>
              <w:top w:val="single" w:sz="4" w:space="0" w:color="008080"/>
            </w:tcBorders>
            <w:shd w:val="clear" w:color="auto" w:fill="auto"/>
          </w:tcPr>
          <w:p w:rsidR="00B071DE" w:rsidRPr="00B61D6C" w:rsidRDefault="00A2451D" w:rsidP="00B61D6C">
            <w:pPr>
              <w:pStyle w:val="Heading2"/>
            </w:pPr>
            <w:r>
              <w:t>Inspections</w:t>
            </w:r>
          </w:p>
        </w:tc>
        <w:tc>
          <w:tcPr>
            <w:tcW w:w="63" w:type="dxa"/>
            <w:vMerge w:val="restart"/>
            <w:tcBorders>
              <w:top w:val="single" w:sz="4" w:space="0" w:color="008080"/>
            </w:tcBorders>
            <w:shd w:val="clear" w:color="auto" w:fill="auto"/>
          </w:tcPr>
          <w:p w:rsidR="002E6C64" w:rsidRDefault="002E6C64" w:rsidP="008E0FD5"/>
          <w:p w:rsidR="002E6C64" w:rsidRDefault="002E6C64" w:rsidP="008E0FD5"/>
          <w:p w:rsidR="002E6C64" w:rsidRDefault="002E6C64" w:rsidP="008E0FD5"/>
          <w:p w:rsidR="002E6C64" w:rsidRDefault="002E6C64" w:rsidP="008E0FD5"/>
          <w:p w:rsidR="002E6C64" w:rsidRDefault="002E6C64" w:rsidP="008E0FD5"/>
          <w:p w:rsidR="002E6C64" w:rsidRDefault="002E6C64" w:rsidP="008E0FD5"/>
          <w:p w:rsidR="002E6C64" w:rsidRDefault="002E6C64" w:rsidP="008E0FD5"/>
          <w:p w:rsidR="002E6C64" w:rsidRDefault="002E6C64" w:rsidP="008E0FD5"/>
          <w:p w:rsidR="002E6C64" w:rsidRDefault="002E6C64" w:rsidP="008E0FD5"/>
          <w:p w:rsidR="002E6C64" w:rsidRDefault="002E6C64" w:rsidP="008E0FD5"/>
          <w:p w:rsidR="002E6C64" w:rsidRDefault="002E6C64" w:rsidP="008E0FD5"/>
          <w:p w:rsidR="002E6C64" w:rsidRDefault="002E6C64" w:rsidP="008E0FD5"/>
          <w:p w:rsidR="002E6C64" w:rsidRDefault="002E6C64" w:rsidP="008E0FD5"/>
          <w:p w:rsidR="002E6C64" w:rsidRDefault="002E6C64" w:rsidP="008E0FD5"/>
          <w:p w:rsidR="002E6C64" w:rsidRDefault="002E6C64" w:rsidP="008E0FD5"/>
          <w:p w:rsidR="002E6C64" w:rsidRDefault="002E6C64" w:rsidP="008E0FD5"/>
          <w:p w:rsidR="00B071DE" w:rsidRDefault="00727972" w:rsidP="008E0FD5">
            <w:r>
              <w:rPr>
                <w:noProof/>
              </w:rPr>
              <w:pict>
                <v:shape id="_x0000_s1219" type="#_x0000_t202" style="position:absolute;margin-left:8.5pt;margin-top:46.15pt;width:101.1pt;height:110pt;z-index:-251628544;mso-wrap-style:none;mso-position-horizontal-relative:page;mso-position-vertical-relative:page" filled="f" stroked="f">
                  <v:textbox style="mso-next-textbox:#_x0000_s1219;mso-fit-shape-to-text:t">
                    <w:txbxContent>
                      <w:p w:rsidR="00EC6404" w:rsidRPr="007756DB" w:rsidRDefault="00EC6404" w:rsidP="007756DB"/>
                    </w:txbxContent>
                  </v:textbox>
                  <w10:wrap anchorx="page" anchory="page"/>
                </v:shape>
              </w:pict>
            </w:r>
          </w:p>
        </w:tc>
      </w:tr>
      <w:tr w:rsidR="00B071DE" w:rsidTr="006A0074">
        <w:trPr>
          <w:trHeight w:val="8658"/>
          <w:jc w:val="center"/>
        </w:trPr>
        <w:tc>
          <w:tcPr>
            <w:tcW w:w="2556" w:type="dxa"/>
            <w:shd w:val="clear" w:color="auto" w:fill="auto"/>
          </w:tcPr>
          <w:p w:rsidR="00B071DE" w:rsidRDefault="00727972" w:rsidP="008E0FD5">
            <w:r>
              <w:rPr>
                <w:noProof/>
              </w:rPr>
              <w:pict>
                <v:shape id="_x0000_s1125" type="#_x0000_t202" style="position:absolute;margin-left:.15pt;margin-top:.45pt;width:129.25pt;height:443.65pt;z-index:251660288;mso-position-horizontal-relative:page;mso-position-vertical-relative:page" filled="f" stroked="f">
                  <v:textbox style="mso-next-textbox:#_x0000_s1126">
                    <w:txbxContent>
                      <w:p w:rsidR="00EC6404" w:rsidRDefault="00EC6404" w:rsidP="00120653">
                        <w:pPr>
                          <w:pStyle w:val="NewsletterBodyText"/>
                        </w:pPr>
                        <w:r>
                          <w:t>A critical element in providing effective regulatory guidance and assistance is accurately knowing the current status of a water system.  The Drinking Water Program has several types of inspections with different objectives.  However, all of these inspections include technical, managerial and financial components.</w:t>
                        </w:r>
                      </w:p>
                      <w:p w:rsidR="00EC6404" w:rsidRDefault="00EC6404" w:rsidP="00120653">
                        <w:pPr>
                          <w:pStyle w:val="NewsletterBodyText"/>
                        </w:pPr>
                        <w:r>
                          <w:t xml:space="preserve">“Sanitary Surveys” are required on public water systems every 3 years.  The objective of these surveys is to identify issues that present a risk to public health.  This is a broad inspection, covering many aspects of a system.  These inspections are completed by 1-2 </w:t>
                        </w:r>
                        <w:r w:rsidR="00442B0E">
                          <w:t>DEC-</w:t>
                        </w:r>
                        <w:r>
                          <w:t>approved inspectors (not necessarily Drinking Water Program staff) and typically take 2-8 hours onsite.</w:t>
                        </w:r>
                      </w:p>
                      <w:p w:rsidR="00EC6404" w:rsidRDefault="00EC6404" w:rsidP="00120653">
                        <w:pPr>
                          <w:pStyle w:val="NewsletterBodyText"/>
                        </w:pPr>
                        <w:r>
                          <w:t>“Comprehensive Performance Evaluations” (CPEs) are required if a surface water treatment system exceeds allowable turbidity levels.  This is an in-depth review of the design, management and operations of a water treatment facility.  These inspections are completed by a team of Drinking Water Program engineers (</w:t>
                        </w:r>
                        <w:r w:rsidR="00442B0E">
                          <w:t>3</w:t>
                        </w:r>
                        <w:r>
                          <w:t>-10), and take 4-5 days onsite.  These inspections are also used as a training exercise for communities and Drinking Water Program staff.</w:t>
                        </w:r>
                      </w:p>
                      <w:p w:rsidR="00EC6404" w:rsidRDefault="00EC6404" w:rsidP="00120653">
                        <w:pPr>
                          <w:pStyle w:val="NewsletterBodyText"/>
                        </w:pPr>
                        <w:r>
                          <w:t>“Comprehensive Technical Assistances” (CTAs) address a specific system issue.  These inspections typically take one Drinking Water Program engineer 4-8 hours onsite.</w:t>
                        </w:r>
                      </w:p>
                      <w:p w:rsidR="00EC6404" w:rsidRDefault="00EC6404" w:rsidP="00E3247A">
                        <w:pPr>
                          <w:autoSpaceDE w:val="0"/>
                          <w:autoSpaceDN w:val="0"/>
                          <w:adjustRightInd w:val="0"/>
                          <w:spacing w:after="200" w:line="312" w:lineRule="auto"/>
                        </w:pPr>
                        <w:r>
                          <w:t xml:space="preserve">“Filter Assessments” are required if a surface water treatment system exceeds allowable turbidity levels.  These inspections focus on the operations of a filtration system.  They require 4-8 hours onsite of one Drinking Water Program engineer’s time. </w:t>
                        </w:r>
                      </w:p>
                      <w:p w:rsidR="00EC6404" w:rsidRDefault="00EC6404" w:rsidP="00E3247A">
                        <w:pPr>
                          <w:autoSpaceDE w:val="0"/>
                          <w:autoSpaceDN w:val="0"/>
                          <w:adjustRightInd w:val="0"/>
                          <w:spacing w:after="200" w:line="312" w:lineRule="auto"/>
                          <w:rPr>
                            <w:rFonts w:cs="Tahoma"/>
                            <w:szCs w:val="16"/>
                          </w:rPr>
                        </w:pPr>
                        <w:r>
                          <w:rPr>
                            <w:rFonts w:cs="Tahoma"/>
                            <w:szCs w:val="16"/>
                          </w:rPr>
                          <w:t xml:space="preserve">In conducting the above inspections, it became apparent that file information on basic surface water system treatment components was inaccurate or insufficient.  There was a need for a short engineering inspection, focused specifically on surface water treatment rule requirements, regardless of reported turbidity levels.  </w:t>
                        </w:r>
                      </w:p>
                      <w:p w:rsidR="00EC6404" w:rsidRDefault="00EC6404" w:rsidP="00E3247A">
                        <w:pPr>
                          <w:autoSpaceDE w:val="0"/>
                          <w:autoSpaceDN w:val="0"/>
                          <w:adjustRightInd w:val="0"/>
                          <w:spacing w:after="200" w:line="312" w:lineRule="auto"/>
                          <w:rPr>
                            <w:rFonts w:cs="Tahoma"/>
                            <w:spacing w:val="4"/>
                            <w:szCs w:val="16"/>
                          </w:rPr>
                        </w:pPr>
                        <w:r>
                          <w:rPr>
                            <w:rFonts w:cs="Tahoma"/>
                            <w:spacing w:val="4"/>
                            <w:szCs w:val="16"/>
                          </w:rPr>
                          <w:t>A new inspection program,</w:t>
                        </w:r>
                        <w:r>
                          <w:rPr>
                            <w:rFonts w:cs="Tahoma"/>
                            <w:szCs w:val="16"/>
                          </w:rPr>
                          <w:t xml:space="preserve"> “Status Component Inspections” (SCIs), </w:t>
                        </w:r>
                        <w:r>
                          <w:rPr>
                            <w:rFonts w:cs="Tahoma"/>
                            <w:spacing w:val="4"/>
                            <w:szCs w:val="16"/>
                          </w:rPr>
                          <w:t xml:space="preserve">was developed to support the operational capacity of small systems.  The objective of this inspection is evaluate the disinfection and filtration treatment components, to award a specific credit for these processes, and to obtain updated information used in the risk prioritization of surface water treatment systems.  SCIs take 1-2 Drinking Water Program engineers  4-8 hours to complete.  Following an inspection, communities are notified of their status, and are provided with an estimation of the severity of the problem. </w:t>
                        </w:r>
                      </w:p>
                      <w:p w:rsidR="00EC6404" w:rsidRDefault="00EC6404" w:rsidP="00E3247A">
                        <w:pPr>
                          <w:pStyle w:val="NewsletterBodyText"/>
                        </w:pPr>
                        <w:r>
                          <w:rPr>
                            <w:rFonts w:cs="Tahoma"/>
                          </w:rPr>
                          <w:t xml:space="preserve">A Status Component Inspection Program was </w:t>
                        </w:r>
                        <w:r w:rsidR="00555C72">
                          <w:rPr>
                            <w:rFonts w:cs="Tahoma"/>
                          </w:rPr>
                          <w:t>started</w:t>
                        </w:r>
                        <w:r>
                          <w:rPr>
                            <w:rFonts w:cs="Tahoma"/>
                          </w:rPr>
                          <w:t xml:space="preserve"> in 2010, with a goal to inspect all surface water treatment systems by the end of 2011.</w:t>
                        </w:r>
                        <w:r>
                          <w:t xml:space="preserve"> The following maps summarize inspections conducted to date.</w:t>
                        </w:r>
                      </w:p>
                      <w:p w:rsidR="00EC6404" w:rsidRDefault="00EC6404" w:rsidP="00E3247A">
                        <w:pPr>
                          <w:pStyle w:val="NewsletterBodyText"/>
                        </w:pPr>
                        <w:r>
                          <w:t>Preliminary results of these inspections indicate that many surface water treatment systems have the following basic problems:</w:t>
                        </w:r>
                      </w:p>
                      <w:p w:rsidR="00EC6404" w:rsidRPr="00E3247A" w:rsidRDefault="00EC6404" w:rsidP="00E3247A">
                        <w:pPr>
                          <w:pStyle w:val="ColumnCaption"/>
                          <w:numPr>
                            <w:ilvl w:val="0"/>
                            <w:numId w:val="1"/>
                          </w:numPr>
                          <w:spacing w:line="300" w:lineRule="auto"/>
                          <w:rPr>
                            <w:i w:val="0"/>
                          </w:rPr>
                        </w:pPr>
                        <w:r w:rsidRPr="00E3247A">
                          <w:rPr>
                            <w:i w:val="0"/>
                          </w:rPr>
                          <w:t xml:space="preserve">Inadequate disinfection due to low levels of chlorine, high flows, or system design. </w:t>
                        </w:r>
                      </w:p>
                      <w:p w:rsidR="00EC6404" w:rsidRPr="00E3247A" w:rsidRDefault="00EC6404" w:rsidP="00E3247A">
                        <w:pPr>
                          <w:pStyle w:val="ColumnCaption"/>
                          <w:numPr>
                            <w:ilvl w:val="0"/>
                            <w:numId w:val="1"/>
                          </w:numPr>
                          <w:spacing w:line="300" w:lineRule="auto"/>
                          <w:rPr>
                            <w:i w:val="0"/>
                          </w:rPr>
                        </w:pPr>
                        <w:r w:rsidRPr="00E3247A">
                          <w:rPr>
                            <w:i w:val="0"/>
                          </w:rPr>
                          <w:t>Turbidimeters</w:t>
                        </w:r>
                        <w:r>
                          <w:rPr>
                            <w:i w:val="0"/>
                          </w:rPr>
                          <w:t xml:space="preserve"> are</w:t>
                        </w:r>
                        <w:r w:rsidRPr="00E3247A">
                          <w:rPr>
                            <w:i w:val="0"/>
                          </w:rPr>
                          <w:t xml:space="preserve"> in </w:t>
                        </w:r>
                        <w:r>
                          <w:rPr>
                            <w:i w:val="0"/>
                          </w:rPr>
                          <w:t xml:space="preserve">the </w:t>
                        </w:r>
                        <w:r w:rsidRPr="00E3247A">
                          <w:rPr>
                            <w:i w:val="0"/>
                          </w:rPr>
                          <w:t>wrong location or</w:t>
                        </w:r>
                        <w:r>
                          <w:rPr>
                            <w:i w:val="0"/>
                          </w:rPr>
                          <w:t xml:space="preserve"> are</w:t>
                        </w:r>
                        <w:r w:rsidRPr="00E3247A">
                          <w:rPr>
                            <w:i w:val="0"/>
                          </w:rPr>
                          <w:t xml:space="preserve"> not maintained.</w:t>
                        </w:r>
                        <w:r>
                          <w:rPr>
                            <w:i w:val="0"/>
                          </w:rPr>
                          <w:t xml:space="preserve">  Chlorine samples are taken in the wrong location.</w:t>
                        </w:r>
                      </w:p>
                      <w:p w:rsidR="00EC6404" w:rsidRPr="00E3247A" w:rsidRDefault="00EC6404" w:rsidP="00E3247A">
                        <w:pPr>
                          <w:pStyle w:val="ColumnCaption"/>
                          <w:numPr>
                            <w:ilvl w:val="0"/>
                            <w:numId w:val="1"/>
                          </w:numPr>
                          <w:spacing w:line="300" w:lineRule="auto"/>
                          <w:rPr>
                            <w:i w:val="0"/>
                          </w:rPr>
                        </w:pPr>
                        <w:r w:rsidRPr="00E3247A">
                          <w:rPr>
                            <w:i w:val="0"/>
                          </w:rPr>
                          <w:t xml:space="preserve">No coagulant </w:t>
                        </w:r>
                        <w:r>
                          <w:rPr>
                            <w:i w:val="0"/>
                          </w:rPr>
                          <w:t xml:space="preserve">is </w:t>
                        </w:r>
                        <w:r w:rsidRPr="00E3247A">
                          <w:rPr>
                            <w:i w:val="0"/>
                          </w:rPr>
                          <w:t>added, as required to achieve adequate filtration.</w:t>
                        </w:r>
                      </w:p>
                      <w:p w:rsidR="00EC6404" w:rsidRPr="00E3247A" w:rsidRDefault="00EC6404" w:rsidP="00E3247A">
                        <w:pPr>
                          <w:pStyle w:val="ColumnCaption"/>
                          <w:numPr>
                            <w:ilvl w:val="0"/>
                            <w:numId w:val="1"/>
                          </w:numPr>
                          <w:spacing w:line="300" w:lineRule="auto"/>
                          <w:rPr>
                            <w:i w:val="0"/>
                          </w:rPr>
                        </w:pPr>
                        <w:r w:rsidRPr="00E3247A">
                          <w:rPr>
                            <w:i w:val="0"/>
                          </w:rPr>
                          <w:t xml:space="preserve">Filters </w:t>
                        </w:r>
                        <w:r>
                          <w:rPr>
                            <w:i w:val="0"/>
                          </w:rPr>
                          <w:t xml:space="preserve">are </w:t>
                        </w:r>
                        <w:r w:rsidRPr="00E3247A">
                          <w:rPr>
                            <w:i w:val="0"/>
                          </w:rPr>
                          <w:t>not maintained.</w:t>
                        </w:r>
                      </w:p>
                      <w:p w:rsidR="00EC6404" w:rsidRDefault="00EC6404" w:rsidP="00E3247A">
                        <w:pPr>
                          <w:pStyle w:val="NewsletterBodyText"/>
                        </w:pPr>
                        <w:r>
                          <w:t>These issues can roughly be grouped into three categories:  systems meeting current treatment requirements; systems with mostly operation and maintenance issues; and systems requiring more significant upgrades.</w:t>
                        </w:r>
                      </w:p>
                      <w:p w:rsidR="00EC6404" w:rsidRDefault="00EC6404" w:rsidP="00E3247A">
                        <w:pPr>
                          <w:pStyle w:val="NewsletterBodyText"/>
                        </w:pPr>
                        <w:r>
                          <w:t>Maps showing basic findings are provided below.  These are followed by two short site summaries from Status Component Inspections in Kongiganak and Noatak.</w:t>
                        </w:r>
                      </w:p>
                    </w:txbxContent>
                  </v:textbox>
                  <w10:wrap anchorx="page" anchory="page"/>
                </v:shape>
              </w:pict>
            </w:r>
          </w:p>
        </w:tc>
        <w:tc>
          <w:tcPr>
            <w:tcW w:w="2610" w:type="dxa"/>
            <w:shd w:val="clear" w:color="auto" w:fill="auto"/>
          </w:tcPr>
          <w:p w:rsidR="00B071DE" w:rsidRDefault="00727972" w:rsidP="008E0FD5">
            <w:r>
              <w:rPr>
                <w:noProof/>
              </w:rPr>
              <w:pict>
                <v:shape id="_x0000_s1287" type="#_x0000_t202" style="position:absolute;margin-left:129.1pt;margin-top:.45pt;width:134.4pt;height:443.65pt;z-index:251722752;mso-position-horizontal-relative:page;mso-position-vertical-relative:page" filled="f" stroked="f">
                  <v:textbox style="mso-next-textbox:#_x0000_s1288">
                    <w:txbxContent/>
                  </v:textbox>
                  <w10:wrap anchorx="page" anchory="page"/>
                </v:shape>
              </w:pict>
            </w:r>
            <w:r>
              <w:rPr>
                <w:noProof/>
              </w:rPr>
              <w:pict>
                <v:shape id="_x0000_s1126" type="#_x0000_t202" style="position:absolute;margin-left:1.6pt;margin-top:.45pt;width:131.9pt;height:443.65pt;z-index:251661312;mso-position-horizontal-relative:page;mso-position-vertical-relative:page" filled="f" stroked="f">
                  <v:textbox style="mso-next-textbox:#_x0000_s1287">
                    <w:txbxContent/>
                  </v:textbox>
                  <w10:wrap anchorx="page" anchory="page"/>
                </v:shape>
              </w:pict>
            </w:r>
          </w:p>
        </w:tc>
        <w:tc>
          <w:tcPr>
            <w:tcW w:w="5157" w:type="dxa"/>
            <w:shd w:val="clear" w:color="auto" w:fill="auto"/>
          </w:tcPr>
          <w:p w:rsidR="00B071DE" w:rsidRDefault="00727972" w:rsidP="008E0FD5">
            <w:r>
              <w:rPr>
                <w:noProof/>
              </w:rPr>
              <w:pict>
                <v:shape id="_x0000_s1288" type="#_x0000_t202" style="position:absolute;margin-left:133pt;margin-top:.45pt;width:133.35pt;height:443.65pt;z-index:251723776;mso-position-horizontal-relative:page;mso-position-vertical-relative:page" filled="f" stroked="f">
                  <v:textbox style="mso-next-textbox:#_x0000_s1288">
                    <w:txbxContent/>
                  </v:textbox>
                  <w10:wrap anchorx="page" anchory="page"/>
                </v:shape>
              </w:pict>
            </w:r>
          </w:p>
        </w:tc>
        <w:tc>
          <w:tcPr>
            <w:tcW w:w="63" w:type="dxa"/>
            <w:vMerge/>
            <w:shd w:val="clear" w:color="auto" w:fill="auto"/>
          </w:tcPr>
          <w:p w:rsidR="00B071DE" w:rsidRDefault="00B071DE" w:rsidP="008E0FD5"/>
        </w:tc>
      </w:tr>
    </w:tbl>
    <w:p w:rsidR="006B21C2" w:rsidRDefault="006B21C2"/>
    <w:tbl>
      <w:tblPr>
        <w:tblW w:w="10440" w:type="dxa"/>
        <w:jc w:val="center"/>
        <w:tblCellMar>
          <w:left w:w="0" w:type="dxa"/>
          <w:right w:w="0" w:type="dxa"/>
        </w:tblCellMar>
        <w:tblLook w:val="0000"/>
      </w:tblPr>
      <w:tblGrid>
        <w:gridCol w:w="10420"/>
        <w:gridCol w:w="20"/>
      </w:tblGrid>
      <w:tr w:rsidR="00B61D6C" w:rsidTr="00D670E2">
        <w:trPr>
          <w:trHeight w:val="720"/>
          <w:jc w:val="center"/>
        </w:trPr>
        <w:tc>
          <w:tcPr>
            <w:tcW w:w="10420" w:type="dxa"/>
            <w:shd w:val="clear" w:color="auto" w:fill="auto"/>
          </w:tcPr>
          <w:p w:rsidR="0080355B" w:rsidRDefault="0080355B" w:rsidP="0080355B">
            <w:pPr>
              <w:pStyle w:val="Heading2"/>
              <w:ind w:left="0"/>
              <w:rPr>
                <w:sz w:val="24"/>
                <w:szCs w:val="24"/>
              </w:rPr>
            </w:pPr>
          </w:p>
          <w:p w:rsidR="00B61D6C" w:rsidRDefault="00B34E02" w:rsidP="0080355B">
            <w:pPr>
              <w:pStyle w:val="Heading2"/>
              <w:ind w:left="0"/>
              <w:jc w:val="center"/>
            </w:pPr>
            <w:r>
              <w:rPr>
                <w:sz w:val="24"/>
                <w:szCs w:val="24"/>
              </w:rPr>
              <w:t>Status Component Inspections in Alaska</w:t>
            </w:r>
          </w:p>
        </w:tc>
        <w:tc>
          <w:tcPr>
            <w:tcW w:w="20" w:type="dxa"/>
            <w:vMerge w:val="restart"/>
            <w:shd w:val="clear" w:color="auto" w:fill="auto"/>
          </w:tcPr>
          <w:p w:rsidR="00B61D6C" w:rsidRDefault="00B61D6C" w:rsidP="008E0FD5"/>
        </w:tc>
      </w:tr>
      <w:tr w:rsidR="00D670E2" w:rsidTr="001D4423">
        <w:trPr>
          <w:trHeight w:val="12960"/>
          <w:jc w:val="center"/>
        </w:trPr>
        <w:tc>
          <w:tcPr>
            <w:tcW w:w="10420" w:type="dxa"/>
            <w:shd w:val="clear" w:color="auto" w:fill="auto"/>
          </w:tcPr>
          <w:p w:rsidR="00D670E2" w:rsidRDefault="00537F7E" w:rsidP="00537F7E">
            <w:pPr>
              <w:jc w:val="center"/>
            </w:pPr>
            <w:r>
              <w:rPr>
                <w:noProof/>
              </w:rPr>
              <w:drawing>
                <wp:inline distT="0" distB="0" distL="0" distR="0">
                  <wp:extent cx="5791985" cy="3748533"/>
                  <wp:effectExtent l="19050" t="0" r="0" b="0"/>
                  <wp:docPr id="5" name="Picture 2" descr="C:\Users\jlparks\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lparks\Desktop\Untitled.jpg"/>
                          <pic:cNvPicPr>
                            <a:picLocks noChangeAspect="1" noChangeArrowheads="1"/>
                          </pic:cNvPicPr>
                        </pic:nvPicPr>
                        <pic:blipFill>
                          <a:blip r:embed="rId12" cstate="print"/>
                          <a:stretch>
                            <a:fillRect/>
                          </a:stretch>
                        </pic:blipFill>
                        <pic:spPr bwMode="auto">
                          <a:xfrm>
                            <a:off x="0" y="0"/>
                            <a:ext cx="5791985" cy="3748533"/>
                          </a:xfrm>
                          <a:prstGeom prst="rect">
                            <a:avLst/>
                          </a:prstGeom>
                          <a:noFill/>
                          <a:ln w="9525">
                            <a:noFill/>
                            <a:miter lim="800000"/>
                            <a:headEnd/>
                            <a:tailEnd/>
                          </a:ln>
                        </pic:spPr>
                      </pic:pic>
                    </a:graphicData>
                  </a:graphic>
                </wp:inline>
              </w:drawing>
            </w:r>
          </w:p>
          <w:p w:rsidR="004055DA" w:rsidRDefault="004055DA" w:rsidP="00537F7E">
            <w:pPr>
              <w:jc w:val="center"/>
            </w:pPr>
          </w:p>
          <w:p w:rsidR="007A0B20" w:rsidRDefault="007A0B20" w:rsidP="00537F7E">
            <w:pPr>
              <w:jc w:val="center"/>
            </w:pPr>
          </w:p>
          <w:p w:rsidR="007A0B20" w:rsidRDefault="007A0B20" w:rsidP="00537F7E">
            <w:pPr>
              <w:jc w:val="center"/>
            </w:pPr>
          </w:p>
          <w:p w:rsidR="007A0B20" w:rsidRDefault="007A0B20" w:rsidP="00537F7E">
            <w:pPr>
              <w:jc w:val="center"/>
            </w:pPr>
          </w:p>
          <w:p w:rsidR="007A0B20" w:rsidRDefault="007A0B20" w:rsidP="00537F7E">
            <w:pPr>
              <w:jc w:val="center"/>
            </w:pPr>
          </w:p>
          <w:p w:rsidR="007A0B20" w:rsidRDefault="007A0B20" w:rsidP="00537F7E">
            <w:pPr>
              <w:jc w:val="center"/>
            </w:pPr>
          </w:p>
          <w:p w:rsidR="004055DA" w:rsidRDefault="007A0B20" w:rsidP="00537F7E">
            <w:pPr>
              <w:jc w:val="center"/>
            </w:pPr>
            <w:r>
              <w:rPr>
                <w:noProof/>
              </w:rPr>
              <w:drawing>
                <wp:inline distT="0" distB="0" distL="0" distR="0">
                  <wp:extent cx="5744685" cy="3767720"/>
                  <wp:effectExtent l="19050" t="0" r="8415" b="0"/>
                  <wp:docPr id="7" name="Picture 4" descr="C:\Users\jlparks\Desktop\SCI gov repo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lparks\Desktop\SCI gov report 2.jpg"/>
                          <pic:cNvPicPr>
                            <a:picLocks noChangeAspect="1" noChangeArrowheads="1"/>
                          </pic:cNvPicPr>
                        </pic:nvPicPr>
                        <pic:blipFill>
                          <a:blip r:embed="rId13" cstate="print"/>
                          <a:stretch>
                            <a:fillRect/>
                          </a:stretch>
                        </pic:blipFill>
                        <pic:spPr bwMode="auto">
                          <a:xfrm>
                            <a:off x="0" y="0"/>
                            <a:ext cx="5744685" cy="3767720"/>
                          </a:xfrm>
                          <a:prstGeom prst="rect">
                            <a:avLst/>
                          </a:prstGeom>
                          <a:noFill/>
                          <a:ln w="9525">
                            <a:noFill/>
                            <a:miter lim="800000"/>
                            <a:headEnd/>
                            <a:tailEnd/>
                          </a:ln>
                        </pic:spPr>
                      </pic:pic>
                    </a:graphicData>
                  </a:graphic>
                </wp:inline>
              </w:drawing>
            </w:r>
          </w:p>
        </w:tc>
        <w:tc>
          <w:tcPr>
            <w:tcW w:w="20" w:type="dxa"/>
            <w:vMerge/>
            <w:shd w:val="clear" w:color="auto" w:fill="auto"/>
          </w:tcPr>
          <w:p w:rsidR="00D670E2" w:rsidRDefault="00D670E2" w:rsidP="008E0FD5"/>
        </w:tc>
      </w:tr>
    </w:tbl>
    <w:p w:rsidR="00D25948" w:rsidRDefault="00D25948"/>
    <w:p w:rsidR="00995747" w:rsidRDefault="00995747"/>
    <w:p w:rsidR="00B364EC" w:rsidRDefault="00B364EC"/>
    <w:p w:rsidR="00B364EC" w:rsidRDefault="00B364EC"/>
    <w:tbl>
      <w:tblPr>
        <w:tblW w:w="10440" w:type="dxa"/>
        <w:jc w:val="center"/>
        <w:tblCellMar>
          <w:left w:w="0" w:type="dxa"/>
          <w:right w:w="0" w:type="dxa"/>
        </w:tblCellMar>
        <w:tblLook w:val="0000"/>
      </w:tblPr>
      <w:tblGrid>
        <w:gridCol w:w="20"/>
        <w:gridCol w:w="5220"/>
        <w:gridCol w:w="5180"/>
        <w:gridCol w:w="20"/>
      </w:tblGrid>
      <w:tr w:rsidR="00D8695C" w:rsidTr="00783F9A">
        <w:trPr>
          <w:trHeight w:val="720"/>
          <w:jc w:val="center"/>
        </w:trPr>
        <w:tc>
          <w:tcPr>
            <w:tcW w:w="20" w:type="dxa"/>
            <w:vMerge w:val="restart"/>
            <w:tcBorders>
              <w:top w:val="single" w:sz="4" w:space="0" w:color="008080"/>
            </w:tcBorders>
            <w:shd w:val="clear" w:color="auto" w:fill="auto"/>
          </w:tcPr>
          <w:p w:rsidR="00D8695C" w:rsidRDefault="00727972" w:rsidP="008E0FD5">
            <w:r>
              <w:rPr>
                <w:noProof/>
              </w:rPr>
              <w:pict>
                <v:shape id="_x0000_s1217" type="#_x0000_t202" style="position:absolute;margin-left:7.7pt;margin-top:12.25pt;width:110.95pt;height:99.45pt;z-index:-251629568;mso-wrap-style:none;mso-position-horizontal-relative:page;mso-position-vertical-relative:page" filled="f" stroked="f">
                  <v:textbox style="mso-next-textbox:#_x0000_s1217;mso-fit-shape-to-text:t">
                    <w:txbxContent>
                      <w:p w:rsidR="00EC6404" w:rsidRPr="009F3C9E" w:rsidRDefault="00EC6404"/>
                    </w:txbxContent>
                  </v:textbox>
                  <w10:wrap anchorx="page" anchory="page"/>
                </v:shape>
              </w:pict>
            </w:r>
          </w:p>
        </w:tc>
        <w:tc>
          <w:tcPr>
            <w:tcW w:w="10420" w:type="dxa"/>
            <w:gridSpan w:val="3"/>
            <w:tcBorders>
              <w:top w:val="single" w:sz="4" w:space="0" w:color="008080"/>
            </w:tcBorders>
            <w:shd w:val="clear" w:color="auto" w:fill="auto"/>
          </w:tcPr>
          <w:p w:rsidR="00D8695C" w:rsidRDefault="0080355B" w:rsidP="0084338E">
            <w:pPr>
              <w:pStyle w:val="Heading2"/>
              <w:ind w:left="0"/>
            </w:pPr>
            <w:r>
              <w:t xml:space="preserve">  </w:t>
            </w:r>
            <w:r w:rsidR="00327F29">
              <w:t>Ko</w:t>
            </w:r>
            <w:r w:rsidR="0084338E">
              <w:t>ngiganak</w:t>
            </w:r>
          </w:p>
        </w:tc>
      </w:tr>
      <w:tr w:rsidR="006165C0" w:rsidTr="00060C43">
        <w:trPr>
          <w:trHeight w:val="6552"/>
          <w:jc w:val="center"/>
        </w:trPr>
        <w:tc>
          <w:tcPr>
            <w:tcW w:w="20" w:type="dxa"/>
            <w:vMerge/>
            <w:shd w:val="clear" w:color="auto" w:fill="auto"/>
          </w:tcPr>
          <w:p w:rsidR="006165C0" w:rsidRDefault="006165C0" w:rsidP="008E0FD5"/>
        </w:tc>
        <w:tc>
          <w:tcPr>
            <w:tcW w:w="5220" w:type="dxa"/>
            <w:vMerge w:val="restart"/>
            <w:shd w:val="clear" w:color="auto" w:fill="auto"/>
          </w:tcPr>
          <w:p w:rsidR="006165C0" w:rsidRDefault="006165C0" w:rsidP="00B535DD"/>
          <w:p w:rsidR="006165C0" w:rsidRDefault="006165C0" w:rsidP="006165C0">
            <w:pPr>
              <w:jc w:val="center"/>
            </w:pPr>
            <w:r w:rsidRPr="00B535DD">
              <w:rPr>
                <w:noProof/>
              </w:rPr>
              <w:drawing>
                <wp:inline distT="0" distB="0" distL="0" distR="0">
                  <wp:extent cx="3233024" cy="4044875"/>
                  <wp:effectExtent l="19050" t="0" r="5476" b="0"/>
                  <wp:docPr id="40" name="Picture 5" descr="G:\EH\Eh-Dw\ENGINEERING\Capacity Development\CapacityDevptReports\GovernorsReport\2011\watertank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H\Eh-Dw\ENGINEERING\Capacity Development\CapacityDevptReports\GovernorsReport\2011\watertanks2.JPG"/>
                          <pic:cNvPicPr>
                            <a:picLocks noChangeAspect="1" noChangeArrowheads="1"/>
                          </pic:cNvPicPr>
                        </pic:nvPicPr>
                        <pic:blipFill>
                          <a:blip r:embed="rId14" cstate="print"/>
                          <a:srcRect/>
                          <a:stretch>
                            <a:fillRect/>
                          </a:stretch>
                        </pic:blipFill>
                        <pic:spPr bwMode="auto">
                          <a:xfrm>
                            <a:off x="0" y="0"/>
                            <a:ext cx="3235255" cy="4047666"/>
                          </a:xfrm>
                          <a:prstGeom prst="rect">
                            <a:avLst/>
                          </a:prstGeom>
                          <a:noFill/>
                          <a:ln w="9525">
                            <a:noFill/>
                            <a:miter lim="800000"/>
                            <a:headEnd/>
                            <a:tailEnd/>
                          </a:ln>
                        </pic:spPr>
                      </pic:pic>
                    </a:graphicData>
                  </a:graphic>
                </wp:inline>
              </w:drawing>
            </w:r>
          </w:p>
          <w:p w:rsidR="006165C0" w:rsidRDefault="006165C0" w:rsidP="00060C43">
            <w:pPr>
              <w:jc w:val="center"/>
            </w:pPr>
            <w:r>
              <w:t>Chlorinated Water Storage</w:t>
            </w:r>
          </w:p>
          <w:p w:rsidR="006165C0" w:rsidRDefault="006165C0" w:rsidP="00060C43">
            <w:pPr>
              <w:jc w:val="center"/>
            </w:pPr>
            <w:r>
              <w:t>(chlorine enters tank on upper right)</w:t>
            </w:r>
          </w:p>
          <w:p w:rsidR="006165C0" w:rsidRDefault="006165C0" w:rsidP="00060C43">
            <w:pPr>
              <w:jc w:val="center"/>
            </w:pPr>
          </w:p>
          <w:p w:rsidR="006165C0" w:rsidRDefault="005C74C0" w:rsidP="00C615DF">
            <w:pPr>
              <w:jc w:val="center"/>
            </w:pPr>
            <w:r w:rsidRPr="00F0517C">
              <w:rPr>
                <w:noProof/>
              </w:rPr>
              <w:drawing>
                <wp:inline distT="0" distB="0" distL="0" distR="0">
                  <wp:extent cx="3100668" cy="3462626"/>
                  <wp:effectExtent l="19050" t="0" r="4482" b="0"/>
                  <wp:docPr id="45" name="Picture 2" descr="G:\EH\Eh-Dw\ENGINEERING\Capacity Development\CapacityDevptReports\GovernorsReport\2011\watering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H\Eh-Dw\ENGINEERING\Capacity Development\CapacityDevptReports\GovernorsReport\2011\wateringpoint.JPG"/>
                          <pic:cNvPicPr>
                            <a:picLocks noChangeAspect="1" noChangeArrowheads="1"/>
                          </pic:cNvPicPr>
                        </pic:nvPicPr>
                        <pic:blipFill>
                          <a:blip r:embed="rId15" cstate="print"/>
                          <a:srcRect/>
                          <a:stretch>
                            <a:fillRect/>
                          </a:stretch>
                        </pic:blipFill>
                        <pic:spPr bwMode="auto">
                          <a:xfrm>
                            <a:off x="0" y="0"/>
                            <a:ext cx="3100668" cy="3462626"/>
                          </a:xfrm>
                          <a:prstGeom prst="rect">
                            <a:avLst/>
                          </a:prstGeom>
                          <a:noFill/>
                          <a:ln w="9525">
                            <a:noFill/>
                            <a:miter lim="800000"/>
                            <a:headEnd/>
                            <a:tailEnd/>
                          </a:ln>
                        </pic:spPr>
                      </pic:pic>
                    </a:graphicData>
                  </a:graphic>
                </wp:inline>
              </w:drawing>
            </w:r>
            <w:r w:rsidR="00BD5478">
              <w:rPr>
                <w:noProof/>
              </w:rPr>
              <w:t xml:space="preserve"> Community Watering Point</w:t>
            </w:r>
            <w:r w:rsidR="00BD5478">
              <w:t xml:space="preserve"> </w:t>
            </w:r>
          </w:p>
        </w:tc>
        <w:tc>
          <w:tcPr>
            <w:tcW w:w="5180" w:type="dxa"/>
            <w:vMerge w:val="restart"/>
            <w:shd w:val="clear" w:color="auto" w:fill="auto"/>
          </w:tcPr>
          <w:p w:rsidR="006165C0" w:rsidRDefault="00727972" w:rsidP="0035652F">
            <w:pPr>
              <w:jc w:val="center"/>
              <w:rPr>
                <w:noProof/>
              </w:rPr>
            </w:pPr>
            <w:r>
              <w:rPr>
                <w:noProof/>
              </w:rPr>
              <w:pict>
                <v:shape id="_x0000_s1263" type="#_x0000_t202" style="position:absolute;left:0;text-align:left;margin-left:.45pt;margin-top:3.8pt;width:259.5pt;height:388.2pt;z-index:251715584;mso-position-horizontal-relative:page;mso-position-vertical-relative:page" filled="f" stroked="f">
                  <v:textbox style="mso-next-textbox:#_x0000_s1263">
                    <w:txbxContent>
                      <w:p w:rsidR="00EC6404" w:rsidRDefault="00EC6404" w:rsidP="00120653">
                        <w:pPr>
                          <w:pStyle w:val="NewsletterBodyText"/>
                        </w:pPr>
                        <w:r>
                          <w:t>A Status Component Inspection was conducted in Kongiganak on May 25, 2010.  The Kongiganak water system serves a central community watering point located at the washeteria.  Residents bring their own water jugs and fill them from the hose located outside the building.  There is no piped public water distribution.</w:t>
                        </w:r>
                      </w:p>
                      <w:p w:rsidR="00EC6404" w:rsidRDefault="00EC6404" w:rsidP="00120653">
                        <w:pPr>
                          <w:pStyle w:val="NewsletterBodyText"/>
                        </w:pPr>
                        <w:r>
                          <w:t>Surface water is obtained from Contractor Lake, and then sent to a “direct treatment” water system where it is coagulated (to make sediment particles stick together), filtered, and then disinfected.  Each of these treatment steps is important to effectively remove pathogens.  The system also included bag filters which were not in use at the time of the inspection.</w:t>
                        </w:r>
                      </w:p>
                      <w:p w:rsidR="00EC6404" w:rsidRDefault="00EC6404" w:rsidP="00783F9A">
                        <w:pPr>
                          <w:pStyle w:val="NewsletterBodyText"/>
                        </w:pPr>
                        <w:r>
                          <w:t xml:space="preserve">Prior reports received by DEC indicated that the system used a 5,000 gallon storage tank in the disinfection process. There was no mention of issues with the filtration system. </w:t>
                        </w:r>
                      </w:p>
                      <w:p w:rsidR="00EC6404" w:rsidRDefault="00EC6404" w:rsidP="00783F9A">
                        <w:pPr>
                          <w:pStyle w:val="NewsletterBodyText"/>
                        </w:pPr>
                        <w:r>
                          <w:t xml:space="preserve">At the time of our inspection, the water storage consisted of 64 parallel 150 gallon tanks, connected at the base by a common manifold.  Chlorination entered one of these tanks. The filtration system was not well maintained, and the instruments (turbidimeters) that are used to evaluate the effectiveness of filtration were also not maintained. Kongiganak will not be able to meet minimum </w:t>
                        </w:r>
                        <w:r w:rsidR="00555C72">
                          <w:t>S</w:t>
                        </w:r>
                        <w:r>
                          <w:t xml:space="preserve">urface </w:t>
                        </w:r>
                        <w:r w:rsidR="00555C72">
                          <w:t>W</w:t>
                        </w:r>
                        <w:r>
                          <w:t xml:space="preserve">ater </w:t>
                        </w:r>
                        <w:r w:rsidR="00555C72">
                          <w:t>T</w:t>
                        </w:r>
                        <w:r>
                          <w:t xml:space="preserve">reatment </w:t>
                        </w:r>
                        <w:r w:rsidR="00555C72">
                          <w:t>R</w:t>
                        </w:r>
                        <w:r>
                          <w:t xml:space="preserve">ule </w:t>
                        </w:r>
                        <w:r w:rsidR="00555C72">
                          <w:t>r</w:t>
                        </w:r>
                        <w:r>
                          <w:t xml:space="preserve">equirements without upgrading or replacing their existing treatment infrastructure.  The water storage component of the system will need to be modified.  Operations and maintenance of the filtration system will need to be addressed. </w:t>
                        </w:r>
                      </w:p>
                      <w:p w:rsidR="00EC6404" w:rsidRDefault="00EC6404" w:rsidP="00783F9A">
                        <w:pPr>
                          <w:pStyle w:val="NewsletterBodyText"/>
                        </w:pPr>
                        <w:r>
                          <w:t>The DEC Village Safe Water Program will be working with the community to address their drinking water needs.</w:t>
                        </w:r>
                      </w:p>
                      <w:p w:rsidR="00EC6404" w:rsidRDefault="00EC6404" w:rsidP="00783F9A">
                        <w:pPr>
                          <w:pStyle w:val="NewsletterBodyText"/>
                        </w:pPr>
                      </w:p>
                    </w:txbxContent>
                  </v:textbox>
                  <w10:wrap anchorx="page" anchory="page"/>
                </v:shape>
              </w:pict>
            </w:r>
          </w:p>
          <w:p w:rsidR="006165C0" w:rsidRDefault="006165C0" w:rsidP="0035652F">
            <w:pPr>
              <w:jc w:val="center"/>
              <w:rPr>
                <w:noProof/>
              </w:rPr>
            </w:pPr>
          </w:p>
          <w:p w:rsidR="006165C0" w:rsidRDefault="006165C0" w:rsidP="0035652F">
            <w:pPr>
              <w:jc w:val="center"/>
              <w:rPr>
                <w:noProof/>
              </w:rPr>
            </w:pPr>
          </w:p>
          <w:p w:rsidR="006165C0" w:rsidRDefault="006165C0" w:rsidP="0035652F">
            <w:pPr>
              <w:jc w:val="center"/>
              <w:rPr>
                <w:noProof/>
              </w:rPr>
            </w:pPr>
          </w:p>
          <w:p w:rsidR="006165C0" w:rsidRDefault="006165C0" w:rsidP="0035652F">
            <w:pPr>
              <w:jc w:val="center"/>
              <w:rPr>
                <w:noProof/>
              </w:rPr>
            </w:pPr>
          </w:p>
          <w:p w:rsidR="006165C0" w:rsidRDefault="006165C0" w:rsidP="0035652F">
            <w:pPr>
              <w:jc w:val="center"/>
              <w:rPr>
                <w:noProof/>
              </w:rPr>
            </w:pPr>
          </w:p>
          <w:p w:rsidR="006165C0" w:rsidRDefault="006165C0" w:rsidP="0035652F">
            <w:pPr>
              <w:jc w:val="center"/>
              <w:rPr>
                <w:noProof/>
              </w:rPr>
            </w:pPr>
          </w:p>
          <w:p w:rsidR="006165C0" w:rsidRDefault="006165C0" w:rsidP="0035652F">
            <w:pPr>
              <w:jc w:val="center"/>
              <w:rPr>
                <w:noProof/>
              </w:rPr>
            </w:pPr>
          </w:p>
          <w:p w:rsidR="006165C0" w:rsidRDefault="006165C0" w:rsidP="0035652F">
            <w:pPr>
              <w:jc w:val="center"/>
              <w:rPr>
                <w:noProof/>
              </w:rPr>
            </w:pPr>
          </w:p>
          <w:p w:rsidR="006165C0" w:rsidRDefault="006165C0" w:rsidP="0035652F">
            <w:pPr>
              <w:jc w:val="center"/>
              <w:rPr>
                <w:noProof/>
              </w:rPr>
            </w:pPr>
          </w:p>
          <w:p w:rsidR="006165C0" w:rsidRDefault="006165C0" w:rsidP="0035652F">
            <w:pPr>
              <w:jc w:val="center"/>
              <w:rPr>
                <w:noProof/>
              </w:rPr>
            </w:pPr>
          </w:p>
          <w:p w:rsidR="006165C0" w:rsidRDefault="006165C0" w:rsidP="0035652F">
            <w:pPr>
              <w:jc w:val="center"/>
              <w:rPr>
                <w:noProof/>
              </w:rPr>
            </w:pPr>
          </w:p>
          <w:p w:rsidR="006165C0" w:rsidRDefault="006165C0" w:rsidP="0035652F">
            <w:pPr>
              <w:jc w:val="center"/>
              <w:rPr>
                <w:noProof/>
              </w:rPr>
            </w:pPr>
          </w:p>
          <w:p w:rsidR="006165C0" w:rsidRDefault="006165C0" w:rsidP="0035652F">
            <w:pPr>
              <w:jc w:val="center"/>
              <w:rPr>
                <w:noProof/>
              </w:rPr>
            </w:pPr>
          </w:p>
          <w:p w:rsidR="006165C0" w:rsidRDefault="006165C0" w:rsidP="0035652F">
            <w:pPr>
              <w:jc w:val="center"/>
              <w:rPr>
                <w:noProof/>
              </w:rPr>
            </w:pPr>
          </w:p>
          <w:p w:rsidR="006165C0" w:rsidRDefault="006165C0" w:rsidP="0035652F">
            <w:pPr>
              <w:jc w:val="center"/>
              <w:rPr>
                <w:noProof/>
              </w:rPr>
            </w:pPr>
          </w:p>
          <w:p w:rsidR="006165C0" w:rsidRDefault="006165C0" w:rsidP="0035652F">
            <w:pPr>
              <w:jc w:val="center"/>
              <w:rPr>
                <w:noProof/>
              </w:rPr>
            </w:pPr>
          </w:p>
          <w:p w:rsidR="006165C0" w:rsidRDefault="006165C0" w:rsidP="0035652F">
            <w:pPr>
              <w:jc w:val="center"/>
              <w:rPr>
                <w:noProof/>
              </w:rPr>
            </w:pPr>
          </w:p>
          <w:p w:rsidR="006165C0" w:rsidRDefault="006165C0" w:rsidP="0035652F">
            <w:pPr>
              <w:jc w:val="center"/>
              <w:rPr>
                <w:noProof/>
              </w:rPr>
            </w:pPr>
          </w:p>
          <w:p w:rsidR="006165C0" w:rsidRDefault="006165C0" w:rsidP="0035652F">
            <w:pPr>
              <w:jc w:val="center"/>
              <w:rPr>
                <w:noProof/>
              </w:rPr>
            </w:pPr>
          </w:p>
          <w:p w:rsidR="006165C0" w:rsidRDefault="006165C0" w:rsidP="0035652F">
            <w:pPr>
              <w:jc w:val="center"/>
              <w:rPr>
                <w:noProof/>
              </w:rPr>
            </w:pPr>
          </w:p>
          <w:p w:rsidR="006165C0" w:rsidRDefault="006165C0" w:rsidP="0035652F">
            <w:pPr>
              <w:jc w:val="center"/>
              <w:rPr>
                <w:noProof/>
              </w:rPr>
            </w:pPr>
          </w:p>
          <w:p w:rsidR="006165C0" w:rsidRDefault="006165C0" w:rsidP="0035652F">
            <w:pPr>
              <w:jc w:val="center"/>
              <w:rPr>
                <w:noProof/>
              </w:rPr>
            </w:pPr>
          </w:p>
          <w:p w:rsidR="006165C0" w:rsidRDefault="006165C0" w:rsidP="0035652F">
            <w:pPr>
              <w:jc w:val="center"/>
              <w:rPr>
                <w:noProof/>
              </w:rPr>
            </w:pPr>
          </w:p>
          <w:p w:rsidR="006165C0" w:rsidRDefault="006165C0" w:rsidP="0035652F">
            <w:pPr>
              <w:jc w:val="center"/>
              <w:rPr>
                <w:noProof/>
              </w:rPr>
            </w:pPr>
          </w:p>
          <w:p w:rsidR="006165C0" w:rsidRDefault="006165C0" w:rsidP="0035652F">
            <w:pPr>
              <w:jc w:val="center"/>
              <w:rPr>
                <w:noProof/>
              </w:rPr>
            </w:pPr>
          </w:p>
          <w:p w:rsidR="006165C0" w:rsidRDefault="006165C0" w:rsidP="0035652F">
            <w:pPr>
              <w:jc w:val="center"/>
              <w:rPr>
                <w:noProof/>
              </w:rPr>
            </w:pPr>
          </w:p>
          <w:p w:rsidR="006165C0" w:rsidRDefault="006165C0" w:rsidP="0035652F">
            <w:pPr>
              <w:jc w:val="center"/>
              <w:rPr>
                <w:noProof/>
              </w:rPr>
            </w:pPr>
          </w:p>
          <w:p w:rsidR="006165C0" w:rsidRDefault="006165C0" w:rsidP="0035652F">
            <w:pPr>
              <w:jc w:val="center"/>
              <w:rPr>
                <w:noProof/>
              </w:rPr>
            </w:pPr>
          </w:p>
          <w:p w:rsidR="006165C0" w:rsidRDefault="006165C0" w:rsidP="0035652F">
            <w:pPr>
              <w:jc w:val="center"/>
              <w:rPr>
                <w:noProof/>
              </w:rPr>
            </w:pPr>
          </w:p>
          <w:p w:rsidR="006165C0" w:rsidRDefault="006165C0" w:rsidP="0035652F">
            <w:pPr>
              <w:jc w:val="center"/>
              <w:rPr>
                <w:noProof/>
              </w:rPr>
            </w:pPr>
          </w:p>
          <w:p w:rsidR="006165C0" w:rsidRDefault="006165C0" w:rsidP="0035652F">
            <w:pPr>
              <w:jc w:val="center"/>
              <w:rPr>
                <w:noProof/>
              </w:rPr>
            </w:pPr>
          </w:p>
          <w:p w:rsidR="006165C0" w:rsidRDefault="006165C0" w:rsidP="0035652F">
            <w:pPr>
              <w:jc w:val="center"/>
              <w:rPr>
                <w:noProof/>
              </w:rPr>
            </w:pPr>
          </w:p>
          <w:p w:rsidR="006165C0" w:rsidRDefault="006165C0" w:rsidP="0035652F">
            <w:pPr>
              <w:jc w:val="center"/>
              <w:rPr>
                <w:noProof/>
              </w:rPr>
            </w:pPr>
          </w:p>
          <w:p w:rsidR="006165C0" w:rsidRDefault="006165C0" w:rsidP="0035652F">
            <w:pPr>
              <w:jc w:val="center"/>
              <w:rPr>
                <w:noProof/>
              </w:rPr>
            </w:pPr>
          </w:p>
          <w:p w:rsidR="006165C0" w:rsidRDefault="006165C0" w:rsidP="0035652F">
            <w:pPr>
              <w:jc w:val="center"/>
              <w:rPr>
                <w:noProof/>
              </w:rPr>
            </w:pPr>
          </w:p>
          <w:p w:rsidR="005C74C0" w:rsidRDefault="005C74C0" w:rsidP="0035652F">
            <w:pPr>
              <w:jc w:val="center"/>
              <w:rPr>
                <w:noProof/>
              </w:rPr>
            </w:pPr>
          </w:p>
          <w:p w:rsidR="005C74C0" w:rsidRDefault="005C74C0" w:rsidP="0035652F">
            <w:pPr>
              <w:jc w:val="center"/>
              <w:rPr>
                <w:noProof/>
              </w:rPr>
            </w:pPr>
          </w:p>
          <w:p w:rsidR="005C74C0" w:rsidRDefault="005C74C0" w:rsidP="0035652F">
            <w:pPr>
              <w:jc w:val="center"/>
              <w:rPr>
                <w:noProof/>
              </w:rPr>
            </w:pPr>
          </w:p>
          <w:p w:rsidR="005C74C0" w:rsidRDefault="005C74C0" w:rsidP="0035652F">
            <w:pPr>
              <w:jc w:val="center"/>
              <w:rPr>
                <w:noProof/>
              </w:rPr>
            </w:pPr>
          </w:p>
          <w:p w:rsidR="006165C0" w:rsidRDefault="006165C0" w:rsidP="0035652F">
            <w:pPr>
              <w:jc w:val="center"/>
              <w:rPr>
                <w:noProof/>
              </w:rPr>
            </w:pPr>
          </w:p>
          <w:p w:rsidR="006165C0" w:rsidRDefault="005C74C0" w:rsidP="00BD5478">
            <w:pPr>
              <w:jc w:val="center"/>
            </w:pPr>
            <w:r w:rsidRPr="00F0517C">
              <w:rPr>
                <w:noProof/>
              </w:rPr>
              <w:drawing>
                <wp:inline distT="0" distB="0" distL="0" distR="0">
                  <wp:extent cx="2995164" cy="2614108"/>
                  <wp:effectExtent l="19050" t="0" r="0" b="0"/>
                  <wp:docPr id="44" name="Picture 6" descr="G:\EH\Eh-Dw\ENGINEERING\Capacity Development\CapacityDevptReports\GovernorsReport\2011\l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H\Eh-Dw\ENGINEERING\Capacity Development\CapacityDevptReports\GovernorsReport\2011\lake.JPG"/>
                          <pic:cNvPicPr>
                            <a:picLocks noChangeAspect="1" noChangeArrowheads="1"/>
                          </pic:cNvPicPr>
                        </pic:nvPicPr>
                        <pic:blipFill>
                          <a:blip r:embed="rId16" cstate="print"/>
                          <a:srcRect/>
                          <a:stretch>
                            <a:fillRect/>
                          </a:stretch>
                        </pic:blipFill>
                        <pic:spPr bwMode="auto">
                          <a:xfrm>
                            <a:off x="0" y="0"/>
                            <a:ext cx="3000726" cy="2618963"/>
                          </a:xfrm>
                          <a:prstGeom prst="rect">
                            <a:avLst/>
                          </a:prstGeom>
                          <a:noFill/>
                          <a:ln w="9525">
                            <a:noFill/>
                            <a:miter lim="800000"/>
                            <a:headEnd/>
                            <a:tailEnd/>
                          </a:ln>
                        </pic:spPr>
                      </pic:pic>
                    </a:graphicData>
                  </a:graphic>
                </wp:inline>
              </w:drawing>
            </w:r>
          </w:p>
          <w:p w:rsidR="00BD5478" w:rsidRDefault="00BD5478" w:rsidP="00BD5478">
            <w:pPr>
              <w:jc w:val="center"/>
            </w:pPr>
            <w:r>
              <w:t>Contractor Lake</w:t>
            </w:r>
          </w:p>
          <w:p w:rsidR="00BD5478" w:rsidRDefault="00BD5478" w:rsidP="00BD5478">
            <w:pPr>
              <w:jc w:val="center"/>
            </w:pPr>
          </w:p>
          <w:p w:rsidR="00BD5478" w:rsidRDefault="00BD5478" w:rsidP="00BD5478"/>
        </w:tc>
        <w:tc>
          <w:tcPr>
            <w:tcW w:w="20" w:type="dxa"/>
            <w:shd w:val="clear" w:color="auto" w:fill="auto"/>
          </w:tcPr>
          <w:p w:rsidR="006165C0" w:rsidRDefault="006165C0" w:rsidP="008E0FD5"/>
        </w:tc>
      </w:tr>
      <w:tr w:rsidR="006165C0" w:rsidTr="00060C43">
        <w:trPr>
          <w:trHeight w:val="6201"/>
          <w:jc w:val="center"/>
        </w:trPr>
        <w:tc>
          <w:tcPr>
            <w:tcW w:w="20" w:type="dxa"/>
            <w:shd w:val="clear" w:color="auto" w:fill="auto"/>
          </w:tcPr>
          <w:p w:rsidR="006165C0" w:rsidRDefault="006165C0" w:rsidP="008E0FD5"/>
        </w:tc>
        <w:tc>
          <w:tcPr>
            <w:tcW w:w="5220" w:type="dxa"/>
            <w:vMerge/>
            <w:shd w:val="clear" w:color="auto" w:fill="auto"/>
          </w:tcPr>
          <w:p w:rsidR="006165C0" w:rsidRDefault="006165C0" w:rsidP="009C2EB0">
            <w:pPr>
              <w:jc w:val="center"/>
              <w:rPr>
                <w:noProof/>
              </w:rPr>
            </w:pPr>
          </w:p>
        </w:tc>
        <w:tc>
          <w:tcPr>
            <w:tcW w:w="5180" w:type="dxa"/>
            <w:vMerge/>
            <w:shd w:val="clear" w:color="auto" w:fill="auto"/>
          </w:tcPr>
          <w:p w:rsidR="006165C0" w:rsidRDefault="006165C0" w:rsidP="00D67C63">
            <w:pPr>
              <w:jc w:val="center"/>
              <w:rPr>
                <w:noProof/>
              </w:rPr>
            </w:pPr>
          </w:p>
        </w:tc>
        <w:tc>
          <w:tcPr>
            <w:tcW w:w="20" w:type="dxa"/>
            <w:shd w:val="clear" w:color="auto" w:fill="auto"/>
          </w:tcPr>
          <w:p w:rsidR="006165C0" w:rsidRDefault="006165C0" w:rsidP="008E0FD5"/>
        </w:tc>
      </w:tr>
    </w:tbl>
    <w:p w:rsidR="00060C43" w:rsidRDefault="00060C43"/>
    <w:p w:rsidR="00D8695C" w:rsidRDefault="00D8695C"/>
    <w:p w:rsidR="006B021F" w:rsidRDefault="006B021F"/>
    <w:p w:rsidR="006B021F" w:rsidRDefault="006B021F"/>
    <w:tbl>
      <w:tblPr>
        <w:tblW w:w="10440" w:type="dxa"/>
        <w:jc w:val="center"/>
        <w:tblCellMar>
          <w:left w:w="0" w:type="dxa"/>
          <w:right w:w="0" w:type="dxa"/>
        </w:tblCellMar>
        <w:tblLook w:val="0000"/>
      </w:tblPr>
      <w:tblGrid>
        <w:gridCol w:w="5220"/>
        <w:gridCol w:w="5220"/>
      </w:tblGrid>
      <w:tr w:rsidR="006B021F" w:rsidTr="006B021F">
        <w:trPr>
          <w:trHeight w:val="755"/>
          <w:jc w:val="center"/>
        </w:trPr>
        <w:tc>
          <w:tcPr>
            <w:tcW w:w="5220" w:type="dxa"/>
            <w:tcBorders>
              <w:top w:val="single" w:sz="4" w:space="0" w:color="008080"/>
            </w:tcBorders>
            <w:shd w:val="clear" w:color="auto" w:fill="auto"/>
          </w:tcPr>
          <w:p w:rsidR="006B021F" w:rsidRDefault="0097000C" w:rsidP="004D6162">
            <w:pPr>
              <w:pStyle w:val="Heading2"/>
              <w:ind w:left="0"/>
            </w:pPr>
            <w:r>
              <w:t xml:space="preserve">  </w:t>
            </w:r>
            <w:r w:rsidR="004D6162">
              <w:t>Noatak</w:t>
            </w:r>
          </w:p>
        </w:tc>
        <w:tc>
          <w:tcPr>
            <w:tcW w:w="5220" w:type="dxa"/>
            <w:tcBorders>
              <w:top w:val="single" w:sz="4" w:space="0" w:color="008080"/>
            </w:tcBorders>
            <w:shd w:val="clear" w:color="auto" w:fill="auto"/>
          </w:tcPr>
          <w:p w:rsidR="006B021F" w:rsidRDefault="00727972" w:rsidP="009C2EB0">
            <w:pPr>
              <w:pStyle w:val="Heading2"/>
            </w:pPr>
            <w:r>
              <w:rPr>
                <w:noProof/>
              </w:rPr>
              <w:pict>
                <v:shape id="_x0000_s1258" type="#_x0000_t202" style="position:absolute;left:0;text-align:left;margin-left:.6pt;margin-top:35.85pt;width:259.5pt;height:644.25pt;z-index:251709440;mso-position-horizontal-relative:page;mso-position-vertical-relative:page" filled="f" stroked="f">
                  <v:textbox style="mso-next-textbox:#_x0000_s1258">
                    <w:txbxContent>
                      <w:p w:rsidR="00EC6404" w:rsidRDefault="00EC6404" w:rsidP="004D6162">
                        <w:pPr>
                          <w:pStyle w:val="NewsletterBodyText"/>
                        </w:pPr>
                        <w:r>
                          <w:t>A Status Component Inspection was conducted in Noatak on November 11, 2010.  The Noatak water system serves 485 residents through a piped distribution system.</w:t>
                        </w:r>
                      </w:p>
                      <w:p w:rsidR="00EC6404" w:rsidRDefault="00EC6404" w:rsidP="004D6162">
                        <w:pPr>
                          <w:pStyle w:val="NewsletterBodyText"/>
                        </w:pPr>
                        <w:r>
                          <w:t>The water source for Noatak is two wells on an island in the Noatak River.  Based on submitted information, the wells were assumed to be “Ground Water Under the Direct Influence of Surface Water” (GWUDISW) at the time they were installed.  As a GWUDISW source they represent a similar risk of contamination as surface water and are required to have the same treatment.   The current treatment system for Noatak is bag and cartridge filtration followed by disinfection.</w:t>
                        </w:r>
                      </w:p>
                      <w:p w:rsidR="00EC6404" w:rsidRDefault="00EC6404" w:rsidP="004D6162">
                        <w:pPr>
                          <w:pStyle w:val="NewsletterBodyText"/>
                        </w:pPr>
                        <w:r>
                          <w:t xml:space="preserve">The filtration system consists of three stages.  The first stage of bag filtration is intended to remove the larger particles.  This is followed by a second stage of cartridge filtration which is intended to remove smaller particles and protect the third and final stage.  The final cartridge is intended to remove </w:t>
                        </w:r>
                        <w:r w:rsidRPr="00DB0824">
                          <w:rPr>
                            <w:i/>
                          </w:rPr>
                          <w:t>Giardia</w:t>
                        </w:r>
                        <w:r>
                          <w:t xml:space="preserve"> and </w:t>
                        </w:r>
                        <w:r w:rsidRPr="00DB0824">
                          <w:rPr>
                            <w:i/>
                          </w:rPr>
                          <w:t>Cryptosporidium</w:t>
                        </w:r>
                        <w:r>
                          <w:t xml:space="preserve"> sized particles.  This final cartridge is easily plugged with sediment and is relatively expensive.  Following filtration, chlorine is added to disinfect the water.  The water is then stored in a 97,000 gallon storage tank.   </w:t>
                        </w:r>
                      </w:p>
                      <w:p w:rsidR="00EC6404" w:rsidRDefault="00EC6404" w:rsidP="004D6162">
                        <w:pPr>
                          <w:pStyle w:val="NewsletterBodyText"/>
                        </w:pPr>
                        <w:r>
                          <w:t xml:space="preserve">At the time of the inspection the third stage cartridge filters were not being used because there was only one set of filters remaining and the City was not able to afford more replacements.  Without these cartridge filters the system was not meeting </w:t>
                        </w:r>
                        <w:r w:rsidR="00AA35D2">
                          <w:t>S</w:t>
                        </w:r>
                        <w:r>
                          <w:t xml:space="preserve">urface </w:t>
                        </w:r>
                        <w:r w:rsidR="00AA35D2">
                          <w:t>W</w:t>
                        </w:r>
                        <w:r>
                          <w:t xml:space="preserve">ater </w:t>
                        </w:r>
                        <w:r w:rsidR="00AA35D2">
                          <w:t>T</w:t>
                        </w:r>
                        <w:r>
                          <w:t xml:space="preserve">reatment </w:t>
                        </w:r>
                        <w:r w:rsidR="00AA35D2">
                          <w:t xml:space="preserve">Rule </w:t>
                        </w:r>
                        <w:r>
                          <w:t xml:space="preserve">requirements and was relying on the disinfection system as the only barrier to contamination (chlorine is effective on </w:t>
                        </w:r>
                        <w:r w:rsidRPr="000C1F3B">
                          <w:rPr>
                            <w:i/>
                          </w:rPr>
                          <w:t>Giardia</w:t>
                        </w:r>
                        <w:r>
                          <w:t xml:space="preserve">, but not on </w:t>
                        </w:r>
                        <w:r w:rsidRPr="000C1F3B">
                          <w:rPr>
                            <w:i/>
                          </w:rPr>
                          <w:t>Cryptosporidium</w:t>
                        </w:r>
                        <w:r>
                          <w:t>).</w:t>
                        </w:r>
                      </w:p>
                      <w:p w:rsidR="00EC6404" w:rsidRDefault="00EC6404" w:rsidP="004D6162">
                        <w:pPr>
                          <w:pStyle w:val="NewsletterBodyText"/>
                        </w:pPr>
                        <w:r>
                          <w:t>Turbidimeters are used to evaluate the effectiveness of filtration systems and as indicators of surface water contamination.  Noatak has very low source water turbidity, much less than the regulatory limit even before treatment.  The design engineer assumed the source wells were GWUDISW at the time they were installed.   However, site conditions and the low turbidity of the source water indicate that these wells may be true groundwater.   As a groundwater system they would not need to operate and maintain an expensive surface water treatment system.   An accurate determination of the source water could be made based on a more thorough engineering evaluation.</w:t>
                        </w:r>
                      </w:p>
                      <w:p w:rsidR="00EC6404" w:rsidRDefault="00EC6404" w:rsidP="004D6162">
                        <w:pPr>
                          <w:pStyle w:val="NewsletterBodyText"/>
                        </w:pPr>
                        <w:r>
                          <w:t>Noatak needs to either conduct an evaluation of their wells to determine if they are actually groundwater, or provide treatment to meet current surface water treatment requirements.  A new surface water treatment system which will include coagulation and media filtration was designed by the Alaska Native Tribal Health Consortium (ANTHC) and was approved for construction in October 2009.  It has not been constructed.  No evaluation of their source wells has been initiated.</w:t>
                        </w:r>
                      </w:p>
                      <w:p w:rsidR="00EC6404" w:rsidRPr="004D6162" w:rsidRDefault="00EC6404" w:rsidP="004D6162"/>
                    </w:txbxContent>
                  </v:textbox>
                  <w10:wrap anchorx="page" anchory="page"/>
                </v:shape>
              </w:pict>
            </w:r>
          </w:p>
        </w:tc>
      </w:tr>
      <w:tr w:rsidR="006B021F" w:rsidTr="004D6162">
        <w:trPr>
          <w:trHeight w:val="4383"/>
          <w:jc w:val="center"/>
        </w:trPr>
        <w:tc>
          <w:tcPr>
            <w:tcW w:w="5220" w:type="dxa"/>
            <w:shd w:val="clear" w:color="auto" w:fill="auto"/>
          </w:tcPr>
          <w:p w:rsidR="009C2EB0" w:rsidRDefault="009C2EB0" w:rsidP="009C2EB0">
            <w:pPr>
              <w:jc w:val="center"/>
            </w:pPr>
          </w:p>
          <w:p w:rsidR="004D6162" w:rsidRDefault="004D6162" w:rsidP="009C2EB0">
            <w:pPr>
              <w:jc w:val="center"/>
            </w:pPr>
          </w:p>
          <w:p w:rsidR="008B1E1F" w:rsidRDefault="004D6162" w:rsidP="008B1E1F">
            <w:pPr>
              <w:jc w:val="center"/>
            </w:pPr>
            <w:r w:rsidRPr="004D6162">
              <w:rPr>
                <w:noProof/>
              </w:rPr>
              <w:drawing>
                <wp:inline distT="0" distB="0" distL="0" distR="0">
                  <wp:extent cx="3213099" cy="2409825"/>
                  <wp:effectExtent l="19050" t="0" r="6351" b="0"/>
                  <wp:docPr id="93" name="Picture 4" descr="Plant fol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t foliage"/>
                          <pic:cNvPicPr>
                            <a:picLocks noChangeAspect="1" noChangeArrowheads="1"/>
                          </pic:cNvPicPr>
                        </pic:nvPicPr>
                        <pic:blipFill>
                          <a:blip r:embed="rId17" cstate="print"/>
                          <a:stretch>
                            <a:fillRect/>
                          </a:stretch>
                        </pic:blipFill>
                        <pic:spPr bwMode="auto">
                          <a:xfrm>
                            <a:off x="0" y="0"/>
                            <a:ext cx="3216689" cy="2412518"/>
                          </a:xfrm>
                          <a:prstGeom prst="rect">
                            <a:avLst/>
                          </a:prstGeom>
                          <a:noFill/>
                          <a:ln w="9525">
                            <a:noFill/>
                            <a:miter lim="800000"/>
                            <a:headEnd/>
                            <a:tailEnd/>
                          </a:ln>
                        </pic:spPr>
                      </pic:pic>
                    </a:graphicData>
                  </a:graphic>
                </wp:inline>
              </w:drawing>
            </w:r>
          </w:p>
          <w:p w:rsidR="009C2EB0" w:rsidRDefault="004D6162" w:rsidP="009C2EB0">
            <w:pPr>
              <w:jc w:val="center"/>
            </w:pPr>
            <w:r>
              <w:t>Noatak – 2 wells visible on island in center right of photo</w:t>
            </w:r>
          </w:p>
        </w:tc>
        <w:tc>
          <w:tcPr>
            <w:tcW w:w="5220" w:type="dxa"/>
            <w:shd w:val="clear" w:color="auto" w:fill="auto"/>
          </w:tcPr>
          <w:p w:rsidR="006B021F" w:rsidRDefault="006B021F" w:rsidP="009C2EB0">
            <w:pPr>
              <w:pStyle w:val="Heading2"/>
            </w:pPr>
          </w:p>
        </w:tc>
      </w:tr>
      <w:tr w:rsidR="006B021F" w:rsidTr="004D6162">
        <w:trPr>
          <w:trHeight w:val="8280"/>
          <w:jc w:val="center"/>
        </w:trPr>
        <w:tc>
          <w:tcPr>
            <w:tcW w:w="5220" w:type="dxa"/>
            <w:shd w:val="clear" w:color="auto" w:fill="auto"/>
          </w:tcPr>
          <w:p w:rsidR="0035652F" w:rsidRDefault="0035652F" w:rsidP="0035652F">
            <w:pPr>
              <w:jc w:val="center"/>
              <w:rPr>
                <w:color w:val="FF0000"/>
              </w:rPr>
            </w:pPr>
          </w:p>
          <w:p w:rsidR="004D6162" w:rsidRDefault="004D6162" w:rsidP="0035652F">
            <w:pPr>
              <w:jc w:val="center"/>
              <w:rPr>
                <w:color w:val="FF0000"/>
              </w:rPr>
            </w:pPr>
          </w:p>
          <w:p w:rsidR="004D6162" w:rsidRDefault="004D6162" w:rsidP="0035652F">
            <w:pPr>
              <w:jc w:val="center"/>
              <w:rPr>
                <w:color w:val="FF0000"/>
              </w:rPr>
            </w:pPr>
          </w:p>
          <w:p w:rsidR="004D6162" w:rsidRPr="0035652F" w:rsidRDefault="004D6162" w:rsidP="0035652F">
            <w:pPr>
              <w:jc w:val="center"/>
              <w:rPr>
                <w:color w:val="FF0000"/>
              </w:rPr>
            </w:pPr>
          </w:p>
          <w:p w:rsidR="006B021F" w:rsidRPr="0035652F" w:rsidRDefault="004D6162" w:rsidP="0035652F">
            <w:pPr>
              <w:jc w:val="center"/>
              <w:rPr>
                <w:color w:val="FF0000"/>
              </w:rPr>
            </w:pPr>
            <w:r w:rsidRPr="004D6162">
              <w:rPr>
                <w:noProof/>
                <w:color w:val="FF0000"/>
              </w:rPr>
              <w:drawing>
                <wp:inline distT="0" distB="0" distL="0" distR="0">
                  <wp:extent cx="3248025" cy="4330701"/>
                  <wp:effectExtent l="19050" t="0" r="9525" b="0"/>
                  <wp:docPr id="94" name="Picture 4" descr="Plant fol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t foliage"/>
                          <pic:cNvPicPr>
                            <a:picLocks noChangeAspect="1" noChangeArrowheads="1"/>
                          </pic:cNvPicPr>
                        </pic:nvPicPr>
                        <pic:blipFill>
                          <a:blip r:embed="rId18" cstate="print"/>
                          <a:stretch>
                            <a:fillRect/>
                          </a:stretch>
                        </pic:blipFill>
                        <pic:spPr bwMode="auto">
                          <a:xfrm>
                            <a:off x="0" y="0"/>
                            <a:ext cx="3247641" cy="4330189"/>
                          </a:xfrm>
                          <a:prstGeom prst="rect">
                            <a:avLst/>
                          </a:prstGeom>
                          <a:noFill/>
                          <a:ln w="9525">
                            <a:noFill/>
                            <a:miter lim="800000"/>
                            <a:headEnd/>
                            <a:tailEnd/>
                          </a:ln>
                        </pic:spPr>
                      </pic:pic>
                    </a:graphicData>
                  </a:graphic>
                </wp:inline>
              </w:drawing>
            </w:r>
          </w:p>
          <w:p w:rsidR="0035652F" w:rsidRPr="0035652F" w:rsidRDefault="004D6162" w:rsidP="0035652F">
            <w:pPr>
              <w:jc w:val="center"/>
            </w:pPr>
            <w:r>
              <w:t>Noatak Filtration System</w:t>
            </w:r>
          </w:p>
        </w:tc>
        <w:tc>
          <w:tcPr>
            <w:tcW w:w="5220" w:type="dxa"/>
            <w:shd w:val="clear" w:color="auto" w:fill="auto"/>
          </w:tcPr>
          <w:p w:rsidR="0035652F" w:rsidRDefault="0035652F" w:rsidP="0035652F">
            <w:pPr>
              <w:rPr>
                <w:color w:val="FF0000"/>
              </w:rPr>
            </w:pPr>
          </w:p>
          <w:p w:rsidR="0035652F" w:rsidRDefault="0035652F" w:rsidP="0035652F">
            <w:pPr>
              <w:jc w:val="center"/>
              <w:rPr>
                <w:color w:val="FF0000"/>
              </w:rPr>
            </w:pPr>
          </w:p>
          <w:p w:rsidR="0035652F" w:rsidRPr="0035652F" w:rsidRDefault="0035652F" w:rsidP="0035652F">
            <w:pPr>
              <w:jc w:val="center"/>
            </w:pPr>
          </w:p>
        </w:tc>
      </w:tr>
    </w:tbl>
    <w:p w:rsidR="006B021F" w:rsidRDefault="006B021F">
      <w:pPr>
        <w:rPr>
          <w:bCs/>
          <w:iCs/>
        </w:rPr>
      </w:pPr>
    </w:p>
    <w:p w:rsidR="006B021F" w:rsidRDefault="006B021F">
      <w:pPr>
        <w:rPr>
          <w:bCs/>
          <w:iCs/>
        </w:rPr>
      </w:pPr>
    </w:p>
    <w:p w:rsidR="006B021F" w:rsidRDefault="006B021F"/>
    <w:tbl>
      <w:tblPr>
        <w:tblW w:w="10440" w:type="dxa"/>
        <w:jc w:val="center"/>
        <w:tblCellMar>
          <w:left w:w="0" w:type="dxa"/>
          <w:right w:w="0" w:type="dxa"/>
        </w:tblCellMar>
        <w:tblLook w:val="0000"/>
      </w:tblPr>
      <w:tblGrid>
        <w:gridCol w:w="2493"/>
        <w:gridCol w:w="2493"/>
        <w:gridCol w:w="5434"/>
        <w:gridCol w:w="20"/>
      </w:tblGrid>
      <w:tr w:rsidR="00120653" w:rsidTr="005744E8">
        <w:trPr>
          <w:trHeight w:val="720"/>
          <w:jc w:val="center"/>
        </w:trPr>
        <w:tc>
          <w:tcPr>
            <w:tcW w:w="10420" w:type="dxa"/>
            <w:gridSpan w:val="3"/>
            <w:tcBorders>
              <w:top w:val="single" w:sz="4" w:space="0" w:color="008080"/>
            </w:tcBorders>
            <w:shd w:val="clear" w:color="auto" w:fill="auto"/>
          </w:tcPr>
          <w:p w:rsidR="00120653" w:rsidRDefault="000958BE" w:rsidP="00B61D6C">
            <w:pPr>
              <w:pStyle w:val="Heading2"/>
            </w:pPr>
            <w:r>
              <w:t>Review of Operational Data</w:t>
            </w:r>
          </w:p>
        </w:tc>
        <w:tc>
          <w:tcPr>
            <w:tcW w:w="20" w:type="dxa"/>
            <w:vMerge w:val="restart"/>
            <w:tcBorders>
              <w:top w:val="single" w:sz="4" w:space="0" w:color="008080"/>
            </w:tcBorders>
            <w:shd w:val="clear" w:color="auto" w:fill="auto"/>
          </w:tcPr>
          <w:p w:rsidR="00120653" w:rsidRDefault="00727972" w:rsidP="008E0FD5">
            <w:r>
              <w:rPr>
                <w:noProof/>
              </w:rPr>
              <w:pict>
                <v:shape id="_x0000_s1220" type="#_x0000_t202" style="position:absolute;margin-left:6pt;margin-top:6.6pt;width:110.65pt;height:154.35pt;z-index:-251627520;mso-wrap-style:none;mso-position-horizontal-relative:page;mso-position-vertical-relative:page" filled="f" stroked="f">
                  <v:textbox style="mso-next-textbox:#_x0000_s1220;mso-fit-shape-to-text:t">
                    <w:txbxContent>
                      <w:p w:rsidR="00EC6404" w:rsidRPr="009D636C" w:rsidRDefault="00EC6404"/>
                    </w:txbxContent>
                  </v:textbox>
                  <w10:wrap anchorx="page" anchory="page"/>
                </v:shape>
              </w:pict>
            </w:r>
          </w:p>
        </w:tc>
      </w:tr>
      <w:tr w:rsidR="00120653" w:rsidTr="005744E8">
        <w:trPr>
          <w:trHeight w:val="6642"/>
          <w:jc w:val="center"/>
        </w:trPr>
        <w:tc>
          <w:tcPr>
            <w:tcW w:w="2493" w:type="dxa"/>
            <w:shd w:val="clear" w:color="auto" w:fill="auto"/>
          </w:tcPr>
          <w:p w:rsidR="00120653" w:rsidRDefault="00727972" w:rsidP="008E0FD5">
            <w:r>
              <w:rPr>
                <w:noProof/>
              </w:rPr>
              <w:pict>
                <v:shape id="_x0000_s1143" type="#_x0000_t202" style="position:absolute;margin-left:1.55pt;margin-top:.65pt;width:128.7pt;height:334.25pt;z-index:251666432;mso-position-horizontal-relative:page;mso-position-vertical-relative:page" filled="f" stroked="f">
                  <v:textbox style="mso-next-textbox:#_x0000_s1144">
                    <w:txbxContent>
                      <w:p w:rsidR="00EC6404" w:rsidRDefault="00EC6404" w:rsidP="00D40E8B">
                        <w:pPr>
                          <w:pStyle w:val="NewsletterBodyText"/>
                        </w:pPr>
                        <w:r>
                          <w:t>Water treatment systems collect data that provides information on the operations of water treatment components.  Turbidity (the cloudiness of the water) is the primary indicator of the effectiveness of surface water treatment. Turbidity can be easily monitored onsite, unlike microbiologic contaminants.  Turbidity is directly associated with pathogens.  Higher turbidity water is more likely to contain higher, and possibly unsafe, levels of microorganisms.</w:t>
                        </w:r>
                      </w:p>
                      <w:p w:rsidR="00EC6404" w:rsidRDefault="00EC6404" w:rsidP="00B87732">
                        <w:pPr>
                          <w:pStyle w:val="NewsletterBodyText"/>
                        </w:pPr>
                        <w:r>
                          <w:t>Turbidity in the source water can vary significantly seasonally, weekly, daily and even hourly, due to precipitation, snowmelt, and changes in runoff.   Typically high turbidity periods occur in the spring (due to high snowmelt runoff), and in the fall (due to high precipitation runoff).  The lowest raw water turbidities typically occur in the winter.</w:t>
                        </w:r>
                      </w:p>
                      <w:p w:rsidR="00EC6404" w:rsidRDefault="00EC6404" w:rsidP="00B87732">
                        <w:pPr>
                          <w:pStyle w:val="NewsletterBodyText"/>
                        </w:pPr>
                        <w:r>
                          <w:t>A surface water treatment system should be able to produce finished water with minimal variation in finished water turbidity, even with fluctuations in the raw source water.  The effectiveness of turbidity removal varies with the chosen water treatment technology and the operations of that technology.</w:t>
                        </w:r>
                      </w:p>
                      <w:p w:rsidR="00EC6404" w:rsidRDefault="00EC6404" w:rsidP="00B87732">
                        <w:pPr>
                          <w:pStyle w:val="NewsletterBodyText"/>
                        </w:pPr>
                        <w:r>
                          <w:t>There is a maximum allowable turbidity level that water systems are not allowed to exceed.  Water systems are also required to submit daily turbidity data.  Although a system may not be exceeding a maximum contaminant level for turbidity, graphs of the turbidity will often indicate that the system is struggling before an exceedence of the maximum level occurs.</w:t>
                        </w:r>
                      </w:p>
                      <w:p w:rsidR="00EC6404" w:rsidRDefault="00EC6404" w:rsidP="00FA156C">
                        <w:pPr>
                          <w:pStyle w:val="NewsletterBodyText"/>
                        </w:pPr>
                        <w:r>
                          <w:t>The following graph presents turbidity data from Saint Mary’s.  Saint Mary’s has a small surface water source that reacts rapidly to runoff.   The system has a very proactive operator, but a review of operational data indicated that they were still struggling to treat water associated with spring and fall runoff events.   A Comprehensive Performance Evaluation (CPE) was conducted in 2007.  Several factors were identified during these inspections that were limiting the optimum performance of the system.</w:t>
                        </w:r>
                      </w:p>
                      <w:p w:rsidR="00EC6404" w:rsidRDefault="00EC6404" w:rsidP="00FA156C">
                        <w:pPr>
                          <w:pStyle w:val="NewsletterBodyText"/>
                        </w:pPr>
                        <w:r>
                          <w:t>One important factor was the coagulant dosage.  The appropriate coagulant dose is critical for optimum sediment removal.  Too little, or too much coagulant, will result in less than optimum sedimentation and filtration.  In this instance the coagulant dose was too high.  Immediate improvements were observable upon adjusting the dose.</w:t>
                        </w:r>
                      </w:p>
                      <w:p w:rsidR="00EC6404" w:rsidRDefault="00EC6404" w:rsidP="00FA156C">
                        <w:pPr>
                          <w:pStyle w:val="NewsletterBodyText"/>
                        </w:pPr>
                        <w:r>
                          <w:t>A follow</w:t>
                        </w:r>
                        <w:r w:rsidR="00FE069A">
                          <w:t>-</w:t>
                        </w:r>
                        <w:r>
                          <w:t>up Comprehensive Technical Assistance (CTA) was conducted in 2008.  This visit checked on the system’s progress in addressing the identified performance limiting factors</w:t>
                        </w:r>
                        <w:r w:rsidR="00FE069A">
                          <w:t xml:space="preserve"> identified in the 2007 CPE</w:t>
                        </w:r>
                        <w:r>
                          <w:t>.  The system has made substantial improvements and is mostly operating in an optimized state.  They are still planning on a needed replacement of the filter media.</w:t>
                        </w:r>
                      </w:p>
                      <w:p w:rsidR="00EC6404" w:rsidRPr="00120653" w:rsidRDefault="00EC6404" w:rsidP="00120653">
                        <w:pPr>
                          <w:pStyle w:val="NewsletterBodyText"/>
                        </w:pPr>
                      </w:p>
                    </w:txbxContent>
                  </v:textbox>
                  <w10:wrap anchorx="page" anchory="page"/>
                </v:shape>
              </w:pict>
            </w:r>
          </w:p>
        </w:tc>
        <w:tc>
          <w:tcPr>
            <w:tcW w:w="2493" w:type="dxa"/>
            <w:shd w:val="clear" w:color="auto" w:fill="auto"/>
          </w:tcPr>
          <w:p w:rsidR="00120653" w:rsidRDefault="00727972" w:rsidP="008E0FD5">
            <w:r>
              <w:rPr>
                <w:noProof/>
              </w:rPr>
              <w:pict>
                <v:shape id="_x0000_s1144" type="#_x0000_t202" style="position:absolute;margin-left:.3pt;margin-top:.65pt;width:131.8pt;height:334.25pt;z-index:251667456;mso-position-horizontal-relative:page;mso-position-vertical-relative:page" filled="f" stroked="f">
                  <v:textbox style="mso-next-textbox:#_x0000_s1145">
                    <w:txbxContent/>
                  </v:textbox>
                  <w10:wrap anchorx="page" anchory="page"/>
                </v:shape>
              </w:pict>
            </w:r>
          </w:p>
        </w:tc>
        <w:tc>
          <w:tcPr>
            <w:tcW w:w="5434" w:type="dxa"/>
            <w:shd w:val="clear" w:color="auto" w:fill="auto"/>
          </w:tcPr>
          <w:p w:rsidR="00120653" w:rsidRDefault="00727972" w:rsidP="008E0FD5">
            <w:r>
              <w:rPr>
                <w:noProof/>
              </w:rPr>
              <w:pict>
                <v:shape id="_x0000_s1290" type="#_x0000_t202" style="position:absolute;margin-left:144.6pt;margin-top:.65pt;width:133.1pt;height:338pt;z-index:251725824;mso-position-horizontal-relative:page;mso-position-vertical-relative:page" filled="f" stroked="f">
                  <v:textbox style="mso-next-textbox:#_x0000_s1290">
                    <w:txbxContent/>
                  </v:textbox>
                  <w10:wrap anchorx="page" anchory="page"/>
                </v:shape>
              </w:pict>
            </w:r>
            <w:r>
              <w:rPr>
                <w:noProof/>
              </w:rPr>
              <w:pict>
                <v:shape id="_x0000_s1145" type="#_x0000_t202" style="position:absolute;margin-left:2.3pt;margin-top:.65pt;width:142.3pt;height:334.25pt;z-index:251668480;mso-position-horizontal-relative:page;mso-position-vertical-relative:page" filled="f" stroked="f">
                  <v:textbox style="mso-next-textbox:#_x0000_s1290">
                    <w:txbxContent/>
                  </v:textbox>
                  <w10:wrap anchorx="page" anchory="page"/>
                </v:shape>
              </w:pict>
            </w:r>
          </w:p>
        </w:tc>
        <w:tc>
          <w:tcPr>
            <w:tcW w:w="20" w:type="dxa"/>
            <w:vMerge/>
            <w:shd w:val="clear" w:color="auto" w:fill="auto"/>
          </w:tcPr>
          <w:p w:rsidR="00120653" w:rsidRDefault="00120653" w:rsidP="008E0FD5"/>
        </w:tc>
      </w:tr>
      <w:tr w:rsidR="00120653" w:rsidTr="005744E8">
        <w:trPr>
          <w:trHeight w:val="720"/>
          <w:jc w:val="center"/>
        </w:trPr>
        <w:tc>
          <w:tcPr>
            <w:tcW w:w="10420" w:type="dxa"/>
            <w:gridSpan w:val="3"/>
            <w:shd w:val="clear" w:color="auto" w:fill="auto"/>
          </w:tcPr>
          <w:p w:rsidR="00120653" w:rsidRPr="00120653" w:rsidRDefault="00727972" w:rsidP="002C5DFF">
            <w:pPr>
              <w:pStyle w:val="Heading2"/>
            </w:pPr>
            <w:r>
              <w:rPr>
                <w:noProof/>
              </w:rPr>
              <w:pict>
                <v:shape id="_x0000_s1289" type="#_x0000_t202" style="position:absolute;left:0;text-align:left;margin-left:261.75pt;margin-top:21.5pt;width:254.55pt;height:27.8pt;z-index:251724800;mso-position-horizontal-relative:text;mso-position-vertical-relative:text;mso-width-relative:margin;mso-height-relative:margin" stroked="f">
                  <v:textbox>
                    <w:txbxContent>
                      <w:p w:rsidR="00EC6404" w:rsidRDefault="00EC6404" w:rsidP="001165B6">
                        <w:r>
                          <w:t>Comprehensive Performance Evaluation conducted in 2007</w:t>
                        </w:r>
                      </w:p>
                      <w:p w:rsidR="00EC6404" w:rsidRDefault="00EC6404" w:rsidP="001165B6">
                        <w:r>
                          <w:t>Comprehensive Technical Assistance follow-up conducted in 2008</w:t>
                        </w:r>
                      </w:p>
                    </w:txbxContent>
                  </v:textbox>
                </v:shape>
              </w:pict>
            </w:r>
            <w:r w:rsidR="001165B6">
              <w:rPr>
                <w:sz w:val="24"/>
                <w:szCs w:val="24"/>
              </w:rPr>
              <w:t xml:space="preserve">Saint Mary’s Turbidity </w:t>
            </w:r>
          </w:p>
        </w:tc>
        <w:tc>
          <w:tcPr>
            <w:tcW w:w="20" w:type="dxa"/>
            <w:vMerge/>
            <w:shd w:val="clear" w:color="auto" w:fill="auto"/>
          </w:tcPr>
          <w:p w:rsidR="00120653" w:rsidRDefault="00120653" w:rsidP="008E0FD5"/>
        </w:tc>
      </w:tr>
      <w:tr w:rsidR="00D42265" w:rsidTr="005744E8">
        <w:trPr>
          <w:trHeight w:val="5580"/>
          <w:jc w:val="center"/>
        </w:trPr>
        <w:tc>
          <w:tcPr>
            <w:tcW w:w="10420" w:type="dxa"/>
            <w:gridSpan w:val="3"/>
            <w:shd w:val="clear" w:color="auto" w:fill="auto"/>
          </w:tcPr>
          <w:p w:rsidR="00D42265" w:rsidRDefault="00D42265" w:rsidP="00120653"/>
          <w:p w:rsidR="003B737E" w:rsidRDefault="0018447F" w:rsidP="00D713FF">
            <w:pPr>
              <w:jc w:val="right"/>
            </w:pPr>
            <w:r>
              <w:rPr>
                <w:noProof/>
              </w:rPr>
              <w:pict>
                <v:shapetype id="_x0000_t32" coordsize="21600,21600" o:spt="32" o:oned="t" path="m,l21600,21600e" filled="f">
                  <v:path arrowok="t" fillok="f" o:connecttype="none"/>
                  <o:lock v:ext="edit" shapetype="t"/>
                </v:shapetype>
                <v:shape id="_x0000_s1299" type="#_x0000_t32" style="position:absolute;left:0;text-align:left;margin-left:54.75pt;margin-top:176.15pt;width:453.75pt;height:.75pt;flip:y;z-index:251732992" o:connectortype="straight" strokecolor="red" strokeweight="1pt"/>
              </w:pict>
            </w:r>
            <w:r>
              <w:rPr>
                <w:noProof/>
              </w:rPr>
              <w:pict>
                <v:shape id="_x0000_s1295" type="#_x0000_t202" style="position:absolute;left:0;text-align:left;margin-left:416.4pt;margin-top:146.85pt;width:99.9pt;height:25.55pt;z-index:251730944;mso-position-horizontal-relative:text;mso-position-vertical-relative:text;mso-width-relative:margin;mso-height-relative:margin;v-text-anchor:middle" fillcolor="white [3212]" stroked="f">
                  <v:textbox style="mso-next-textbox:#_x0000_s1295" inset="0,0,0,0">
                    <w:txbxContent>
                      <w:p w:rsidR="00EC6404" w:rsidRPr="00D713FF" w:rsidRDefault="00EC6404" w:rsidP="00786757">
                        <w:pPr>
                          <w:rPr>
                            <w:color w:val="C00000"/>
                          </w:rPr>
                        </w:pPr>
                        <w:r w:rsidRPr="00D713FF">
                          <w:rPr>
                            <w:color w:val="C00000"/>
                          </w:rPr>
                          <w:t>0.3 NTU max finished water turbidity limit</w:t>
                        </w:r>
                      </w:p>
                    </w:txbxContent>
                  </v:textbox>
                </v:shape>
              </w:pict>
            </w:r>
            <w:r w:rsidRPr="0018447F">
              <w:drawing>
                <wp:inline distT="0" distB="0" distL="0" distR="0">
                  <wp:extent cx="6334125" cy="33337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727972">
              <w:rPr>
                <w:noProof/>
              </w:rPr>
              <w:pict>
                <v:shape id="_x0000_s1297" type="#_x0000_t202" style="position:absolute;left:0;text-align:left;margin-left:1.55pt;margin-top:38.2pt;width:23.2pt;height:156.7pt;z-index:251731968;mso-position-horizontal-relative:text;mso-position-vertical-relative:text;mso-width-relative:margin;mso-height-relative:margin" stroked="f">
                  <v:textbox style="layout-flow:vertical;mso-layout-flow-alt:bottom-to-top;mso-next-textbox:#_x0000_s1297">
                    <w:txbxContent>
                      <w:p w:rsidR="00EC6404" w:rsidRDefault="00EC6404" w:rsidP="00E620C9">
                        <w:r>
                          <w:t xml:space="preserve">Nephelometer Turbidity Units (NTUs) </w:t>
                        </w:r>
                      </w:p>
                    </w:txbxContent>
                  </v:textbox>
                </v:shape>
              </w:pict>
            </w:r>
          </w:p>
        </w:tc>
        <w:tc>
          <w:tcPr>
            <w:tcW w:w="20" w:type="dxa"/>
            <w:vMerge/>
            <w:shd w:val="clear" w:color="auto" w:fill="auto"/>
          </w:tcPr>
          <w:p w:rsidR="00D42265" w:rsidRDefault="00D42265" w:rsidP="003122C5">
            <w:pPr>
              <w:pStyle w:val="Heading2"/>
            </w:pPr>
          </w:p>
        </w:tc>
      </w:tr>
    </w:tbl>
    <w:p w:rsidR="00081995" w:rsidRDefault="00081995">
      <w:pPr>
        <w:rPr>
          <w:bCs/>
          <w:iCs/>
        </w:rPr>
      </w:pPr>
    </w:p>
    <w:p w:rsidR="00081995" w:rsidRDefault="00081995">
      <w:pPr>
        <w:rPr>
          <w:bCs/>
          <w:iCs/>
        </w:rPr>
      </w:pPr>
    </w:p>
    <w:p w:rsidR="00081995" w:rsidRDefault="00081995">
      <w:pPr>
        <w:rPr>
          <w:bCs/>
          <w:iCs/>
        </w:rPr>
      </w:pPr>
    </w:p>
    <w:p w:rsidR="00081995" w:rsidRDefault="00FA199A">
      <w:r>
        <w:rPr>
          <w:noProof/>
        </w:rPr>
        <w:drawing>
          <wp:anchor distT="0" distB="0" distL="114300" distR="114300" simplePos="0" relativeHeight="251727872" behindDoc="1" locked="0" layoutInCell="1" allowOverlap="1">
            <wp:simplePos x="0" y="0"/>
            <wp:positionH relativeFrom="page">
              <wp:posOffset>5486400</wp:posOffset>
            </wp:positionH>
            <wp:positionV relativeFrom="paragraph">
              <wp:posOffset>70485</wp:posOffset>
            </wp:positionV>
            <wp:extent cx="1771650" cy="1181100"/>
            <wp:effectExtent l="19050" t="0" r="0" b="0"/>
            <wp:wrapNone/>
            <wp:docPr id="100" name="Picture 5" descr="F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rn"/>
                    <pic:cNvPicPr>
                      <a:picLocks noChangeAspect="1" noChangeArrowheads="1"/>
                    </pic:cNvPicPr>
                  </pic:nvPicPr>
                  <pic:blipFill>
                    <a:blip r:embed="rId20" cstate="print"/>
                    <a:stretch>
                      <a:fillRect/>
                    </a:stretch>
                  </pic:blipFill>
                  <pic:spPr bwMode="auto">
                    <a:xfrm>
                      <a:off x="0" y="0"/>
                      <a:ext cx="1771650" cy="1181100"/>
                    </a:xfrm>
                    <a:prstGeom prst="rect">
                      <a:avLst/>
                    </a:prstGeom>
                    <a:noFill/>
                    <a:ln w="9525">
                      <a:noFill/>
                      <a:miter lim="800000"/>
                      <a:headEnd/>
                      <a:tailEnd/>
                    </a:ln>
                  </pic:spPr>
                </pic:pic>
              </a:graphicData>
            </a:graphic>
          </wp:anchor>
        </w:drawing>
      </w:r>
    </w:p>
    <w:tbl>
      <w:tblPr>
        <w:tblW w:w="10440" w:type="dxa"/>
        <w:jc w:val="center"/>
        <w:tblCellMar>
          <w:left w:w="0" w:type="dxa"/>
          <w:right w:w="0" w:type="dxa"/>
        </w:tblCellMar>
        <w:tblLook w:val="0000"/>
      </w:tblPr>
      <w:tblGrid>
        <w:gridCol w:w="2610"/>
        <w:gridCol w:w="2610"/>
        <w:gridCol w:w="2610"/>
        <w:gridCol w:w="2610"/>
      </w:tblGrid>
      <w:tr w:rsidR="00120653" w:rsidTr="00081995">
        <w:trPr>
          <w:trHeight w:val="720"/>
          <w:jc w:val="center"/>
        </w:trPr>
        <w:tc>
          <w:tcPr>
            <w:tcW w:w="7830" w:type="dxa"/>
            <w:gridSpan w:val="3"/>
            <w:tcBorders>
              <w:top w:val="single" w:sz="4" w:space="0" w:color="008080"/>
            </w:tcBorders>
            <w:shd w:val="clear" w:color="auto" w:fill="auto"/>
          </w:tcPr>
          <w:p w:rsidR="00120653" w:rsidRDefault="00727972" w:rsidP="00DC7ABC">
            <w:pPr>
              <w:pStyle w:val="Heading2"/>
              <w:ind w:left="0"/>
            </w:pPr>
            <w:r>
              <w:rPr>
                <w:noProof/>
              </w:rPr>
              <w:pict>
                <v:shape id="_x0000_s1148" type="#_x0000_t202" style="position:absolute;margin-left:263.7pt;margin-top:36.7pt;width:124.8pt;height:195.65pt;z-index:251671552;mso-position-horizontal-relative:page;mso-position-vertical-relative:page" filled="f" stroked="f">
                  <v:textbox style="mso-next-textbox:#_x0000_s1148">
                    <w:txbxContent/>
                  </v:textbox>
                  <w10:wrap anchorx="page" anchory="page"/>
                </v:shape>
              </w:pict>
            </w:r>
            <w:r w:rsidR="009F5A2B">
              <w:t xml:space="preserve"> </w:t>
            </w:r>
            <w:r w:rsidR="00716EFC">
              <w:t xml:space="preserve">Outreach &amp; </w:t>
            </w:r>
            <w:r w:rsidR="00D1500B">
              <w:t>Special Project</w:t>
            </w:r>
            <w:r w:rsidR="00716EFC">
              <w:t>s</w:t>
            </w:r>
          </w:p>
        </w:tc>
        <w:tc>
          <w:tcPr>
            <w:tcW w:w="2610" w:type="dxa"/>
            <w:vMerge w:val="restart"/>
            <w:shd w:val="clear" w:color="auto" w:fill="auto"/>
          </w:tcPr>
          <w:p w:rsidR="00FA199A" w:rsidRDefault="00FA199A" w:rsidP="00FA199A">
            <w:pPr>
              <w:pStyle w:val="Heading2"/>
              <w:ind w:left="0"/>
            </w:pPr>
          </w:p>
          <w:p w:rsidR="00FA199A" w:rsidRPr="00FA199A" w:rsidRDefault="00FA199A" w:rsidP="00FA199A"/>
          <w:p w:rsidR="00FA199A" w:rsidRDefault="00FA199A" w:rsidP="00FA199A"/>
          <w:p w:rsidR="00120653" w:rsidRDefault="00120653" w:rsidP="00FA199A"/>
          <w:p w:rsidR="00FA199A" w:rsidRDefault="00FA199A" w:rsidP="00FA199A"/>
          <w:p w:rsidR="00FA199A" w:rsidRDefault="00FA199A" w:rsidP="00FA199A"/>
          <w:p w:rsidR="00FA199A" w:rsidRDefault="00727972" w:rsidP="00FA199A">
            <w:r>
              <w:rPr>
                <w:noProof/>
              </w:rPr>
              <w:pict>
                <v:shape id="_x0000_s1292" type="#_x0000_t202" style="position:absolute;margin-left:11.25pt;margin-top:6.2pt;width:110.25pt;height:27pt;z-index:251728896;mso-width-relative:margin;mso-height-relative:margin" stroked="f">
                  <v:textbox>
                    <w:txbxContent>
                      <w:p w:rsidR="00EC6404" w:rsidRDefault="00EC6404" w:rsidP="00FA199A">
                        <w:r>
                          <w:t>Bill Chamberlain, EPA</w:t>
                        </w:r>
                      </w:p>
                      <w:p w:rsidR="00EC6404" w:rsidRPr="00FA199A" w:rsidRDefault="00EC6404" w:rsidP="00FA199A">
                        <w:r>
                          <w:t>Lee Johnson, DEC</w:t>
                        </w:r>
                      </w:p>
                    </w:txbxContent>
                  </v:textbox>
                </v:shape>
              </w:pict>
            </w:r>
          </w:p>
          <w:p w:rsidR="00FA199A" w:rsidRDefault="00FA199A" w:rsidP="00FA199A"/>
          <w:p w:rsidR="00FA199A" w:rsidRDefault="00FA199A" w:rsidP="00FA199A"/>
          <w:p w:rsidR="00FA199A" w:rsidRDefault="00FA199A" w:rsidP="00FA199A"/>
          <w:p w:rsidR="00FA199A" w:rsidRDefault="00FA199A" w:rsidP="00FA199A"/>
          <w:p w:rsidR="00FA199A" w:rsidRDefault="00FA199A" w:rsidP="00FA199A"/>
          <w:p w:rsidR="00FA199A" w:rsidRPr="00FA199A" w:rsidRDefault="00FA199A" w:rsidP="00FA199A"/>
        </w:tc>
      </w:tr>
      <w:tr w:rsidR="00120653" w:rsidTr="00873A3B">
        <w:trPr>
          <w:trHeight w:val="3753"/>
          <w:jc w:val="center"/>
        </w:trPr>
        <w:tc>
          <w:tcPr>
            <w:tcW w:w="2610" w:type="dxa"/>
            <w:shd w:val="clear" w:color="auto" w:fill="auto"/>
          </w:tcPr>
          <w:p w:rsidR="00120653" w:rsidRDefault="00727972" w:rsidP="008E0FD5">
            <w:r>
              <w:rPr>
                <w:noProof/>
              </w:rPr>
              <w:pict>
                <v:shape id="_x0000_s1146" type="#_x0000_t202" style="position:absolute;margin-left:2.55pt;margin-top:-.15pt;width:133.55pt;height:193.4pt;z-index:251669504;mso-position-horizontal-relative:page;mso-position-vertical-relative:page" filled="f" stroked="f">
                  <v:textbox style="mso-next-textbox:#_x0000_s1147">
                    <w:txbxContent>
                      <w:p w:rsidR="00EC6404" w:rsidRDefault="00EC6404" w:rsidP="00120653">
                        <w:pPr>
                          <w:pStyle w:val="NewsletterBodyText"/>
                        </w:pPr>
                        <w:r>
                          <w:t>The Drinking Water Program continues to seek opportunities to coordinate activities with other agencies and organizations that also provide services to public water systems.  A monthly meeting is held with Technical Assistance Providers (TAPs) to address common issues.</w:t>
                        </w:r>
                      </w:p>
                      <w:p w:rsidR="00EC6404" w:rsidRDefault="00EC6404" w:rsidP="00120653">
                        <w:pPr>
                          <w:pStyle w:val="NewsletterBodyText"/>
                        </w:pPr>
                        <w:r>
                          <w:t>There were also concerns that the data quality issues found in surface water systems might also be present in groundwater systems.  A grant funded by the American Recovery and Reinvestment Act (ARRA) provided resources for an engineering review and summary of all public water system file information.  This project will provide needed information for prioritization and planning the appropriate follow-up activities for groundwater systems.</w:t>
                        </w:r>
                      </w:p>
                      <w:p w:rsidR="00EC6404" w:rsidRDefault="00EC6404" w:rsidP="00120653">
                        <w:pPr>
                          <w:pStyle w:val="NewsletterBodyText"/>
                        </w:pPr>
                        <w:r>
                          <w:t xml:space="preserve">A second ARRA grant was obtained to provide engineering services to update </w:t>
                        </w:r>
                        <w:r w:rsidR="00B02AA9">
                          <w:t xml:space="preserve">the </w:t>
                        </w:r>
                        <w:r>
                          <w:t xml:space="preserve">Drinking Water Regulations (18 AAC 80) to address needed treatment and capacity development issues.  The contracting engineer has coordinated public open- house meetings in Anchorage, Fairbanks and Juneau in order to obtain the public’s perspective of existing requirements, as we plan needed updates. </w:t>
                        </w:r>
                      </w:p>
                    </w:txbxContent>
                  </v:textbox>
                  <w10:wrap anchorx="page" anchory="page"/>
                </v:shape>
              </w:pict>
            </w:r>
          </w:p>
        </w:tc>
        <w:tc>
          <w:tcPr>
            <w:tcW w:w="2610" w:type="dxa"/>
            <w:shd w:val="clear" w:color="auto" w:fill="auto"/>
          </w:tcPr>
          <w:p w:rsidR="00120653" w:rsidRDefault="00727972" w:rsidP="008E0FD5">
            <w:r>
              <w:rPr>
                <w:noProof/>
              </w:rPr>
              <w:pict>
                <v:shape id="_x0000_s1147" type="#_x0000_t202" style="position:absolute;margin-left:1.3pt;margin-top:-.15pt;width:131.9pt;height:193.4pt;z-index:251670528;mso-position-horizontal-relative:page;mso-position-vertical-relative:page" filled="f" stroked="f">
                  <v:textbox style="mso-next-textbox:#_x0000_s1148">
                    <w:txbxContent/>
                  </v:textbox>
                  <w10:wrap anchorx="page" anchory="page"/>
                </v:shape>
              </w:pict>
            </w:r>
          </w:p>
        </w:tc>
        <w:tc>
          <w:tcPr>
            <w:tcW w:w="2610" w:type="dxa"/>
            <w:shd w:val="clear" w:color="auto" w:fill="auto"/>
          </w:tcPr>
          <w:p w:rsidR="00120653" w:rsidRDefault="00120653" w:rsidP="008E0FD5"/>
        </w:tc>
        <w:tc>
          <w:tcPr>
            <w:tcW w:w="2610" w:type="dxa"/>
            <w:vMerge/>
            <w:shd w:val="clear" w:color="auto" w:fill="auto"/>
          </w:tcPr>
          <w:p w:rsidR="00120653" w:rsidRDefault="00120653" w:rsidP="008E0FD5"/>
        </w:tc>
      </w:tr>
      <w:tr w:rsidR="00D1500B" w:rsidTr="00873A3B">
        <w:trPr>
          <w:trHeight w:val="792"/>
          <w:jc w:val="center"/>
        </w:trPr>
        <w:tc>
          <w:tcPr>
            <w:tcW w:w="10440" w:type="dxa"/>
            <w:gridSpan w:val="4"/>
            <w:shd w:val="clear" w:color="auto" w:fill="auto"/>
          </w:tcPr>
          <w:p w:rsidR="00D1500B" w:rsidRDefault="009F5A2B" w:rsidP="00081995">
            <w:pPr>
              <w:pStyle w:val="Heading2"/>
              <w:ind w:left="0"/>
            </w:pPr>
            <w:r>
              <w:t xml:space="preserve">  </w:t>
            </w:r>
            <w:r w:rsidR="00D1500B">
              <w:t>Conclusion</w:t>
            </w:r>
          </w:p>
        </w:tc>
      </w:tr>
      <w:tr w:rsidR="00D1500B" w:rsidTr="00873A3B">
        <w:trPr>
          <w:trHeight w:val="7218"/>
          <w:jc w:val="center"/>
        </w:trPr>
        <w:tc>
          <w:tcPr>
            <w:tcW w:w="2610" w:type="dxa"/>
            <w:shd w:val="clear" w:color="auto" w:fill="auto"/>
          </w:tcPr>
          <w:p w:rsidR="00D1500B" w:rsidRDefault="00727972" w:rsidP="008E0FD5">
            <w:r>
              <w:rPr>
                <w:noProof/>
              </w:rPr>
              <w:pict>
                <v:shape id="_x0000_s1262" type="#_x0000_t202" style="position:absolute;margin-left:129.85pt;margin-top:1.8pt;width:389.9pt;height:360.95pt;z-index:251713536;mso-position-horizontal-relative:page;mso-position-vertical-relative:page" filled="f" stroked="f">
                  <v:textbox style="mso-next-textbox:#_x0000_s1262">
                    <w:txbxContent>
                      <w:p w:rsidR="00EC6404" w:rsidRDefault="00EC6404" w:rsidP="007268A7">
                        <w:pPr>
                          <w:pStyle w:val="NewsletterBodyText"/>
                        </w:pPr>
                        <w:r>
                          <w:t>For the past three years the Drinking Water Program has been focused on data quality and data assurance; on gaining better information on the status of existing public water systems in Alaska and how well they are meeting the final versions of new rules.  Because of the higher potential health risks, surface water treatment systems have been a primary focus.  Most of the surface water treatment systems will be inspected by the end of 2011. Inspections will be postponed for a few systems that are under construction, or are not currently operating.  A review of the documentation on groundwater systems will be completed, along with the associated prioritization list of engineering issues.</w:t>
                        </w:r>
                      </w:p>
                      <w:p w:rsidR="00EC6404" w:rsidRDefault="00EC6404" w:rsidP="008C2451">
                        <w:pPr>
                          <w:pStyle w:val="NewsletterBodyText"/>
                        </w:pPr>
                        <w:r>
                          <w:t>The next three years will focus on responding to the data obtained in these efforts.  Solutions will have to address technical, managerial and financial issues.  In some instances, solutions seem easy and obvious.  Others are much more difficult.  Some of the most challenged water treatment systems have social and economic issues that significantly limit possible water system improvements.  The growing public awareness of the need for sustainable infrastructure has resulted in prioritizing limited funding resources to the most viable communities.  There are a growing number of communities that have limited economic resources and are falling further behind in their ability to provide safe drinking water.</w:t>
                        </w:r>
                      </w:p>
                      <w:p w:rsidR="00EC6404" w:rsidRDefault="00EC6404" w:rsidP="008C2451">
                        <w:pPr>
                          <w:pStyle w:val="NewsletterBodyText"/>
                        </w:pPr>
                        <w:r>
                          <w:t xml:space="preserve">During the next three years we will develop </w:t>
                        </w:r>
                        <w:r w:rsidR="00D14861">
                          <w:t>method</w:t>
                        </w:r>
                        <w:r>
                          <w:t>s to address technical issues that have been identified, establish better partnerships and training opportunities with operators, reach out to water system management and inform them of the results of these inspections, coordinate with agencies already providing financial support,  and we will provide system specific information to funding agencies to notify them of serious deficiencies that are preventing systems from being able to provide adequate treatment.</w:t>
                        </w:r>
                      </w:p>
                      <w:p w:rsidR="00EC6404" w:rsidRDefault="00EC6404" w:rsidP="00040C8A">
                        <w:pPr>
                          <w:pStyle w:val="NewsletterBodyText"/>
                        </w:pPr>
                        <w:r>
                          <w:t xml:space="preserve">This is a report covering our efforts to improve the technical, managerial, and financial capacity of water treatment systems in Alaska for the past three years, 2008-2011.  Specific tasks for the next three years will be developed in February 2012, based on water system data, risk prioritization, and Drinking Water Program resources.  </w:t>
                        </w:r>
                      </w:p>
                    </w:txbxContent>
                  </v:textbox>
                  <w10:wrap anchorx="page" anchory="page"/>
                </v:shape>
              </w:pict>
            </w:r>
            <w:r>
              <w:rPr>
                <w:noProof/>
              </w:rPr>
              <w:pict>
                <v:shape id="_x0000_s1152" type="#_x0000_t202" style="position:absolute;margin-left:4.55pt;margin-top:1.8pt;width:118.8pt;height:181.4pt;z-index:251675648;mso-position-horizontal-relative:page;mso-position-vertical-relative:page" filled="f" stroked="f">
                  <v:textbox style="mso-next-textbox:#_x0000_s1152">
                    <w:txbxContent>
                      <w:p w:rsidR="00EC6404" w:rsidRPr="00C5631F" w:rsidRDefault="00EC6404" w:rsidP="00D06B8C">
                        <w:pPr>
                          <w:pStyle w:val="BoldText"/>
                        </w:pPr>
                        <w:r>
                          <w:t>DEC Drinking Water Program</w:t>
                        </w:r>
                      </w:p>
                      <w:p w:rsidR="00EC6404" w:rsidRDefault="00EC6404" w:rsidP="00D06B8C">
                        <w:r>
                          <w:t>555 Cordova St.</w:t>
                        </w:r>
                      </w:p>
                      <w:p w:rsidR="00EC6404" w:rsidRDefault="00EC6404" w:rsidP="00D06B8C">
                        <w:r>
                          <w:t>Anchorage, AK  99501</w:t>
                        </w:r>
                      </w:p>
                      <w:p w:rsidR="00EC6404" w:rsidRDefault="00EC6404" w:rsidP="00D06B8C"/>
                      <w:p w:rsidR="00EC6404" w:rsidRPr="000C2743" w:rsidRDefault="00EC6404" w:rsidP="00D06B8C">
                        <w:pPr>
                          <w:rPr>
                            <w:b/>
                          </w:rPr>
                        </w:pPr>
                        <w:r w:rsidRPr="000C2743">
                          <w:rPr>
                            <w:b/>
                          </w:rPr>
                          <w:t>Vanessa Wike, PE</w:t>
                        </w:r>
                      </w:p>
                      <w:p w:rsidR="00EC6404" w:rsidRDefault="00EC6404" w:rsidP="00D06B8C">
                        <w:r>
                          <w:t>Capacity Development Coordinator</w:t>
                        </w:r>
                      </w:p>
                      <w:p w:rsidR="00EC6404" w:rsidRDefault="00EC6404" w:rsidP="00D06B8C"/>
                      <w:p w:rsidR="00EC6404" w:rsidRPr="00522DCD" w:rsidRDefault="00EC6404" w:rsidP="00D06B8C">
                        <w:pPr>
                          <w:pStyle w:val="BoldText"/>
                        </w:pPr>
                        <w:r w:rsidRPr="00522DCD">
                          <w:t>Ph</w:t>
                        </w:r>
                        <w:r>
                          <w:t>one</w:t>
                        </w:r>
                      </w:p>
                      <w:p w:rsidR="00EC6404" w:rsidRPr="00522DCD" w:rsidRDefault="00EC6404" w:rsidP="00D06B8C">
                        <w:r w:rsidRPr="00522DCD">
                          <w:t>(</w:t>
                        </w:r>
                        <w:r>
                          <w:t>907</w:t>
                        </w:r>
                        <w:r w:rsidRPr="00522DCD">
                          <w:t xml:space="preserve">) </w:t>
                        </w:r>
                        <w:r>
                          <w:t>269-7696</w:t>
                        </w:r>
                      </w:p>
                      <w:p w:rsidR="00EC6404" w:rsidRPr="00522DCD" w:rsidRDefault="00EC6404" w:rsidP="00D06B8C">
                        <w:pPr>
                          <w:rPr>
                            <w:sz w:val="20"/>
                          </w:rPr>
                        </w:pPr>
                      </w:p>
                      <w:p w:rsidR="00EC6404" w:rsidRPr="00522DCD" w:rsidRDefault="00EC6404" w:rsidP="00D06B8C">
                        <w:pPr>
                          <w:pStyle w:val="BoldText"/>
                        </w:pPr>
                        <w:bookmarkStart w:id="0" w:name="_Hlt460832717"/>
                        <w:bookmarkEnd w:id="0"/>
                        <w:r w:rsidRPr="00522DCD">
                          <w:t>E-m</w:t>
                        </w:r>
                        <w:r>
                          <w:t>ail</w:t>
                        </w:r>
                      </w:p>
                      <w:p w:rsidR="00EC6404" w:rsidRPr="00522DCD" w:rsidRDefault="00EC6404" w:rsidP="00D06B8C">
                        <w:r>
                          <w:t>vanessa.wike@alaska.gov</w:t>
                        </w:r>
                      </w:p>
                    </w:txbxContent>
                  </v:textbox>
                  <w10:wrap anchorx="page" anchory="page"/>
                </v:shape>
              </w:pict>
            </w:r>
          </w:p>
          <w:p w:rsidR="00D1500B" w:rsidRDefault="00D1500B" w:rsidP="008E0FD5"/>
          <w:p w:rsidR="00D1500B" w:rsidRDefault="00D1500B" w:rsidP="008E0FD5"/>
          <w:p w:rsidR="00D1500B" w:rsidRDefault="00D1500B" w:rsidP="008E0FD5"/>
        </w:tc>
        <w:tc>
          <w:tcPr>
            <w:tcW w:w="7830" w:type="dxa"/>
            <w:gridSpan w:val="3"/>
            <w:shd w:val="clear" w:color="auto" w:fill="auto"/>
          </w:tcPr>
          <w:p w:rsidR="00D1500B" w:rsidRDefault="00D1500B" w:rsidP="008E0FD5"/>
        </w:tc>
      </w:tr>
    </w:tbl>
    <w:p w:rsidR="00DB5E11" w:rsidRDefault="00727972">
      <w:r>
        <w:rPr>
          <w:noProof/>
        </w:rPr>
        <w:pict>
          <v:shape id="_x0000_s1157" type="#_x0000_t202" style="position:absolute;margin-left:49.55pt;margin-top:699.75pt;width:178.45pt;height:56.25pt;z-index:251679744;mso-position-horizontal-relative:page;mso-position-vertical-relative:page" filled="f" stroked="f">
            <v:textbox style="mso-next-textbox:#_x0000_s1157">
              <w:txbxContent>
                <w:p w:rsidR="00EC6404" w:rsidRDefault="00EC6404" w:rsidP="007B3B99">
                  <w:pPr>
                    <w:pStyle w:val="ParagraphRuleAbove"/>
                  </w:pPr>
                </w:p>
                <w:p w:rsidR="00EC6404" w:rsidRPr="00327F29" w:rsidRDefault="00EC6404" w:rsidP="007B3B99">
                  <w:pPr>
                    <w:pStyle w:val="Italics"/>
                    <w:rPr>
                      <w:b/>
                    </w:rPr>
                  </w:pPr>
                  <w:r w:rsidRPr="00327F29">
                    <w:rPr>
                      <w:b/>
                    </w:rPr>
                    <w:t>DEC Drinking Water Program:</w:t>
                  </w:r>
                </w:p>
                <w:p w:rsidR="00EC6404" w:rsidRDefault="00EC6404" w:rsidP="007B3B99">
                  <w:r w:rsidRPr="00327F29">
                    <w:t>http://www.dec.state.ak.us/eh/dw/index.htm</w:t>
                  </w:r>
                </w:p>
                <w:p w:rsidR="00EC6404" w:rsidRDefault="00EC6404" w:rsidP="007B3B99">
                  <w:pPr>
                    <w:pStyle w:val="ParagraphRuleBelow"/>
                  </w:pPr>
                </w:p>
              </w:txbxContent>
            </v:textbox>
            <w10:wrap anchorx="page" anchory="page"/>
          </v:shape>
        </w:pict>
      </w:r>
    </w:p>
    <w:sectPr w:rsidR="00DB5E11" w:rsidSect="00060C43">
      <w:headerReference w:type="even" r:id="rId21"/>
      <w:headerReference w:type="default" r:id="rId22"/>
      <w:headerReference w:type="first" r:id="rId23"/>
      <w:pgSz w:w="12240" w:h="15840" w:code="1"/>
      <w:pgMar w:top="720" w:right="720" w:bottom="734" w:left="720" w:header="0" w:footer="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6404" w:rsidRDefault="00EC6404">
      <w:r>
        <w:separator/>
      </w:r>
    </w:p>
  </w:endnote>
  <w:endnote w:type="continuationSeparator" w:id="0">
    <w:p w:rsidR="00EC6404" w:rsidRDefault="00EC640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6404" w:rsidRDefault="00EC6404">
      <w:r>
        <w:separator/>
      </w:r>
    </w:p>
  </w:footnote>
  <w:footnote w:type="continuationSeparator" w:id="0">
    <w:p w:rsidR="00EC6404" w:rsidRDefault="00EC640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404" w:rsidRDefault="00EC6404" w:rsidP="00C876E7">
    <w:pPr>
      <w:ind w:right="360" w:firstLine="360"/>
    </w:pPr>
    <w:r>
      <w:rPr>
        <w:noProof/>
      </w:rPr>
      <w:pict>
        <v:shapetype id="_x0000_t202" coordsize="21600,21600" o:spt="202" path="m,l,21600r21600,l21600,xe">
          <v:stroke joinstyle="miter"/>
          <v:path gradientshapeok="t" o:connecttype="rect"/>
        </v:shapetype>
        <v:shape id="_x0000_s2057" type="#_x0000_t202" style="position:absolute;left:0;text-align:left;margin-left:48.95pt;margin-top:51.55pt;width:516.6pt;height:24.3pt;z-index:251658240;mso-position-horizontal-relative:page;mso-position-vertical-relative:page" filled="f" stroked="f">
          <v:textbox style="mso-next-textbox:#_x0000_s2057">
            <w:txbxContent>
              <w:p w:rsidR="00EC6404" w:rsidRDefault="00EC6404" w:rsidP="008D4886">
                <w:pPr>
                  <w:tabs>
                    <w:tab w:val="left" w:pos="360"/>
                  </w:tabs>
                </w:pPr>
                <w:r w:rsidRPr="00C876E7">
                  <w:rPr>
                    <w:rStyle w:val="AllCapsChar"/>
                  </w:rPr>
                  <w:fldChar w:fldCharType="begin"/>
                </w:r>
                <w:r w:rsidRPr="00C876E7">
                  <w:rPr>
                    <w:rStyle w:val="AllCapsChar"/>
                  </w:rPr>
                  <w:instrText xml:space="preserve">PAGE  </w:instrText>
                </w:r>
                <w:r w:rsidRPr="00C876E7">
                  <w:rPr>
                    <w:rStyle w:val="AllCapsChar"/>
                  </w:rPr>
                  <w:fldChar w:fldCharType="separate"/>
                </w:r>
                <w:r w:rsidR="00F03F06">
                  <w:rPr>
                    <w:rStyle w:val="AllCapsChar"/>
                    <w:noProof/>
                  </w:rPr>
                  <w:t>2</w:t>
                </w:r>
                <w:r w:rsidRPr="00C876E7">
                  <w:rPr>
                    <w:rStyle w:val="AllCapsChar"/>
                  </w:rPr>
                  <w:fldChar w:fldCharType="end"/>
                </w:r>
                <w:r>
                  <w:rPr>
                    <w:rStyle w:val="AllCapsChar"/>
                  </w:rPr>
                  <w:tab/>
                  <w:t>Alaska’s Capacity Development Strategy</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404" w:rsidRDefault="00EC6404" w:rsidP="002509B2">
    <w:pPr>
      <w:ind w:right="360" w:firstLine="360"/>
    </w:pPr>
    <w:r>
      <w:rPr>
        <w:noProof/>
      </w:rPr>
      <w:pict>
        <v:shapetype id="_x0000_t202" coordsize="21600,21600" o:spt="202" path="m,l,21600r21600,l21600,xe">
          <v:stroke joinstyle="miter"/>
          <v:path gradientshapeok="t" o:connecttype="rect"/>
        </v:shapetype>
        <v:shape id="_x0000_s2056" type="#_x0000_t202" style="position:absolute;left:0;text-align:left;margin-left:540pt;margin-top:51.85pt;width:27.65pt;height:24.3pt;z-index:251657216;mso-position-horizontal-relative:page;mso-position-vertical-relative:page" filled="f" stroked="f">
          <v:textbox style="mso-next-textbox:#_x0000_s2056">
            <w:txbxContent>
              <w:p w:rsidR="00EC6404" w:rsidRDefault="00EC6404" w:rsidP="00C876E7">
                <w:pPr>
                  <w:pStyle w:val="AllCaps"/>
                </w:pPr>
                <w:fldSimple w:instr="PAGE  ">
                  <w:r w:rsidR="00F03F06">
                    <w:rPr>
                      <w:noProof/>
                    </w:rPr>
                    <w:t>3</w:t>
                  </w:r>
                </w:fldSimple>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404" w:rsidRDefault="00EC6404" w:rsidP="00462A64">
    <w:pPr>
      <w:tabs>
        <w:tab w:val="left" w:pos="873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37021A"/>
    <w:multiLevelType w:val="hybridMultilevel"/>
    <w:tmpl w:val="CF72C2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20"/>
  <w:evenAndOddHeaders/>
  <w:noPunctuationKerning/>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rsids>
    <w:rsidRoot w:val="00D539EC"/>
    <w:rsid w:val="00000C9E"/>
    <w:rsid w:val="000021DD"/>
    <w:rsid w:val="000051E2"/>
    <w:rsid w:val="00011DB7"/>
    <w:rsid w:val="0001547D"/>
    <w:rsid w:val="00031996"/>
    <w:rsid w:val="0003788D"/>
    <w:rsid w:val="00040C8A"/>
    <w:rsid w:val="0004767D"/>
    <w:rsid w:val="000548A0"/>
    <w:rsid w:val="00060C43"/>
    <w:rsid w:val="00062736"/>
    <w:rsid w:val="00070B55"/>
    <w:rsid w:val="000740BB"/>
    <w:rsid w:val="00081995"/>
    <w:rsid w:val="00086DF5"/>
    <w:rsid w:val="00091553"/>
    <w:rsid w:val="000958BE"/>
    <w:rsid w:val="000961EB"/>
    <w:rsid w:val="000B2761"/>
    <w:rsid w:val="000B5245"/>
    <w:rsid w:val="000B7F1A"/>
    <w:rsid w:val="000C1745"/>
    <w:rsid w:val="000C1F3B"/>
    <w:rsid w:val="000C2743"/>
    <w:rsid w:val="000C76BB"/>
    <w:rsid w:val="000D0F42"/>
    <w:rsid w:val="000D6A69"/>
    <w:rsid w:val="000F4E5E"/>
    <w:rsid w:val="000F6DBB"/>
    <w:rsid w:val="00100272"/>
    <w:rsid w:val="001165B6"/>
    <w:rsid w:val="00120308"/>
    <w:rsid w:val="00120653"/>
    <w:rsid w:val="00124509"/>
    <w:rsid w:val="00132A4A"/>
    <w:rsid w:val="001356C2"/>
    <w:rsid w:val="00135AB3"/>
    <w:rsid w:val="0015532A"/>
    <w:rsid w:val="001650FE"/>
    <w:rsid w:val="00176349"/>
    <w:rsid w:val="00180A35"/>
    <w:rsid w:val="0018447F"/>
    <w:rsid w:val="001A383B"/>
    <w:rsid w:val="001B2431"/>
    <w:rsid w:val="001C1FF1"/>
    <w:rsid w:val="001C27D7"/>
    <w:rsid w:val="001C44D7"/>
    <w:rsid w:val="001D4423"/>
    <w:rsid w:val="001D5C0D"/>
    <w:rsid w:val="001E6114"/>
    <w:rsid w:val="001E7A17"/>
    <w:rsid w:val="00202B9E"/>
    <w:rsid w:val="00211511"/>
    <w:rsid w:val="0021184F"/>
    <w:rsid w:val="0021328D"/>
    <w:rsid w:val="00213DCA"/>
    <w:rsid w:val="00221333"/>
    <w:rsid w:val="002327AC"/>
    <w:rsid w:val="00241499"/>
    <w:rsid w:val="00242B83"/>
    <w:rsid w:val="002458A1"/>
    <w:rsid w:val="002464C5"/>
    <w:rsid w:val="002509B2"/>
    <w:rsid w:val="00250D56"/>
    <w:rsid w:val="002530BF"/>
    <w:rsid w:val="00255855"/>
    <w:rsid w:val="00262608"/>
    <w:rsid w:val="00264D5E"/>
    <w:rsid w:val="0027503D"/>
    <w:rsid w:val="00283559"/>
    <w:rsid w:val="002A0369"/>
    <w:rsid w:val="002A05B8"/>
    <w:rsid w:val="002C0579"/>
    <w:rsid w:val="002C50F1"/>
    <w:rsid w:val="002C5DFF"/>
    <w:rsid w:val="002D0648"/>
    <w:rsid w:val="002D39E0"/>
    <w:rsid w:val="002E22EB"/>
    <w:rsid w:val="002E6C64"/>
    <w:rsid w:val="003122C5"/>
    <w:rsid w:val="00314ADA"/>
    <w:rsid w:val="00322549"/>
    <w:rsid w:val="00327F29"/>
    <w:rsid w:val="00342489"/>
    <w:rsid w:val="003476B4"/>
    <w:rsid w:val="0035652F"/>
    <w:rsid w:val="0035731C"/>
    <w:rsid w:val="00362AFC"/>
    <w:rsid w:val="003671CA"/>
    <w:rsid w:val="00382A24"/>
    <w:rsid w:val="00385FAE"/>
    <w:rsid w:val="0039448F"/>
    <w:rsid w:val="003A51CC"/>
    <w:rsid w:val="003A69B2"/>
    <w:rsid w:val="003A6C90"/>
    <w:rsid w:val="003B737E"/>
    <w:rsid w:val="003C6CD6"/>
    <w:rsid w:val="003E2F4F"/>
    <w:rsid w:val="003E44AB"/>
    <w:rsid w:val="003F5BC0"/>
    <w:rsid w:val="003F7153"/>
    <w:rsid w:val="003F7755"/>
    <w:rsid w:val="004018DA"/>
    <w:rsid w:val="00402DF7"/>
    <w:rsid w:val="004055DA"/>
    <w:rsid w:val="00422431"/>
    <w:rsid w:val="00433740"/>
    <w:rsid w:val="00433B33"/>
    <w:rsid w:val="00433E00"/>
    <w:rsid w:val="00442B0E"/>
    <w:rsid w:val="00462A64"/>
    <w:rsid w:val="0049776B"/>
    <w:rsid w:val="004A4F50"/>
    <w:rsid w:val="004A628B"/>
    <w:rsid w:val="004B24C0"/>
    <w:rsid w:val="004C0EEB"/>
    <w:rsid w:val="004C2A91"/>
    <w:rsid w:val="004C60E7"/>
    <w:rsid w:val="004D2854"/>
    <w:rsid w:val="004D6083"/>
    <w:rsid w:val="004D6162"/>
    <w:rsid w:val="004E475C"/>
    <w:rsid w:val="004F53D6"/>
    <w:rsid w:val="004F7152"/>
    <w:rsid w:val="004F79F9"/>
    <w:rsid w:val="00500142"/>
    <w:rsid w:val="00501419"/>
    <w:rsid w:val="00513AF9"/>
    <w:rsid w:val="00516A06"/>
    <w:rsid w:val="00517F93"/>
    <w:rsid w:val="00520551"/>
    <w:rsid w:val="00537F7E"/>
    <w:rsid w:val="00543504"/>
    <w:rsid w:val="00550AC3"/>
    <w:rsid w:val="00555C72"/>
    <w:rsid w:val="00570A4F"/>
    <w:rsid w:val="005744E8"/>
    <w:rsid w:val="005877EC"/>
    <w:rsid w:val="00590CC7"/>
    <w:rsid w:val="0059161C"/>
    <w:rsid w:val="0059797D"/>
    <w:rsid w:val="005C11C8"/>
    <w:rsid w:val="005C4631"/>
    <w:rsid w:val="005C74C0"/>
    <w:rsid w:val="005C76DF"/>
    <w:rsid w:val="005D48EE"/>
    <w:rsid w:val="005D5857"/>
    <w:rsid w:val="005D7F62"/>
    <w:rsid w:val="005E017C"/>
    <w:rsid w:val="005E78AE"/>
    <w:rsid w:val="005F0B56"/>
    <w:rsid w:val="00600FED"/>
    <w:rsid w:val="006165C0"/>
    <w:rsid w:val="00616DB0"/>
    <w:rsid w:val="00621E2B"/>
    <w:rsid w:val="00625D2A"/>
    <w:rsid w:val="00630FCD"/>
    <w:rsid w:val="00632AEC"/>
    <w:rsid w:val="0065056A"/>
    <w:rsid w:val="006650F5"/>
    <w:rsid w:val="00667B70"/>
    <w:rsid w:val="00682730"/>
    <w:rsid w:val="00683ECE"/>
    <w:rsid w:val="0069209F"/>
    <w:rsid w:val="00695C56"/>
    <w:rsid w:val="006A0074"/>
    <w:rsid w:val="006A1E5E"/>
    <w:rsid w:val="006A2F75"/>
    <w:rsid w:val="006B021F"/>
    <w:rsid w:val="006B21C2"/>
    <w:rsid w:val="006B4300"/>
    <w:rsid w:val="006B4C2E"/>
    <w:rsid w:val="006C1A56"/>
    <w:rsid w:val="006E07E9"/>
    <w:rsid w:val="006E5CB5"/>
    <w:rsid w:val="006F7DC8"/>
    <w:rsid w:val="00702681"/>
    <w:rsid w:val="00712B04"/>
    <w:rsid w:val="00716EFC"/>
    <w:rsid w:val="007210F9"/>
    <w:rsid w:val="0072530C"/>
    <w:rsid w:val="007268A7"/>
    <w:rsid w:val="00727972"/>
    <w:rsid w:val="007357CC"/>
    <w:rsid w:val="00736408"/>
    <w:rsid w:val="007402D7"/>
    <w:rsid w:val="00746763"/>
    <w:rsid w:val="0075668D"/>
    <w:rsid w:val="00765766"/>
    <w:rsid w:val="007756DB"/>
    <w:rsid w:val="00783F9A"/>
    <w:rsid w:val="00786757"/>
    <w:rsid w:val="00791007"/>
    <w:rsid w:val="007938FF"/>
    <w:rsid w:val="007A0B20"/>
    <w:rsid w:val="007A7214"/>
    <w:rsid w:val="007B3B99"/>
    <w:rsid w:val="007E1041"/>
    <w:rsid w:val="007E440B"/>
    <w:rsid w:val="0080355B"/>
    <w:rsid w:val="00806FA5"/>
    <w:rsid w:val="008131B7"/>
    <w:rsid w:val="00817049"/>
    <w:rsid w:val="008231DB"/>
    <w:rsid w:val="00841A78"/>
    <w:rsid w:val="0084338E"/>
    <w:rsid w:val="00845A3E"/>
    <w:rsid w:val="008602EC"/>
    <w:rsid w:val="00873A3B"/>
    <w:rsid w:val="008907DA"/>
    <w:rsid w:val="00891AE5"/>
    <w:rsid w:val="008A38F2"/>
    <w:rsid w:val="008B1E1F"/>
    <w:rsid w:val="008C2451"/>
    <w:rsid w:val="008C2806"/>
    <w:rsid w:val="008D2A39"/>
    <w:rsid w:val="008D3E21"/>
    <w:rsid w:val="008D4886"/>
    <w:rsid w:val="008E0FD5"/>
    <w:rsid w:val="008E1BA4"/>
    <w:rsid w:val="008E2093"/>
    <w:rsid w:val="008F09D7"/>
    <w:rsid w:val="008F66E1"/>
    <w:rsid w:val="00913498"/>
    <w:rsid w:val="009309FF"/>
    <w:rsid w:val="00936238"/>
    <w:rsid w:val="00957E24"/>
    <w:rsid w:val="0097000C"/>
    <w:rsid w:val="00970852"/>
    <w:rsid w:val="009735FC"/>
    <w:rsid w:val="00994134"/>
    <w:rsid w:val="009941B8"/>
    <w:rsid w:val="00995747"/>
    <w:rsid w:val="009A037D"/>
    <w:rsid w:val="009A1F73"/>
    <w:rsid w:val="009B05AB"/>
    <w:rsid w:val="009C0DC4"/>
    <w:rsid w:val="009C2EB0"/>
    <w:rsid w:val="009D5346"/>
    <w:rsid w:val="009D636C"/>
    <w:rsid w:val="009E12C3"/>
    <w:rsid w:val="009E45AD"/>
    <w:rsid w:val="009F3C9E"/>
    <w:rsid w:val="009F4C2B"/>
    <w:rsid w:val="009F5A2B"/>
    <w:rsid w:val="00A1653A"/>
    <w:rsid w:val="00A23860"/>
    <w:rsid w:val="00A2451D"/>
    <w:rsid w:val="00A256BB"/>
    <w:rsid w:val="00A25DD6"/>
    <w:rsid w:val="00A30EA2"/>
    <w:rsid w:val="00A31168"/>
    <w:rsid w:val="00A402B7"/>
    <w:rsid w:val="00A45079"/>
    <w:rsid w:val="00A67E2A"/>
    <w:rsid w:val="00A742B0"/>
    <w:rsid w:val="00A86888"/>
    <w:rsid w:val="00A86950"/>
    <w:rsid w:val="00A902C6"/>
    <w:rsid w:val="00A95D48"/>
    <w:rsid w:val="00AA2B66"/>
    <w:rsid w:val="00AA35D2"/>
    <w:rsid w:val="00AA4948"/>
    <w:rsid w:val="00AB1CAF"/>
    <w:rsid w:val="00AB5543"/>
    <w:rsid w:val="00AB7013"/>
    <w:rsid w:val="00AC2079"/>
    <w:rsid w:val="00AC4CC5"/>
    <w:rsid w:val="00AC7BC8"/>
    <w:rsid w:val="00AD3C68"/>
    <w:rsid w:val="00AF09FC"/>
    <w:rsid w:val="00AF7875"/>
    <w:rsid w:val="00B02AA9"/>
    <w:rsid w:val="00B0453D"/>
    <w:rsid w:val="00B071DE"/>
    <w:rsid w:val="00B309D7"/>
    <w:rsid w:val="00B34E02"/>
    <w:rsid w:val="00B364EC"/>
    <w:rsid w:val="00B535DD"/>
    <w:rsid w:val="00B61D6C"/>
    <w:rsid w:val="00B62368"/>
    <w:rsid w:val="00B65507"/>
    <w:rsid w:val="00B75087"/>
    <w:rsid w:val="00B87732"/>
    <w:rsid w:val="00B87F19"/>
    <w:rsid w:val="00B94AFF"/>
    <w:rsid w:val="00BA2637"/>
    <w:rsid w:val="00BA5346"/>
    <w:rsid w:val="00BA742F"/>
    <w:rsid w:val="00BC1B31"/>
    <w:rsid w:val="00BC49B6"/>
    <w:rsid w:val="00BC7118"/>
    <w:rsid w:val="00BD2AFF"/>
    <w:rsid w:val="00BD5478"/>
    <w:rsid w:val="00BE0A36"/>
    <w:rsid w:val="00BF308C"/>
    <w:rsid w:val="00BF319A"/>
    <w:rsid w:val="00C01B72"/>
    <w:rsid w:val="00C06084"/>
    <w:rsid w:val="00C07E90"/>
    <w:rsid w:val="00C33CA2"/>
    <w:rsid w:val="00C35F5D"/>
    <w:rsid w:val="00C3737C"/>
    <w:rsid w:val="00C474F0"/>
    <w:rsid w:val="00C52EA7"/>
    <w:rsid w:val="00C612CC"/>
    <w:rsid w:val="00C615DF"/>
    <w:rsid w:val="00C72578"/>
    <w:rsid w:val="00C75553"/>
    <w:rsid w:val="00C77FAD"/>
    <w:rsid w:val="00C8353B"/>
    <w:rsid w:val="00C876E7"/>
    <w:rsid w:val="00C95239"/>
    <w:rsid w:val="00CA30EC"/>
    <w:rsid w:val="00CA6827"/>
    <w:rsid w:val="00CC7F3A"/>
    <w:rsid w:val="00CD11B3"/>
    <w:rsid w:val="00CE5C69"/>
    <w:rsid w:val="00CF21A8"/>
    <w:rsid w:val="00D01E34"/>
    <w:rsid w:val="00D06B8C"/>
    <w:rsid w:val="00D07ABC"/>
    <w:rsid w:val="00D11000"/>
    <w:rsid w:val="00D14861"/>
    <w:rsid w:val="00D1500B"/>
    <w:rsid w:val="00D25948"/>
    <w:rsid w:val="00D32164"/>
    <w:rsid w:val="00D326C2"/>
    <w:rsid w:val="00D3281F"/>
    <w:rsid w:val="00D40E8B"/>
    <w:rsid w:val="00D42265"/>
    <w:rsid w:val="00D43DE3"/>
    <w:rsid w:val="00D458DB"/>
    <w:rsid w:val="00D539EC"/>
    <w:rsid w:val="00D570E9"/>
    <w:rsid w:val="00D6262A"/>
    <w:rsid w:val="00D670E2"/>
    <w:rsid w:val="00D67952"/>
    <w:rsid w:val="00D67C63"/>
    <w:rsid w:val="00D7090B"/>
    <w:rsid w:val="00D713FF"/>
    <w:rsid w:val="00D72D6B"/>
    <w:rsid w:val="00D8695C"/>
    <w:rsid w:val="00DA0227"/>
    <w:rsid w:val="00DA5220"/>
    <w:rsid w:val="00DB076F"/>
    <w:rsid w:val="00DB28ED"/>
    <w:rsid w:val="00DB5E11"/>
    <w:rsid w:val="00DC7ABC"/>
    <w:rsid w:val="00DD4EEF"/>
    <w:rsid w:val="00DD6FA0"/>
    <w:rsid w:val="00DF7BCC"/>
    <w:rsid w:val="00E07DA9"/>
    <w:rsid w:val="00E11AED"/>
    <w:rsid w:val="00E22204"/>
    <w:rsid w:val="00E3247A"/>
    <w:rsid w:val="00E32706"/>
    <w:rsid w:val="00E32D23"/>
    <w:rsid w:val="00E33322"/>
    <w:rsid w:val="00E37291"/>
    <w:rsid w:val="00E449F8"/>
    <w:rsid w:val="00E54442"/>
    <w:rsid w:val="00E620C9"/>
    <w:rsid w:val="00E80B30"/>
    <w:rsid w:val="00EA484B"/>
    <w:rsid w:val="00EB7126"/>
    <w:rsid w:val="00EB7D8B"/>
    <w:rsid w:val="00EC6404"/>
    <w:rsid w:val="00EC7BB9"/>
    <w:rsid w:val="00ED24A2"/>
    <w:rsid w:val="00ED279E"/>
    <w:rsid w:val="00EE2BDB"/>
    <w:rsid w:val="00EF1A1A"/>
    <w:rsid w:val="00EF51ED"/>
    <w:rsid w:val="00EF6227"/>
    <w:rsid w:val="00EF6BFA"/>
    <w:rsid w:val="00F03F06"/>
    <w:rsid w:val="00F0517C"/>
    <w:rsid w:val="00F0712B"/>
    <w:rsid w:val="00F25446"/>
    <w:rsid w:val="00F335B4"/>
    <w:rsid w:val="00F43730"/>
    <w:rsid w:val="00F44F86"/>
    <w:rsid w:val="00F5178A"/>
    <w:rsid w:val="00F5701C"/>
    <w:rsid w:val="00F80174"/>
    <w:rsid w:val="00F864CE"/>
    <w:rsid w:val="00F92429"/>
    <w:rsid w:val="00FA125F"/>
    <w:rsid w:val="00FA156C"/>
    <w:rsid w:val="00FA199A"/>
    <w:rsid w:val="00FA2A35"/>
    <w:rsid w:val="00FB76C8"/>
    <w:rsid w:val="00FC44B8"/>
    <w:rsid w:val="00FD571C"/>
    <w:rsid w:val="00FE069A"/>
    <w:rsid w:val="00FE4C88"/>
    <w:rsid w:val="00FF4582"/>
    <w:rsid w:val="00FF4F1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1"/>
      <o:rules v:ext="edit">
        <o:r id="V:Rule2" type="connector" idref="#_x0000_s12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A2B66"/>
    <w:rPr>
      <w:rFonts w:ascii="Tahoma" w:hAnsi="Tahoma"/>
      <w:sz w:val="16"/>
      <w:szCs w:val="24"/>
    </w:rPr>
  </w:style>
  <w:style w:type="paragraph" w:styleId="Heading1">
    <w:name w:val="heading 1"/>
    <w:basedOn w:val="Normal"/>
    <w:next w:val="Normal"/>
    <w:qFormat/>
    <w:rsid w:val="00667B70"/>
    <w:pPr>
      <w:keepNext/>
      <w:spacing w:before="240"/>
      <w:ind w:left="270"/>
      <w:outlineLvl w:val="0"/>
    </w:pPr>
    <w:rPr>
      <w:rFonts w:cs="Arial"/>
      <w:bCs/>
      <w:kern w:val="32"/>
      <w:sz w:val="60"/>
      <w:szCs w:val="32"/>
    </w:rPr>
  </w:style>
  <w:style w:type="paragraph" w:styleId="Heading2">
    <w:name w:val="heading 2"/>
    <w:basedOn w:val="Normal"/>
    <w:next w:val="Normal"/>
    <w:qFormat/>
    <w:rsid w:val="003E2F4F"/>
    <w:pPr>
      <w:keepNext/>
      <w:spacing w:before="240" w:after="60"/>
      <w:ind w:left="180"/>
      <w:outlineLvl w:val="1"/>
    </w:pPr>
    <w:rPr>
      <w:rFonts w:cs="Arial"/>
      <w:bCs/>
      <w:iCs/>
      <w:color w:val="008080"/>
      <w:sz w:val="40"/>
      <w:szCs w:val="28"/>
    </w:rPr>
  </w:style>
  <w:style w:type="paragraph" w:styleId="Heading3">
    <w:name w:val="heading 3"/>
    <w:basedOn w:val="Heading2"/>
    <w:next w:val="Normal"/>
    <w:qFormat/>
    <w:rsid w:val="00AC4CC5"/>
    <w:pPr>
      <w:ind w:left="45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BodyText">
    <w:name w:val="Newsletter Body Text"/>
    <w:basedOn w:val="Normal"/>
    <w:rsid w:val="00AA2B66"/>
    <w:pPr>
      <w:spacing w:after="200" w:line="312" w:lineRule="auto"/>
    </w:pPr>
    <w:rPr>
      <w:spacing w:val="4"/>
      <w:szCs w:val="16"/>
    </w:rPr>
  </w:style>
  <w:style w:type="paragraph" w:customStyle="1" w:styleId="LeftColumnText">
    <w:name w:val="Left Column Text"/>
    <w:basedOn w:val="Normal"/>
    <w:rsid w:val="00AA2B66"/>
    <w:pPr>
      <w:framePr w:hSpace="187" w:wrap="around" w:vAnchor="text" w:hAnchor="text" w:xAlign="center" w:y="1"/>
      <w:spacing w:after="160" w:line="312" w:lineRule="auto"/>
    </w:pPr>
    <w:rPr>
      <w:spacing w:val="4"/>
      <w:szCs w:val="16"/>
    </w:rPr>
  </w:style>
  <w:style w:type="paragraph" w:customStyle="1" w:styleId="LCTBold">
    <w:name w:val="LCT Bold"/>
    <w:basedOn w:val="LeftColumnText"/>
    <w:rsid w:val="00667B70"/>
    <w:pPr>
      <w:framePr w:wrap="around"/>
    </w:pPr>
    <w:rPr>
      <w:b/>
    </w:rPr>
  </w:style>
  <w:style w:type="paragraph" w:customStyle="1" w:styleId="BoldText">
    <w:name w:val="Bold Text"/>
    <w:basedOn w:val="Normal"/>
    <w:link w:val="BoldTextChar"/>
    <w:rsid w:val="00667B70"/>
    <w:rPr>
      <w:b/>
      <w:szCs w:val="16"/>
    </w:rPr>
  </w:style>
  <w:style w:type="character" w:customStyle="1" w:styleId="BoldTextChar">
    <w:name w:val="Bold Text Char"/>
    <w:basedOn w:val="DefaultParagraphFont"/>
    <w:link w:val="BoldText"/>
    <w:rsid w:val="00667B70"/>
    <w:rPr>
      <w:rFonts w:ascii="Century Gothic" w:hAnsi="Century Gothic"/>
      <w:b/>
      <w:sz w:val="16"/>
      <w:szCs w:val="16"/>
      <w:lang w:val="en-US" w:eastAsia="en-US" w:bidi="ar-SA"/>
    </w:rPr>
  </w:style>
  <w:style w:type="paragraph" w:customStyle="1" w:styleId="CompanyName">
    <w:name w:val="Company Name"/>
    <w:basedOn w:val="Normal"/>
    <w:link w:val="CompanyNameCharChar"/>
    <w:rsid w:val="004F7152"/>
    <w:rPr>
      <w:b/>
      <w:spacing w:val="4"/>
      <w:szCs w:val="16"/>
    </w:rPr>
  </w:style>
  <w:style w:type="character" w:customStyle="1" w:styleId="CompanyNameCharChar">
    <w:name w:val="Company Name Char Char"/>
    <w:basedOn w:val="DefaultParagraphFont"/>
    <w:link w:val="CompanyName"/>
    <w:rsid w:val="004F7152"/>
    <w:rPr>
      <w:rFonts w:ascii="Tahoma" w:hAnsi="Tahoma"/>
      <w:b/>
      <w:spacing w:val="4"/>
      <w:sz w:val="16"/>
      <w:szCs w:val="16"/>
      <w:lang w:val="en-US" w:eastAsia="en-US" w:bidi="ar-SA"/>
    </w:rPr>
  </w:style>
  <w:style w:type="paragraph" w:customStyle="1" w:styleId="ColumnCaption">
    <w:name w:val="Column Caption"/>
    <w:basedOn w:val="LeftColumnText"/>
    <w:rsid w:val="00C3737C"/>
    <w:pPr>
      <w:framePr w:wrap="around"/>
      <w:spacing w:line="552" w:lineRule="auto"/>
    </w:pPr>
    <w:rPr>
      <w:i/>
    </w:rPr>
  </w:style>
  <w:style w:type="paragraph" w:styleId="Footer">
    <w:name w:val="footer"/>
    <w:basedOn w:val="Normal"/>
    <w:link w:val="FooterChar"/>
    <w:uiPriority w:val="99"/>
    <w:rsid w:val="00C35F5D"/>
    <w:pPr>
      <w:tabs>
        <w:tab w:val="center" w:pos="4320"/>
        <w:tab w:val="right" w:pos="8640"/>
      </w:tabs>
    </w:pPr>
  </w:style>
  <w:style w:type="paragraph" w:styleId="BalloonText">
    <w:name w:val="Balloon Text"/>
    <w:basedOn w:val="Normal"/>
    <w:semiHidden/>
    <w:rsid w:val="000B2761"/>
    <w:rPr>
      <w:rFonts w:cs="Tahoma"/>
      <w:szCs w:val="16"/>
    </w:rPr>
  </w:style>
  <w:style w:type="paragraph" w:customStyle="1" w:styleId="MailingAddress">
    <w:name w:val="Mailing Address"/>
    <w:basedOn w:val="Normal"/>
    <w:rsid w:val="00D06B8C"/>
    <w:rPr>
      <w:caps/>
      <w:sz w:val="20"/>
      <w:szCs w:val="20"/>
    </w:rPr>
  </w:style>
  <w:style w:type="paragraph" w:customStyle="1" w:styleId="Italics">
    <w:name w:val="Italics"/>
    <w:basedOn w:val="Normal"/>
    <w:link w:val="ItalicsChar"/>
    <w:rsid w:val="003E2F4F"/>
    <w:rPr>
      <w:i/>
      <w:spacing w:val="4"/>
      <w:szCs w:val="16"/>
    </w:rPr>
  </w:style>
  <w:style w:type="character" w:customStyle="1" w:styleId="ItalicsChar">
    <w:name w:val="Italics Char"/>
    <w:basedOn w:val="DefaultParagraphFont"/>
    <w:link w:val="Italics"/>
    <w:rsid w:val="00746763"/>
    <w:rPr>
      <w:rFonts w:ascii="Tahoma" w:hAnsi="Tahoma"/>
      <w:i/>
      <w:spacing w:val="4"/>
      <w:sz w:val="16"/>
      <w:szCs w:val="16"/>
      <w:lang w:val="en-US" w:eastAsia="en-US" w:bidi="ar-SA"/>
    </w:rPr>
  </w:style>
  <w:style w:type="paragraph" w:customStyle="1" w:styleId="ParagraphRuleAbove">
    <w:name w:val="Paragraph Rule Above"/>
    <w:basedOn w:val="Normal"/>
    <w:rsid w:val="00D06B8C"/>
    <w:pPr>
      <w:pBdr>
        <w:bottom w:val="single" w:sz="2" w:space="1" w:color="auto"/>
      </w:pBdr>
      <w:spacing w:after="120"/>
    </w:pPr>
  </w:style>
  <w:style w:type="paragraph" w:customStyle="1" w:styleId="ParagraphRuleBelow">
    <w:name w:val="Paragraph Rule Below"/>
    <w:basedOn w:val="Normal"/>
    <w:rsid w:val="00D06B8C"/>
    <w:pPr>
      <w:pBdr>
        <w:top w:val="single" w:sz="2" w:space="1" w:color="auto"/>
      </w:pBdr>
      <w:spacing w:before="120"/>
    </w:pPr>
  </w:style>
  <w:style w:type="paragraph" w:customStyle="1" w:styleId="MailingAddressBold">
    <w:name w:val="Mailing Address Bold"/>
    <w:basedOn w:val="MailingAddress"/>
    <w:rsid w:val="00D06B8C"/>
    <w:rPr>
      <w:b/>
    </w:rPr>
  </w:style>
  <w:style w:type="paragraph" w:customStyle="1" w:styleId="ReturnMailingAddress">
    <w:name w:val="Return Mailing Address"/>
    <w:basedOn w:val="MailingAddress"/>
    <w:rsid w:val="007B3B99"/>
    <w:rPr>
      <w:sz w:val="16"/>
    </w:rPr>
  </w:style>
  <w:style w:type="paragraph" w:customStyle="1" w:styleId="ReturnMailingAddressBold">
    <w:name w:val="Return Mailing Address Bold"/>
    <w:basedOn w:val="ReturnMailingAddress"/>
    <w:rsid w:val="007B3B99"/>
    <w:rPr>
      <w:b/>
    </w:rPr>
  </w:style>
  <w:style w:type="paragraph" w:customStyle="1" w:styleId="AllCaps">
    <w:name w:val="All Caps"/>
    <w:basedOn w:val="Normal"/>
    <w:link w:val="AllCapsChar"/>
    <w:rsid w:val="008D4886"/>
    <w:pPr>
      <w:tabs>
        <w:tab w:val="left" w:pos="360"/>
      </w:tabs>
    </w:pPr>
    <w:rPr>
      <w:b/>
      <w:caps/>
      <w:color w:val="008080"/>
      <w:szCs w:val="16"/>
    </w:rPr>
  </w:style>
  <w:style w:type="character" w:customStyle="1" w:styleId="AllCapsChar">
    <w:name w:val="All Caps Char"/>
    <w:basedOn w:val="DefaultParagraphFont"/>
    <w:link w:val="AllCaps"/>
    <w:rsid w:val="008D4886"/>
    <w:rPr>
      <w:rFonts w:ascii="Tahoma" w:hAnsi="Tahoma"/>
      <w:b/>
      <w:caps/>
      <w:color w:val="008080"/>
      <w:sz w:val="16"/>
      <w:szCs w:val="16"/>
      <w:lang w:val="en-US" w:eastAsia="en-US" w:bidi="ar-SA"/>
    </w:rPr>
  </w:style>
  <w:style w:type="paragraph" w:customStyle="1" w:styleId="VolumeDate">
    <w:name w:val="Volume/Date"/>
    <w:basedOn w:val="CompanyName"/>
    <w:link w:val="VolumeDateChar"/>
    <w:rsid w:val="004F7152"/>
    <w:pPr>
      <w:jc w:val="right"/>
    </w:pPr>
    <w:rPr>
      <w:b w:val="0"/>
    </w:rPr>
  </w:style>
  <w:style w:type="character" w:customStyle="1" w:styleId="VolumeDateChar">
    <w:name w:val="Volume/Date Char"/>
    <w:basedOn w:val="CompanyNameCharChar"/>
    <w:link w:val="VolumeDate"/>
    <w:rsid w:val="004F7152"/>
  </w:style>
  <w:style w:type="paragraph" w:customStyle="1" w:styleId="VolumeDateBold">
    <w:name w:val="Volume/Date Bold"/>
    <w:basedOn w:val="VolumeDate"/>
    <w:link w:val="VolumeDateBoldChar"/>
    <w:rsid w:val="004F7152"/>
    <w:rPr>
      <w:b/>
    </w:rPr>
  </w:style>
  <w:style w:type="character" w:customStyle="1" w:styleId="VolumeDateBoldChar">
    <w:name w:val="Volume/Date Bold Char"/>
    <w:basedOn w:val="VolumeDateChar"/>
    <w:link w:val="VolumeDateBold"/>
    <w:rsid w:val="004F7152"/>
    <w:rPr>
      <w:b/>
    </w:rPr>
  </w:style>
  <w:style w:type="paragraph" w:customStyle="1" w:styleId="CompanyPhoneNumber">
    <w:name w:val="Company Phone Number"/>
    <w:basedOn w:val="CompanyName"/>
    <w:rsid w:val="004F7152"/>
    <w:rPr>
      <w:b w:val="0"/>
    </w:rPr>
  </w:style>
  <w:style w:type="paragraph" w:customStyle="1" w:styleId="Tagline">
    <w:name w:val="Tagline"/>
    <w:basedOn w:val="Italics"/>
    <w:link w:val="TaglineChar"/>
    <w:rsid w:val="00746763"/>
    <w:pPr>
      <w:spacing w:before="480"/>
    </w:pPr>
  </w:style>
  <w:style w:type="character" w:customStyle="1" w:styleId="TaglineChar">
    <w:name w:val="Tagline Char"/>
    <w:basedOn w:val="ItalicsChar"/>
    <w:link w:val="Tagline"/>
    <w:rsid w:val="00746763"/>
  </w:style>
  <w:style w:type="character" w:customStyle="1" w:styleId="FooterChar">
    <w:name w:val="Footer Char"/>
    <w:basedOn w:val="DefaultParagraphFont"/>
    <w:link w:val="Footer"/>
    <w:uiPriority w:val="99"/>
    <w:rsid w:val="00EF51ED"/>
    <w:rPr>
      <w:rFonts w:ascii="Tahoma" w:hAnsi="Tahoma"/>
      <w:sz w:val="16"/>
      <w:szCs w:val="24"/>
    </w:rPr>
  </w:style>
  <w:style w:type="character" w:styleId="Hyperlink">
    <w:name w:val="Hyperlink"/>
    <w:basedOn w:val="DefaultParagraphFont"/>
    <w:rsid w:val="00327F29"/>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jpeg"/><Relationship Id="rId2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vwike\Application%20Data\Microsoft\Templates\Newsletter(2).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an-svrfile\groups\EH\Eh-Dw\ENGINEERING\Capacity%20Development\CapacityDevptReports\GovernorsReport\govreport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vwike\My%20Documents\V%20request%20C%20and%20NTNC.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n-svrfile\groups\EH\Eh-Dw\ENGINEERING\Capacity%20Development\CapacityDevptReports\GovernorsReport\stmarysturbiditi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spPr>
            <a:solidFill>
              <a:srgbClr val="005A5A">
                <a:alpha val="80000"/>
              </a:srgbClr>
            </a:solidFill>
          </c:spPr>
          <c:cat>
            <c:numRef>
              <c:f>PWS!$A$1:$A$4</c:f>
              <c:numCache>
                <c:formatCode>yyyy</c:formatCode>
                <c:ptCount val="4"/>
                <c:pt idx="0">
                  <c:v>37438</c:v>
                </c:pt>
                <c:pt idx="1">
                  <c:v>38534</c:v>
                </c:pt>
                <c:pt idx="2">
                  <c:v>39630</c:v>
                </c:pt>
                <c:pt idx="3">
                  <c:v>40725</c:v>
                </c:pt>
              </c:numCache>
            </c:numRef>
          </c:cat>
          <c:val>
            <c:numRef>
              <c:f>PWS!$B$1:$B$4</c:f>
              <c:numCache>
                <c:formatCode>General</c:formatCode>
                <c:ptCount val="4"/>
                <c:pt idx="0">
                  <c:v>641</c:v>
                </c:pt>
                <c:pt idx="1">
                  <c:v>658</c:v>
                </c:pt>
                <c:pt idx="2">
                  <c:v>693</c:v>
                </c:pt>
                <c:pt idx="3">
                  <c:v>695</c:v>
                </c:pt>
              </c:numCache>
            </c:numRef>
          </c:val>
        </c:ser>
        <c:gapWidth val="100"/>
        <c:axId val="76845824"/>
        <c:axId val="76847360"/>
      </c:barChart>
      <c:dateAx>
        <c:axId val="76845824"/>
        <c:scaling>
          <c:orientation val="minMax"/>
          <c:max val="40544"/>
          <c:min val="37257"/>
        </c:scaling>
        <c:axPos val="b"/>
        <c:numFmt formatCode="yyyy" sourceLinked="1"/>
        <c:majorTickMark val="none"/>
        <c:tickLblPos val="nextTo"/>
        <c:spPr>
          <a:ln>
            <a:solidFill>
              <a:schemeClr val="bg1">
                <a:lumMod val="65000"/>
              </a:schemeClr>
            </a:solidFill>
          </a:ln>
        </c:spPr>
        <c:txPr>
          <a:bodyPr/>
          <a:lstStyle/>
          <a:p>
            <a:pPr>
              <a:defRPr>
                <a:solidFill>
                  <a:schemeClr val="tx1">
                    <a:lumMod val="65000"/>
                    <a:lumOff val="35000"/>
                  </a:schemeClr>
                </a:solidFill>
              </a:defRPr>
            </a:pPr>
            <a:endParaRPr lang="en-US"/>
          </a:p>
        </c:txPr>
        <c:crossAx val="76847360"/>
        <c:crosses val="autoZero"/>
        <c:auto val="1"/>
        <c:lblOffset val="100"/>
        <c:majorUnit val="3"/>
        <c:majorTimeUnit val="years"/>
        <c:minorUnit val="1"/>
        <c:minorTimeUnit val="years"/>
      </c:dateAx>
      <c:valAx>
        <c:axId val="76847360"/>
        <c:scaling>
          <c:orientation val="minMax"/>
          <c:max val="700"/>
          <c:min val="600"/>
        </c:scaling>
        <c:axPos val="l"/>
        <c:majorGridlines>
          <c:spPr>
            <a:ln>
              <a:solidFill>
                <a:srgbClr val="00DADA">
                  <a:alpha val="50196"/>
                </a:srgbClr>
              </a:solidFill>
            </a:ln>
          </c:spPr>
        </c:majorGridlines>
        <c:numFmt formatCode="General" sourceLinked="1"/>
        <c:tickLblPos val="nextTo"/>
        <c:spPr>
          <a:ln>
            <a:solidFill>
              <a:schemeClr val="bg1">
                <a:lumMod val="65000"/>
              </a:schemeClr>
            </a:solidFill>
          </a:ln>
        </c:spPr>
        <c:txPr>
          <a:bodyPr/>
          <a:lstStyle/>
          <a:p>
            <a:pPr>
              <a:defRPr>
                <a:solidFill>
                  <a:schemeClr val="tx1">
                    <a:lumMod val="65000"/>
                    <a:lumOff val="35000"/>
                  </a:schemeClr>
                </a:solidFill>
              </a:defRPr>
            </a:pPr>
            <a:endParaRPr lang="en-US"/>
          </a:p>
        </c:txPr>
        <c:crossAx val="76845824"/>
        <c:crosses val="autoZero"/>
        <c:crossBetween val="between"/>
        <c:majorUnit val="25"/>
        <c:minorUnit val="2"/>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style val="7"/>
  <c:chart>
    <c:autoTitleDeleted val="1"/>
    <c:view3D>
      <c:rotX val="40"/>
      <c:rotY val="10"/>
      <c:perspective val="30"/>
    </c:view3D>
    <c:plotArea>
      <c:layout/>
      <c:pie3DChart>
        <c:varyColors val="1"/>
        <c:ser>
          <c:idx val="0"/>
          <c:order val="0"/>
          <c:spPr>
            <a:solidFill>
              <a:srgbClr val="00F8F8"/>
            </a:solidFill>
          </c:spPr>
          <c:explosion val="25"/>
          <c:dPt>
            <c:idx val="0"/>
            <c:spPr>
              <a:solidFill>
                <a:srgbClr val="009E9A">
                  <a:alpha val="85882"/>
                </a:srgbClr>
              </a:solidFill>
            </c:spPr>
          </c:dPt>
          <c:dPt>
            <c:idx val="1"/>
            <c:spPr>
              <a:solidFill>
                <a:srgbClr val="33FFFF">
                  <a:alpha val="69804"/>
                </a:srgbClr>
              </a:solidFill>
            </c:spPr>
          </c:dPt>
          <c:dLbls>
            <c:dLbl>
              <c:idx val="0"/>
              <c:layout/>
              <c:tx>
                <c:rich>
                  <a:bodyPr/>
                  <a:lstStyle/>
                  <a:p>
                    <a:r>
                      <a:rPr lang="en-US"/>
                      <a:t>502</a:t>
                    </a:r>
                  </a:p>
                  <a:p>
                    <a:r>
                      <a:rPr lang="en-US"/>
                      <a:t>GW</a:t>
                    </a:r>
                  </a:p>
                </c:rich>
              </c:tx>
              <c:showVal val="1"/>
            </c:dLbl>
            <c:dLbl>
              <c:idx val="1"/>
              <c:layout/>
              <c:tx>
                <c:rich>
                  <a:bodyPr/>
                  <a:lstStyle/>
                  <a:p>
                    <a:r>
                      <a:rPr lang="en-US"/>
                      <a:t>189</a:t>
                    </a:r>
                  </a:p>
                  <a:p>
                    <a:r>
                      <a:rPr lang="en-US"/>
                      <a:t>SWT</a:t>
                    </a:r>
                  </a:p>
                </c:rich>
              </c:tx>
              <c:showVal val="1"/>
            </c:dLbl>
            <c:showVal val="1"/>
            <c:showLeaderLines val="1"/>
          </c:dLbls>
          <c:cat>
            <c:strRef>
              <c:f>Graphs!$A$43:$A$44</c:f>
              <c:strCache>
                <c:ptCount val="2"/>
                <c:pt idx="0">
                  <c:v>Groundwater (GW)</c:v>
                </c:pt>
                <c:pt idx="1">
                  <c:v>Surface Water Treatment (SWT)</c:v>
                </c:pt>
              </c:strCache>
            </c:strRef>
          </c:cat>
          <c:val>
            <c:numRef>
              <c:f>'GW vs SW graphs'!$C$39:$C$40</c:f>
              <c:numCache>
                <c:formatCode>General</c:formatCode>
                <c:ptCount val="2"/>
                <c:pt idx="0">
                  <c:v>502</c:v>
                </c:pt>
                <c:pt idx="1">
                  <c:v>189</c:v>
                </c:pt>
              </c:numCache>
            </c:numRef>
          </c:val>
        </c:ser>
      </c:pie3DChart>
    </c:plotArea>
    <c:legend>
      <c:legendPos val="r"/>
      <c:layout/>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6.6046849406982036E-2"/>
          <c:y val="4.2295313085864268E-2"/>
          <c:w val="0.91189801274840643"/>
          <c:h val="0.74222362204724412"/>
        </c:manualLayout>
      </c:layout>
      <c:lineChart>
        <c:grouping val="standard"/>
        <c:ser>
          <c:idx val="0"/>
          <c:order val="0"/>
          <c:tx>
            <c:v>2007 Raw Water</c:v>
          </c:tx>
          <c:spPr>
            <a:ln w="12700">
              <a:solidFill>
                <a:srgbClr val="C00000">
                  <a:alpha val="50000"/>
                </a:srgbClr>
              </a:solidFill>
            </a:ln>
          </c:spPr>
          <c:marker>
            <c:symbol val="none"/>
          </c:marker>
          <c:cat>
            <c:numRef>
              <c:f>Historical!$A$2:$A$366</c:f>
              <c:numCache>
                <c:formatCode>m/d/yyyy</c:formatCode>
                <c:ptCount val="365"/>
                <c:pt idx="0">
                  <c:v>38992</c:v>
                </c:pt>
                <c:pt idx="1">
                  <c:v>38993</c:v>
                </c:pt>
                <c:pt idx="2">
                  <c:v>38994</c:v>
                </c:pt>
                <c:pt idx="3">
                  <c:v>38995</c:v>
                </c:pt>
                <c:pt idx="4">
                  <c:v>38996</c:v>
                </c:pt>
                <c:pt idx="5">
                  <c:v>38997</c:v>
                </c:pt>
                <c:pt idx="6">
                  <c:v>38998</c:v>
                </c:pt>
                <c:pt idx="7">
                  <c:v>38999</c:v>
                </c:pt>
                <c:pt idx="8">
                  <c:v>39000</c:v>
                </c:pt>
                <c:pt idx="9">
                  <c:v>39001</c:v>
                </c:pt>
                <c:pt idx="10">
                  <c:v>39002</c:v>
                </c:pt>
                <c:pt idx="11">
                  <c:v>39003</c:v>
                </c:pt>
                <c:pt idx="12">
                  <c:v>39004</c:v>
                </c:pt>
                <c:pt idx="13">
                  <c:v>39005</c:v>
                </c:pt>
                <c:pt idx="14">
                  <c:v>39006</c:v>
                </c:pt>
                <c:pt idx="15">
                  <c:v>39007</c:v>
                </c:pt>
                <c:pt idx="16">
                  <c:v>39008</c:v>
                </c:pt>
                <c:pt idx="17">
                  <c:v>39009</c:v>
                </c:pt>
                <c:pt idx="18">
                  <c:v>39010</c:v>
                </c:pt>
                <c:pt idx="19">
                  <c:v>39011</c:v>
                </c:pt>
                <c:pt idx="20">
                  <c:v>39012</c:v>
                </c:pt>
                <c:pt idx="21">
                  <c:v>39013</c:v>
                </c:pt>
                <c:pt idx="22">
                  <c:v>39014</c:v>
                </c:pt>
                <c:pt idx="23">
                  <c:v>39015</c:v>
                </c:pt>
                <c:pt idx="24">
                  <c:v>39016</c:v>
                </c:pt>
                <c:pt idx="25">
                  <c:v>39017</c:v>
                </c:pt>
                <c:pt idx="26">
                  <c:v>39018</c:v>
                </c:pt>
                <c:pt idx="27">
                  <c:v>39019</c:v>
                </c:pt>
                <c:pt idx="28">
                  <c:v>39020</c:v>
                </c:pt>
                <c:pt idx="29">
                  <c:v>39021</c:v>
                </c:pt>
                <c:pt idx="30">
                  <c:v>39022</c:v>
                </c:pt>
                <c:pt idx="31">
                  <c:v>39023</c:v>
                </c:pt>
                <c:pt idx="32">
                  <c:v>39024</c:v>
                </c:pt>
                <c:pt idx="33">
                  <c:v>39025</c:v>
                </c:pt>
                <c:pt idx="34">
                  <c:v>39026</c:v>
                </c:pt>
                <c:pt idx="35">
                  <c:v>39027</c:v>
                </c:pt>
                <c:pt idx="36">
                  <c:v>39028</c:v>
                </c:pt>
                <c:pt idx="37">
                  <c:v>39029</c:v>
                </c:pt>
                <c:pt idx="38">
                  <c:v>39030</c:v>
                </c:pt>
                <c:pt idx="39">
                  <c:v>39031</c:v>
                </c:pt>
                <c:pt idx="40">
                  <c:v>39032</c:v>
                </c:pt>
                <c:pt idx="41">
                  <c:v>39033</c:v>
                </c:pt>
                <c:pt idx="42">
                  <c:v>39034</c:v>
                </c:pt>
                <c:pt idx="43">
                  <c:v>39035</c:v>
                </c:pt>
                <c:pt idx="44">
                  <c:v>39036</c:v>
                </c:pt>
                <c:pt idx="45">
                  <c:v>39037</c:v>
                </c:pt>
                <c:pt idx="46">
                  <c:v>39038</c:v>
                </c:pt>
                <c:pt idx="47">
                  <c:v>39039</c:v>
                </c:pt>
                <c:pt idx="48">
                  <c:v>39040</c:v>
                </c:pt>
                <c:pt idx="49">
                  <c:v>39041</c:v>
                </c:pt>
                <c:pt idx="50">
                  <c:v>39042</c:v>
                </c:pt>
                <c:pt idx="51">
                  <c:v>39043</c:v>
                </c:pt>
                <c:pt idx="52">
                  <c:v>39044</c:v>
                </c:pt>
                <c:pt idx="53">
                  <c:v>39045</c:v>
                </c:pt>
                <c:pt idx="54">
                  <c:v>39046</c:v>
                </c:pt>
                <c:pt idx="55">
                  <c:v>39047</c:v>
                </c:pt>
                <c:pt idx="56">
                  <c:v>39048</c:v>
                </c:pt>
                <c:pt idx="57">
                  <c:v>39049</c:v>
                </c:pt>
                <c:pt idx="58">
                  <c:v>39050</c:v>
                </c:pt>
                <c:pt idx="59">
                  <c:v>39051</c:v>
                </c:pt>
                <c:pt idx="60">
                  <c:v>39052</c:v>
                </c:pt>
                <c:pt idx="61">
                  <c:v>39053</c:v>
                </c:pt>
                <c:pt idx="62">
                  <c:v>39054</c:v>
                </c:pt>
                <c:pt idx="63">
                  <c:v>39055</c:v>
                </c:pt>
                <c:pt idx="64">
                  <c:v>39056</c:v>
                </c:pt>
                <c:pt idx="65">
                  <c:v>39057</c:v>
                </c:pt>
                <c:pt idx="66">
                  <c:v>39058</c:v>
                </c:pt>
                <c:pt idx="67">
                  <c:v>39059</c:v>
                </c:pt>
                <c:pt idx="68">
                  <c:v>39060</c:v>
                </c:pt>
                <c:pt idx="69">
                  <c:v>39061</c:v>
                </c:pt>
                <c:pt idx="70">
                  <c:v>39062</c:v>
                </c:pt>
                <c:pt idx="71">
                  <c:v>39063</c:v>
                </c:pt>
                <c:pt idx="72">
                  <c:v>39064</c:v>
                </c:pt>
                <c:pt idx="73">
                  <c:v>39065</c:v>
                </c:pt>
                <c:pt idx="74">
                  <c:v>39066</c:v>
                </c:pt>
                <c:pt idx="75">
                  <c:v>39067</c:v>
                </c:pt>
                <c:pt idx="76">
                  <c:v>39068</c:v>
                </c:pt>
                <c:pt idx="77">
                  <c:v>39069</c:v>
                </c:pt>
                <c:pt idx="78">
                  <c:v>39070</c:v>
                </c:pt>
                <c:pt idx="79">
                  <c:v>39071</c:v>
                </c:pt>
                <c:pt idx="80">
                  <c:v>39072</c:v>
                </c:pt>
                <c:pt idx="81">
                  <c:v>39073</c:v>
                </c:pt>
                <c:pt idx="82">
                  <c:v>39074</c:v>
                </c:pt>
                <c:pt idx="83">
                  <c:v>39075</c:v>
                </c:pt>
                <c:pt idx="84">
                  <c:v>39076</c:v>
                </c:pt>
                <c:pt idx="85">
                  <c:v>39077</c:v>
                </c:pt>
                <c:pt idx="86">
                  <c:v>39078</c:v>
                </c:pt>
                <c:pt idx="87">
                  <c:v>39079</c:v>
                </c:pt>
                <c:pt idx="88">
                  <c:v>39080</c:v>
                </c:pt>
                <c:pt idx="89">
                  <c:v>39081</c:v>
                </c:pt>
                <c:pt idx="90">
                  <c:v>39082</c:v>
                </c:pt>
                <c:pt idx="91">
                  <c:v>39083</c:v>
                </c:pt>
                <c:pt idx="92">
                  <c:v>39084</c:v>
                </c:pt>
                <c:pt idx="93">
                  <c:v>39085</c:v>
                </c:pt>
                <c:pt idx="94">
                  <c:v>39086</c:v>
                </c:pt>
                <c:pt idx="95">
                  <c:v>39087</c:v>
                </c:pt>
                <c:pt idx="96">
                  <c:v>39088</c:v>
                </c:pt>
                <c:pt idx="97">
                  <c:v>39089</c:v>
                </c:pt>
                <c:pt idx="98">
                  <c:v>39090</c:v>
                </c:pt>
                <c:pt idx="99">
                  <c:v>39091</c:v>
                </c:pt>
                <c:pt idx="100">
                  <c:v>39092</c:v>
                </c:pt>
                <c:pt idx="101">
                  <c:v>39093</c:v>
                </c:pt>
                <c:pt idx="102">
                  <c:v>39094</c:v>
                </c:pt>
                <c:pt idx="103">
                  <c:v>39095</c:v>
                </c:pt>
                <c:pt idx="104">
                  <c:v>39096</c:v>
                </c:pt>
                <c:pt idx="105">
                  <c:v>39097</c:v>
                </c:pt>
                <c:pt idx="106">
                  <c:v>39098</c:v>
                </c:pt>
                <c:pt idx="107">
                  <c:v>39099</c:v>
                </c:pt>
                <c:pt idx="108">
                  <c:v>39100</c:v>
                </c:pt>
                <c:pt idx="109">
                  <c:v>39101</c:v>
                </c:pt>
                <c:pt idx="110">
                  <c:v>39102</c:v>
                </c:pt>
                <c:pt idx="111">
                  <c:v>39103</c:v>
                </c:pt>
                <c:pt idx="112">
                  <c:v>39104</c:v>
                </c:pt>
                <c:pt idx="113">
                  <c:v>39105</c:v>
                </c:pt>
                <c:pt idx="114">
                  <c:v>39106</c:v>
                </c:pt>
                <c:pt idx="115">
                  <c:v>39107</c:v>
                </c:pt>
                <c:pt idx="116">
                  <c:v>39108</c:v>
                </c:pt>
                <c:pt idx="117">
                  <c:v>39109</c:v>
                </c:pt>
                <c:pt idx="118">
                  <c:v>39110</c:v>
                </c:pt>
                <c:pt idx="119">
                  <c:v>39111</c:v>
                </c:pt>
                <c:pt idx="120">
                  <c:v>39112</c:v>
                </c:pt>
                <c:pt idx="121">
                  <c:v>39113</c:v>
                </c:pt>
                <c:pt idx="122">
                  <c:v>39114</c:v>
                </c:pt>
                <c:pt idx="123">
                  <c:v>39115</c:v>
                </c:pt>
                <c:pt idx="124">
                  <c:v>39116</c:v>
                </c:pt>
                <c:pt idx="125">
                  <c:v>39117</c:v>
                </c:pt>
                <c:pt idx="126">
                  <c:v>39118</c:v>
                </c:pt>
                <c:pt idx="127">
                  <c:v>39119</c:v>
                </c:pt>
                <c:pt idx="128">
                  <c:v>39120</c:v>
                </c:pt>
                <c:pt idx="129">
                  <c:v>39121</c:v>
                </c:pt>
                <c:pt idx="130">
                  <c:v>39122</c:v>
                </c:pt>
                <c:pt idx="131">
                  <c:v>39123</c:v>
                </c:pt>
                <c:pt idx="132">
                  <c:v>39124</c:v>
                </c:pt>
                <c:pt idx="133">
                  <c:v>39125</c:v>
                </c:pt>
                <c:pt idx="134">
                  <c:v>39126</c:v>
                </c:pt>
                <c:pt idx="135">
                  <c:v>39127</c:v>
                </c:pt>
                <c:pt idx="136">
                  <c:v>39128</c:v>
                </c:pt>
                <c:pt idx="137">
                  <c:v>39129</c:v>
                </c:pt>
                <c:pt idx="138">
                  <c:v>39130</c:v>
                </c:pt>
                <c:pt idx="139">
                  <c:v>39131</c:v>
                </c:pt>
                <c:pt idx="140">
                  <c:v>39132</c:v>
                </c:pt>
                <c:pt idx="141">
                  <c:v>39133</c:v>
                </c:pt>
                <c:pt idx="142">
                  <c:v>39134</c:v>
                </c:pt>
                <c:pt idx="143">
                  <c:v>39135</c:v>
                </c:pt>
                <c:pt idx="144">
                  <c:v>39136</c:v>
                </c:pt>
                <c:pt idx="145">
                  <c:v>39137</c:v>
                </c:pt>
                <c:pt idx="146">
                  <c:v>39138</c:v>
                </c:pt>
                <c:pt idx="147">
                  <c:v>39139</c:v>
                </c:pt>
                <c:pt idx="148">
                  <c:v>39140</c:v>
                </c:pt>
                <c:pt idx="149">
                  <c:v>39141</c:v>
                </c:pt>
                <c:pt idx="150">
                  <c:v>39142</c:v>
                </c:pt>
                <c:pt idx="151">
                  <c:v>39143</c:v>
                </c:pt>
                <c:pt idx="152">
                  <c:v>39144</c:v>
                </c:pt>
                <c:pt idx="153">
                  <c:v>39145</c:v>
                </c:pt>
                <c:pt idx="154">
                  <c:v>39146</c:v>
                </c:pt>
                <c:pt idx="155">
                  <c:v>39147</c:v>
                </c:pt>
                <c:pt idx="156">
                  <c:v>39148</c:v>
                </c:pt>
                <c:pt idx="157">
                  <c:v>39149</c:v>
                </c:pt>
                <c:pt idx="158">
                  <c:v>39150</c:v>
                </c:pt>
                <c:pt idx="159">
                  <c:v>39151</c:v>
                </c:pt>
                <c:pt idx="160">
                  <c:v>39152</c:v>
                </c:pt>
                <c:pt idx="161">
                  <c:v>39153</c:v>
                </c:pt>
                <c:pt idx="162">
                  <c:v>39154</c:v>
                </c:pt>
                <c:pt idx="163">
                  <c:v>39155</c:v>
                </c:pt>
                <c:pt idx="164">
                  <c:v>39156</c:v>
                </c:pt>
                <c:pt idx="165">
                  <c:v>39157</c:v>
                </c:pt>
                <c:pt idx="166">
                  <c:v>39158</c:v>
                </c:pt>
                <c:pt idx="167">
                  <c:v>39159</c:v>
                </c:pt>
                <c:pt idx="168">
                  <c:v>39160</c:v>
                </c:pt>
                <c:pt idx="169">
                  <c:v>39161</c:v>
                </c:pt>
                <c:pt idx="170">
                  <c:v>39162</c:v>
                </c:pt>
                <c:pt idx="171">
                  <c:v>39163</c:v>
                </c:pt>
                <c:pt idx="172">
                  <c:v>39164</c:v>
                </c:pt>
                <c:pt idx="173">
                  <c:v>39165</c:v>
                </c:pt>
                <c:pt idx="174">
                  <c:v>39166</c:v>
                </c:pt>
                <c:pt idx="175">
                  <c:v>39167</c:v>
                </c:pt>
                <c:pt idx="176">
                  <c:v>39168</c:v>
                </c:pt>
                <c:pt idx="177">
                  <c:v>39169</c:v>
                </c:pt>
                <c:pt idx="178">
                  <c:v>39170</c:v>
                </c:pt>
                <c:pt idx="179">
                  <c:v>39171</c:v>
                </c:pt>
                <c:pt idx="180">
                  <c:v>39172</c:v>
                </c:pt>
                <c:pt idx="181">
                  <c:v>39173</c:v>
                </c:pt>
                <c:pt idx="182">
                  <c:v>39174</c:v>
                </c:pt>
                <c:pt idx="183">
                  <c:v>39175</c:v>
                </c:pt>
                <c:pt idx="184">
                  <c:v>39176</c:v>
                </c:pt>
                <c:pt idx="185">
                  <c:v>39177</c:v>
                </c:pt>
                <c:pt idx="186">
                  <c:v>39178</c:v>
                </c:pt>
                <c:pt idx="187">
                  <c:v>39179</c:v>
                </c:pt>
                <c:pt idx="188">
                  <c:v>39180</c:v>
                </c:pt>
                <c:pt idx="189">
                  <c:v>39181</c:v>
                </c:pt>
                <c:pt idx="190">
                  <c:v>39182</c:v>
                </c:pt>
                <c:pt idx="191">
                  <c:v>39183</c:v>
                </c:pt>
                <c:pt idx="192">
                  <c:v>39184</c:v>
                </c:pt>
                <c:pt idx="193">
                  <c:v>39185</c:v>
                </c:pt>
                <c:pt idx="194">
                  <c:v>39186</c:v>
                </c:pt>
                <c:pt idx="195">
                  <c:v>39187</c:v>
                </c:pt>
                <c:pt idx="196">
                  <c:v>39188</c:v>
                </c:pt>
                <c:pt idx="197">
                  <c:v>39189</c:v>
                </c:pt>
                <c:pt idx="198">
                  <c:v>39190</c:v>
                </c:pt>
                <c:pt idx="199">
                  <c:v>39191</c:v>
                </c:pt>
                <c:pt idx="200">
                  <c:v>39192</c:v>
                </c:pt>
                <c:pt idx="201">
                  <c:v>39193</c:v>
                </c:pt>
                <c:pt idx="202">
                  <c:v>39194</c:v>
                </c:pt>
                <c:pt idx="203">
                  <c:v>39195</c:v>
                </c:pt>
                <c:pt idx="204">
                  <c:v>39196</c:v>
                </c:pt>
                <c:pt idx="205">
                  <c:v>39197</c:v>
                </c:pt>
                <c:pt idx="206">
                  <c:v>39198</c:v>
                </c:pt>
                <c:pt idx="207">
                  <c:v>39199</c:v>
                </c:pt>
                <c:pt idx="208">
                  <c:v>39200</c:v>
                </c:pt>
                <c:pt idx="209">
                  <c:v>39201</c:v>
                </c:pt>
                <c:pt idx="210">
                  <c:v>39202</c:v>
                </c:pt>
                <c:pt idx="211">
                  <c:v>39203</c:v>
                </c:pt>
                <c:pt idx="212">
                  <c:v>39204</c:v>
                </c:pt>
                <c:pt idx="213">
                  <c:v>39205</c:v>
                </c:pt>
                <c:pt idx="214">
                  <c:v>39206</c:v>
                </c:pt>
                <c:pt idx="215">
                  <c:v>39207</c:v>
                </c:pt>
                <c:pt idx="216">
                  <c:v>39208</c:v>
                </c:pt>
                <c:pt idx="217">
                  <c:v>39209</c:v>
                </c:pt>
                <c:pt idx="218">
                  <c:v>39210</c:v>
                </c:pt>
                <c:pt idx="219">
                  <c:v>39211</c:v>
                </c:pt>
                <c:pt idx="220">
                  <c:v>39212</c:v>
                </c:pt>
                <c:pt idx="221">
                  <c:v>39213</c:v>
                </c:pt>
                <c:pt idx="222">
                  <c:v>39214</c:v>
                </c:pt>
                <c:pt idx="223">
                  <c:v>39215</c:v>
                </c:pt>
                <c:pt idx="224">
                  <c:v>39216</c:v>
                </c:pt>
                <c:pt idx="225">
                  <c:v>39217</c:v>
                </c:pt>
                <c:pt idx="226">
                  <c:v>39218</c:v>
                </c:pt>
                <c:pt idx="227">
                  <c:v>39219</c:v>
                </c:pt>
                <c:pt idx="228">
                  <c:v>39220</c:v>
                </c:pt>
                <c:pt idx="229">
                  <c:v>39221</c:v>
                </c:pt>
                <c:pt idx="230">
                  <c:v>39222</c:v>
                </c:pt>
                <c:pt idx="231">
                  <c:v>39223</c:v>
                </c:pt>
                <c:pt idx="232">
                  <c:v>39224</c:v>
                </c:pt>
                <c:pt idx="233">
                  <c:v>39225</c:v>
                </c:pt>
                <c:pt idx="234">
                  <c:v>39226</c:v>
                </c:pt>
                <c:pt idx="235">
                  <c:v>39227</c:v>
                </c:pt>
                <c:pt idx="236">
                  <c:v>39228</c:v>
                </c:pt>
                <c:pt idx="237">
                  <c:v>39229</c:v>
                </c:pt>
                <c:pt idx="238">
                  <c:v>39230</c:v>
                </c:pt>
                <c:pt idx="239">
                  <c:v>39231</c:v>
                </c:pt>
                <c:pt idx="240">
                  <c:v>39232</c:v>
                </c:pt>
                <c:pt idx="241">
                  <c:v>39233</c:v>
                </c:pt>
                <c:pt idx="242">
                  <c:v>39234</c:v>
                </c:pt>
                <c:pt idx="243">
                  <c:v>39235</c:v>
                </c:pt>
                <c:pt idx="244">
                  <c:v>39236</c:v>
                </c:pt>
                <c:pt idx="245">
                  <c:v>39237</c:v>
                </c:pt>
                <c:pt idx="246">
                  <c:v>39238</c:v>
                </c:pt>
                <c:pt idx="247">
                  <c:v>39239</c:v>
                </c:pt>
                <c:pt idx="248">
                  <c:v>39240</c:v>
                </c:pt>
                <c:pt idx="249">
                  <c:v>39241</c:v>
                </c:pt>
                <c:pt idx="250">
                  <c:v>39242</c:v>
                </c:pt>
                <c:pt idx="251">
                  <c:v>39243</c:v>
                </c:pt>
                <c:pt idx="252">
                  <c:v>39244</c:v>
                </c:pt>
                <c:pt idx="253">
                  <c:v>39245</c:v>
                </c:pt>
                <c:pt idx="254">
                  <c:v>39246</c:v>
                </c:pt>
                <c:pt idx="255">
                  <c:v>39247</c:v>
                </c:pt>
                <c:pt idx="256">
                  <c:v>39248</c:v>
                </c:pt>
                <c:pt idx="257">
                  <c:v>39249</c:v>
                </c:pt>
                <c:pt idx="258">
                  <c:v>39250</c:v>
                </c:pt>
                <c:pt idx="259">
                  <c:v>39251</c:v>
                </c:pt>
                <c:pt idx="260">
                  <c:v>39252</c:v>
                </c:pt>
                <c:pt idx="261">
                  <c:v>39253</c:v>
                </c:pt>
                <c:pt idx="262">
                  <c:v>39254</c:v>
                </c:pt>
                <c:pt idx="263">
                  <c:v>39255</c:v>
                </c:pt>
                <c:pt idx="264">
                  <c:v>39256</c:v>
                </c:pt>
                <c:pt idx="265">
                  <c:v>39257</c:v>
                </c:pt>
                <c:pt idx="266">
                  <c:v>39258</c:v>
                </c:pt>
                <c:pt idx="267">
                  <c:v>39259</c:v>
                </c:pt>
                <c:pt idx="268">
                  <c:v>39260</c:v>
                </c:pt>
                <c:pt idx="269">
                  <c:v>39261</c:v>
                </c:pt>
                <c:pt idx="270">
                  <c:v>39262</c:v>
                </c:pt>
                <c:pt idx="271">
                  <c:v>39263</c:v>
                </c:pt>
                <c:pt idx="272">
                  <c:v>39264</c:v>
                </c:pt>
                <c:pt idx="273">
                  <c:v>39265</c:v>
                </c:pt>
                <c:pt idx="274">
                  <c:v>39266</c:v>
                </c:pt>
                <c:pt idx="275">
                  <c:v>39267</c:v>
                </c:pt>
                <c:pt idx="276">
                  <c:v>39268</c:v>
                </c:pt>
                <c:pt idx="277">
                  <c:v>39269</c:v>
                </c:pt>
                <c:pt idx="278">
                  <c:v>39270</c:v>
                </c:pt>
                <c:pt idx="279">
                  <c:v>39271</c:v>
                </c:pt>
                <c:pt idx="280">
                  <c:v>39272</c:v>
                </c:pt>
                <c:pt idx="281">
                  <c:v>39273</c:v>
                </c:pt>
                <c:pt idx="282">
                  <c:v>39274</c:v>
                </c:pt>
                <c:pt idx="283">
                  <c:v>39275</c:v>
                </c:pt>
                <c:pt idx="284">
                  <c:v>39276</c:v>
                </c:pt>
                <c:pt idx="285">
                  <c:v>39277</c:v>
                </c:pt>
                <c:pt idx="286">
                  <c:v>39278</c:v>
                </c:pt>
                <c:pt idx="287">
                  <c:v>39279</c:v>
                </c:pt>
                <c:pt idx="288">
                  <c:v>39280</c:v>
                </c:pt>
                <c:pt idx="289">
                  <c:v>39281</c:v>
                </c:pt>
                <c:pt idx="290">
                  <c:v>39282</c:v>
                </c:pt>
                <c:pt idx="291">
                  <c:v>39283</c:v>
                </c:pt>
                <c:pt idx="292">
                  <c:v>39284</c:v>
                </c:pt>
                <c:pt idx="293">
                  <c:v>39285</c:v>
                </c:pt>
                <c:pt idx="294">
                  <c:v>39286</c:v>
                </c:pt>
                <c:pt idx="295">
                  <c:v>39287</c:v>
                </c:pt>
                <c:pt idx="296">
                  <c:v>39288</c:v>
                </c:pt>
                <c:pt idx="297">
                  <c:v>39289</c:v>
                </c:pt>
                <c:pt idx="298">
                  <c:v>39290</c:v>
                </c:pt>
                <c:pt idx="299">
                  <c:v>39291</c:v>
                </c:pt>
                <c:pt idx="300">
                  <c:v>39292</c:v>
                </c:pt>
                <c:pt idx="301">
                  <c:v>39293</c:v>
                </c:pt>
                <c:pt idx="302">
                  <c:v>39294</c:v>
                </c:pt>
                <c:pt idx="303">
                  <c:v>39295</c:v>
                </c:pt>
                <c:pt idx="304">
                  <c:v>39296</c:v>
                </c:pt>
                <c:pt idx="305">
                  <c:v>39297</c:v>
                </c:pt>
                <c:pt idx="306">
                  <c:v>39298</c:v>
                </c:pt>
                <c:pt idx="307">
                  <c:v>39299</c:v>
                </c:pt>
                <c:pt idx="308">
                  <c:v>39300</c:v>
                </c:pt>
                <c:pt idx="309">
                  <c:v>39301</c:v>
                </c:pt>
                <c:pt idx="310">
                  <c:v>39302</c:v>
                </c:pt>
                <c:pt idx="311">
                  <c:v>39303</c:v>
                </c:pt>
                <c:pt idx="312">
                  <c:v>39304</c:v>
                </c:pt>
                <c:pt idx="313">
                  <c:v>39305</c:v>
                </c:pt>
                <c:pt idx="314">
                  <c:v>39306</c:v>
                </c:pt>
                <c:pt idx="315">
                  <c:v>39307</c:v>
                </c:pt>
                <c:pt idx="316">
                  <c:v>39308</c:v>
                </c:pt>
                <c:pt idx="317">
                  <c:v>39309</c:v>
                </c:pt>
                <c:pt idx="318">
                  <c:v>39310</c:v>
                </c:pt>
                <c:pt idx="319">
                  <c:v>39311</c:v>
                </c:pt>
                <c:pt idx="320">
                  <c:v>39312</c:v>
                </c:pt>
                <c:pt idx="321">
                  <c:v>39313</c:v>
                </c:pt>
                <c:pt idx="322">
                  <c:v>39314</c:v>
                </c:pt>
                <c:pt idx="323">
                  <c:v>39315</c:v>
                </c:pt>
                <c:pt idx="324">
                  <c:v>39316</c:v>
                </c:pt>
                <c:pt idx="325">
                  <c:v>39317</c:v>
                </c:pt>
                <c:pt idx="326">
                  <c:v>39318</c:v>
                </c:pt>
                <c:pt idx="327">
                  <c:v>39319</c:v>
                </c:pt>
                <c:pt idx="328">
                  <c:v>39320</c:v>
                </c:pt>
                <c:pt idx="329">
                  <c:v>39321</c:v>
                </c:pt>
                <c:pt idx="330">
                  <c:v>39322</c:v>
                </c:pt>
                <c:pt idx="331">
                  <c:v>39323</c:v>
                </c:pt>
                <c:pt idx="332">
                  <c:v>39324</c:v>
                </c:pt>
                <c:pt idx="333">
                  <c:v>39325</c:v>
                </c:pt>
                <c:pt idx="334">
                  <c:v>39326</c:v>
                </c:pt>
                <c:pt idx="335">
                  <c:v>39327</c:v>
                </c:pt>
                <c:pt idx="336">
                  <c:v>39328</c:v>
                </c:pt>
                <c:pt idx="337">
                  <c:v>39329</c:v>
                </c:pt>
                <c:pt idx="338">
                  <c:v>39330</c:v>
                </c:pt>
                <c:pt idx="339">
                  <c:v>39331</c:v>
                </c:pt>
                <c:pt idx="340">
                  <c:v>39332</c:v>
                </c:pt>
                <c:pt idx="341">
                  <c:v>39333</c:v>
                </c:pt>
                <c:pt idx="342">
                  <c:v>39334</c:v>
                </c:pt>
                <c:pt idx="343">
                  <c:v>39335</c:v>
                </c:pt>
                <c:pt idx="344">
                  <c:v>39336</c:v>
                </c:pt>
                <c:pt idx="345">
                  <c:v>39337</c:v>
                </c:pt>
                <c:pt idx="346">
                  <c:v>39338</c:v>
                </c:pt>
                <c:pt idx="347">
                  <c:v>39339</c:v>
                </c:pt>
                <c:pt idx="348">
                  <c:v>39340</c:v>
                </c:pt>
                <c:pt idx="349">
                  <c:v>39341</c:v>
                </c:pt>
                <c:pt idx="350">
                  <c:v>39342</c:v>
                </c:pt>
                <c:pt idx="351">
                  <c:v>39343</c:v>
                </c:pt>
                <c:pt idx="352">
                  <c:v>39344</c:v>
                </c:pt>
                <c:pt idx="353">
                  <c:v>39345</c:v>
                </c:pt>
                <c:pt idx="354">
                  <c:v>39346</c:v>
                </c:pt>
                <c:pt idx="355">
                  <c:v>39347</c:v>
                </c:pt>
                <c:pt idx="356">
                  <c:v>39348</c:v>
                </c:pt>
                <c:pt idx="357">
                  <c:v>39349</c:v>
                </c:pt>
                <c:pt idx="358">
                  <c:v>39350</c:v>
                </c:pt>
                <c:pt idx="359">
                  <c:v>39351</c:v>
                </c:pt>
                <c:pt idx="360">
                  <c:v>39352</c:v>
                </c:pt>
                <c:pt idx="361">
                  <c:v>39353</c:v>
                </c:pt>
                <c:pt idx="362">
                  <c:v>39354</c:v>
                </c:pt>
                <c:pt idx="363">
                  <c:v>39355</c:v>
                </c:pt>
                <c:pt idx="364">
                  <c:v>39356</c:v>
                </c:pt>
              </c:numCache>
            </c:numRef>
          </c:cat>
          <c:val>
            <c:numRef>
              <c:f>Historical!$B$2:$B$366</c:f>
              <c:numCache>
                <c:formatCode>General</c:formatCode>
                <c:ptCount val="365"/>
                <c:pt idx="0">
                  <c:v>0.53500000000000003</c:v>
                </c:pt>
                <c:pt idx="1">
                  <c:v>0.59</c:v>
                </c:pt>
                <c:pt idx="2">
                  <c:v>0.59599999999999997</c:v>
                </c:pt>
                <c:pt idx="3">
                  <c:v>0.55100000000000005</c:v>
                </c:pt>
                <c:pt idx="4">
                  <c:v>0.54500000000000004</c:v>
                </c:pt>
                <c:pt idx="5">
                  <c:v>0.55800000000000005</c:v>
                </c:pt>
                <c:pt idx="6">
                  <c:v>0.77</c:v>
                </c:pt>
                <c:pt idx="7">
                  <c:v>4.7300000000000004</c:v>
                </c:pt>
                <c:pt idx="8">
                  <c:v>1.56</c:v>
                </c:pt>
                <c:pt idx="9">
                  <c:v>1.81</c:v>
                </c:pt>
                <c:pt idx="11">
                  <c:v>0.61899999999999999</c:v>
                </c:pt>
                <c:pt idx="12">
                  <c:v>1.46</c:v>
                </c:pt>
                <c:pt idx="13">
                  <c:v>0.629</c:v>
                </c:pt>
                <c:pt idx="14">
                  <c:v>0.78800000000000003</c:v>
                </c:pt>
                <c:pt idx="15">
                  <c:v>0.877</c:v>
                </c:pt>
                <c:pt idx="16">
                  <c:v>0.59599999999999997</c:v>
                </c:pt>
                <c:pt idx="17">
                  <c:v>0.54100000000000004</c:v>
                </c:pt>
                <c:pt idx="18">
                  <c:v>0.875</c:v>
                </c:pt>
                <c:pt idx="19">
                  <c:v>0.70299999999999996</c:v>
                </c:pt>
                <c:pt idx="20">
                  <c:v>0.54</c:v>
                </c:pt>
                <c:pt idx="21">
                  <c:v>0.56100000000000005</c:v>
                </c:pt>
                <c:pt idx="22">
                  <c:v>0.51700000000000002</c:v>
                </c:pt>
                <c:pt idx="23">
                  <c:v>0.52300000000000002</c:v>
                </c:pt>
                <c:pt idx="25">
                  <c:v>0.61799999999999999</c:v>
                </c:pt>
                <c:pt idx="26">
                  <c:v>0.69299999999999995</c:v>
                </c:pt>
                <c:pt idx="27">
                  <c:v>3.97</c:v>
                </c:pt>
                <c:pt idx="28">
                  <c:v>1.06</c:v>
                </c:pt>
                <c:pt idx="29">
                  <c:v>0.73599999999999999</c:v>
                </c:pt>
                <c:pt idx="30">
                  <c:v>0.58299999999999996</c:v>
                </c:pt>
                <c:pt idx="32">
                  <c:v>0.57499999999999996</c:v>
                </c:pt>
                <c:pt idx="33">
                  <c:v>0.61</c:v>
                </c:pt>
                <c:pt idx="34">
                  <c:v>0.624</c:v>
                </c:pt>
                <c:pt idx="35">
                  <c:v>0.73699999999999999</c:v>
                </c:pt>
                <c:pt idx="36">
                  <c:v>0.627</c:v>
                </c:pt>
                <c:pt idx="38">
                  <c:v>0.78500000000000003</c:v>
                </c:pt>
                <c:pt idx="39">
                  <c:v>0.60699999999999998</c:v>
                </c:pt>
                <c:pt idx="40">
                  <c:v>0.64300000000000002</c:v>
                </c:pt>
                <c:pt idx="41">
                  <c:v>0.60099999999999998</c:v>
                </c:pt>
                <c:pt idx="42">
                  <c:v>0.69399999999999995</c:v>
                </c:pt>
                <c:pt idx="43">
                  <c:v>0.68799999999999994</c:v>
                </c:pt>
                <c:pt idx="45">
                  <c:v>0.68799999999999994</c:v>
                </c:pt>
                <c:pt idx="46">
                  <c:v>0.68500000000000005</c:v>
                </c:pt>
                <c:pt idx="47">
                  <c:v>0.68200000000000005</c:v>
                </c:pt>
                <c:pt idx="48">
                  <c:v>0.89600000000000002</c:v>
                </c:pt>
                <c:pt idx="49">
                  <c:v>0.68799999999999994</c:v>
                </c:pt>
                <c:pt idx="50">
                  <c:v>0.71499999999999997</c:v>
                </c:pt>
                <c:pt idx="51">
                  <c:v>0.61499999999999999</c:v>
                </c:pt>
                <c:pt idx="52">
                  <c:v>0.66400000000000003</c:v>
                </c:pt>
                <c:pt idx="53">
                  <c:v>0.67</c:v>
                </c:pt>
                <c:pt idx="54">
                  <c:v>0.65100000000000002</c:v>
                </c:pt>
                <c:pt idx="55">
                  <c:v>0.63400000000000001</c:v>
                </c:pt>
                <c:pt idx="57">
                  <c:v>1.64</c:v>
                </c:pt>
                <c:pt idx="58">
                  <c:v>0.64900000000000002</c:v>
                </c:pt>
                <c:pt idx="59">
                  <c:v>0.64</c:v>
                </c:pt>
                <c:pt idx="60">
                  <c:v>0.67200000000000004</c:v>
                </c:pt>
                <c:pt idx="61">
                  <c:v>0.64900000000000002</c:v>
                </c:pt>
                <c:pt idx="62">
                  <c:v>0.63400000000000001</c:v>
                </c:pt>
                <c:pt idx="63">
                  <c:v>0.65200000000000002</c:v>
                </c:pt>
                <c:pt idx="64">
                  <c:v>0.63</c:v>
                </c:pt>
                <c:pt idx="66">
                  <c:v>0.70099999999999996</c:v>
                </c:pt>
                <c:pt idx="67">
                  <c:v>0.751</c:v>
                </c:pt>
                <c:pt idx="68">
                  <c:v>0.66200000000000003</c:v>
                </c:pt>
                <c:pt idx="69">
                  <c:v>0.626</c:v>
                </c:pt>
                <c:pt idx="70">
                  <c:v>0.64700000000000002</c:v>
                </c:pt>
                <c:pt idx="71">
                  <c:v>0.64700000000000002</c:v>
                </c:pt>
                <c:pt idx="72">
                  <c:v>0.63800000000000001</c:v>
                </c:pt>
                <c:pt idx="74">
                  <c:v>0.67400000000000004</c:v>
                </c:pt>
                <c:pt idx="75">
                  <c:v>0.76</c:v>
                </c:pt>
                <c:pt idx="76">
                  <c:v>0.66100000000000003</c:v>
                </c:pt>
                <c:pt idx="77">
                  <c:v>0.68200000000000005</c:v>
                </c:pt>
                <c:pt idx="78">
                  <c:v>1.06</c:v>
                </c:pt>
                <c:pt idx="79">
                  <c:v>0.78300000000000003</c:v>
                </c:pt>
                <c:pt idx="80">
                  <c:v>0.76</c:v>
                </c:pt>
                <c:pt idx="81">
                  <c:v>0.76800000000000002</c:v>
                </c:pt>
                <c:pt idx="82">
                  <c:v>0.752</c:v>
                </c:pt>
                <c:pt idx="83">
                  <c:v>0.75600000000000001</c:v>
                </c:pt>
                <c:pt idx="84">
                  <c:v>0.76200000000000001</c:v>
                </c:pt>
                <c:pt idx="85">
                  <c:v>0.75600000000000001</c:v>
                </c:pt>
                <c:pt idx="86">
                  <c:v>0.72199999999999998</c:v>
                </c:pt>
                <c:pt idx="88">
                  <c:v>0.72799999999999998</c:v>
                </c:pt>
                <c:pt idx="89">
                  <c:v>0.91500000000000004</c:v>
                </c:pt>
                <c:pt idx="90">
                  <c:v>0.84299999999999997</c:v>
                </c:pt>
                <c:pt idx="91">
                  <c:v>0.83499999999999996</c:v>
                </c:pt>
                <c:pt idx="92">
                  <c:v>0.77</c:v>
                </c:pt>
                <c:pt idx="93">
                  <c:v>0.73399999999999999</c:v>
                </c:pt>
                <c:pt idx="94">
                  <c:v>0.73199999999999998</c:v>
                </c:pt>
                <c:pt idx="95">
                  <c:v>0.76500000000000001</c:v>
                </c:pt>
                <c:pt idx="96">
                  <c:v>0.77300000000000002</c:v>
                </c:pt>
                <c:pt idx="97">
                  <c:v>0.70299999999999996</c:v>
                </c:pt>
                <c:pt idx="98">
                  <c:v>0.71399999999999997</c:v>
                </c:pt>
                <c:pt idx="99">
                  <c:v>0.71099999999999997</c:v>
                </c:pt>
                <c:pt idx="100">
                  <c:v>0.70399999999999996</c:v>
                </c:pt>
                <c:pt idx="101">
                  <c:v>0.69599999999999995</c:v>
                </c:pt>
                <c:pt idx="102">
                  <c:v>0.874</c:v>
                </c:pt>
                <c:pt idx="103">
                  <c:v>0.873</c:v>
                </c:pt>
                <c:pt idx="104">
                  <c:v>0.77</c:v>
                </c:pt>
                <c:pt idx="105">
                  <c:v>0.68899999999999995</c:v>
                </c:pt>
                <c:pt idx="106">
                  <c:v>0.64500000000000002</c:v>
                </c:pt>
                <c:pt idx="107">
                  <c:v>0.69399999999999995</c:v>
                </c:pt>
                <c:pt idx="108">
                  <c:v>0.68700000000000006</c:v>
                </c:pt>
                <c:pt idx="109">
                  <c:v>0.752</c:v>
                </c:pt>
                <c:pt idx="110">
                  <c:v>0.71299999999999997</c:v>
                </c:pt>
                <c:pt idx="111">
                  <c:v>0.65400000000000003</c:v>
                </c:pt>
                <c:pt idx="112">
                  <c:v>0.70499999999999996</c:v>
                </c:pt>
                <c:pt idx="113">
                  <c:v>0.65600000000000003</c:v>
                </c:pt>
                <c:pt idx="114">
                  <c:v>0.68</c:v>
                </c:pt>
                <c:pt idx="115">
                  <c:v>0.71599999999999997</c:v>
                </c:pt>
                <c:pt idx="116">
                  <c:v>0.748</c:v>
                </c:pt>
                <c:pt idx="117">
                  <c:v>0.73699999999999999</c:v>
                </c:pt>
                <c:pt idx="118">
                  <c:v>0.71399999999999997</c:v>
                </c:pt>
                <c:pt idx="119">
                  <c:v>0.72599999999999998</c:v>
                </c:pt>
                <c:pt idx="120">
                  <c:v>0.71199999999999997</c:v>
                </c:pt>
                <c:pt idx="121">
                  <c:v>0.66900000000000004</c:v>
                </c:pt>
                <c:pt idx="124">
                  <c:v>0.15</c:v>
                </c:pt>
                <c:pt idx="125">
                  <c:v>0.78800000000000003</c:v>
                </c:pt>
                <c:pt idx="126">
                  <c:v>1.08</c:v>
                </c:pt>
                <c:pt idx="127">
                  <c:v>1.17</c:v>
                </c:pt>
                <c:pt idx="128">
                  <c:v>1.1399999999999999</c:v>
                </c:pt>
                <c:pt idx="129">
                  <c:v>1.21</c:v>
                </c:pt>
                <c:pt idx="131">
                  <c:v>1.21</c:v>
                </c:pt>
                <c:pt idx="132">
                  <c:v>1.54</c:v>
                </c:pt>
                <c:pt idx="133">
                  <c:v>1.2</c:v>
                </c:pt>
                <c:pt idx="134">
                  <c:v>1.17</c:v>
                </c:pt>
                <c:pt idx="135">
                  <c:v>1.22</c:v>
                </c:pt>
                <c:pt idx="136">
                  <c:v>1.19</c:v>
                </c:pt>
                <c:pt idx="137">
                  <c:v>1.21</c:v>
                </c:pt>
                <c:pt idx="138">
                  <c:v>0.124</c:v>
                </c:pt>
                <c:pt idx="139">
                  <c:v>1.18</c:v>
                </c:pt>
                <c:pt idx="140">
                  <c:v>1.42</c:v>
                </c:pt>
                <c:pt idx="141">
                  <c:v>1.2</c:v>
                </c:pt>
                <c:pt idx="142">
                  <c:v>1.21</c:v>
                </c:pt>
                <c:pt idx="144">
                  <c:v>1.8</c:v>
                </c:pt>
                <c:pt idx="145">
                  <c:v>1.25</c:v>
                </c:pt>
                <c:pt idx="146">
                  <c:v>1.39</c:v>
                </c:pt>
                <c:pt idx="147">
                  <c:v>1.55</c:v>
                </c:pt>
                <c:pt idx="148">
                  <c:v>1.26</c:v>
                </c:pt>
                <c:pt idx="149">
                  <c:v>1.22</c:v>
                </c:pt>
                <c:pt idx="150">
                  <c:v>2.2400000000000002</c:v>
                </c:pt>
                <c:pt idx="151">
                  <c:v>1.45</c:v>
                </c:pt>
                <c:pt idx="152">
                  <c:v>1.76</c:v>
                </c:pt>
                <c:pt idx="153">
                  <c:v>1.55</c:v>
                </c:pt>
                <c:pt idx="154">
                  <c:v>1.47</c:v>
                </c:pt>
                <c:pt idx="155">
                  <c:v>1.53</c:v>
                </c:pt>
                <c:pt idx="156">
                  <c:v>1.35</c:v>
                </c:pt>
                <c:pt idx="157">
                  <c:v>1.29</c:v>
                </c:pt>
                <c:pt idx="158">
                  <c:v>1.69</c:v>
                </c:pt>
                <c:pt idx="159">
                  <c:v>1.31</c:v>
                </c:pt>
                <c:pt idx="161">
                  <c:v>1.46</c:v>
                </c:pt>
                <c:pt idx="162">
                  <c:v>1.56</c:v>
                </c:pt>
                <c:pt idx="163">
                  <c:v>1.54</c:v>
                </c:pt>
                <c:pt idx="164">
                  <c:v>1.27</c:v>
                </c:pt>
                <c:pt idx="166">
                  <c:v>1.26</c:v>
                </c:pt>
                <c:pt idx="167">
                  <c:v>1.88</c:v>
                </c:pt>
                <c:pt idx="168">
                  <c:v>1.54</c:v>
                </c:pt>
                <c:pt idx="169">
                  <c:v>1.71</c:v>
                </c:pt>
                <c:pt idx="170">
                  <c:v>1.62</c:v>
                </c:pt>
                <c:pt idx="171">
                  <c:v>1.52</c:v>
                </c:pt>
                <c:pt idx="173">
                  <c:v>1.75</c:v>
                </c:pt>
                <c:pt idx="174">
                  <c:v>1.54</c:v>
                </c:pt>
                <c:pt idx="176">
                  <c:v>1.59</c:v>
                </c:pt>
                <c:pt idx="177">
                  <c:v>1.47</c:v>
                </c:pt>
                <c:pt idx="178">
                  <c:v>1.48</c:v>
                </c:pt>
                <c:pt idx="179">
                  <c:v>1.5</c:v>
                </c:pt>
                <c:pt idx="180">
                  <c:v>3.08</c:v>
                </c:pt>
                <c:pt idx="181">
                  <c:v>1.46</c:v>
                </c:pt>
                <c:pt idx="182">
                  <c:v>1.46</c:v>
                </c:pt>
                <c:pt idx="184">
                  <c:v>1.4</c:v>
                </c:pt>
                <c:pt idx="185">
                  <c:v>1.54</c:v>
                </c:pt>
                <c:pt idx="186">
                  <c:v>1.89</c:v>
                </c:pt>
                <c:pt idx="187">
                  <c:v>2.0699999999999998</c:v>
                </c:pt>
                <c:pt idx="188">
                  <c:v>2.67</c:v>
                </c:pt>
                <c:pt idx="189">
                  <c:v>4.76</c:v>
                </c:pt>
                <c:pt idx="190">
                  <c:v>10.9968</c:v>
                </c:pt>
                <c:pt idx="191">
                  <c:v>28.043800000000001</c:v>
                </c:pt>
                <c:pt idx="192">
                  <c:v>30.063300000000002</c:v>
                </c:pt>
                <c:pt idx="193">
                  <c:v>11.430300000000001</c:v>
                </c:pt>
                <c:pt idx="194">
                  <c:v>4.1718799999999998</c:v>
                </c:pt>
                <c:pt idx="195">
                  <c:v>2.7184400000000002</c:v>
                </c:pt>
                <c:pt idx="196">
                  <c:v>11.2356</c:v>
                </c:pt>
                <c:pt idx="197">
                  <c:v>11.5367</c:v>
                </c:pt>
                <c:pt idx="198">
                  <c:v>5.9784800000000002</c:v>
                </c:pt>
                <c:pt idx="199">
                  <c:v>4.0230399999999999</c:v>
                </c:pt>
                <c:pt idx="200">
                  <c:v>2.0666899999999999</c:v>
                </c:pt>
                <c:pt idx="201">
                  <c:v>6.4857500000000003</c:v>
                </c:pt>
                <c:pt idx="202">
                  <c:v>10.705</c:v>
                </c:pt>
                <c:pt idx="203">
                  <c:v>6.7465000000000002</c:v>
                </c:pt>
                <c:pt idx="204">
                  <c:v>16.313099999999999</c:v>
                </c:pt>
                <c:pt idx="205">
                  <c:v>4.53911</c:v>
                </c:pt>
                <c:pt idx="206">
                  <c:v>6.4545599999999999</c:v>
                </c:pt>
                <c:pt idx="207">
                  <c:v>5.86008</c:v>
                </c:pt>
                <c:pt idx="208">
                  <c:v>3.52996</c:v>
                </c:pt>
                <c:pt idx="209">
                  <c:v>12.0832</c:v>
                </c:pt>
                <c:pt idx="210">
                  <c:v>7.5680899999999998</c:v>
                </c:pt>
                <c:pt idx="211">
                  <c:v>16.844000000000001</c:v>
                </c:pt>
                <c:pt idx="212">
                  <c:v>6.9427399999999997</c:v>
                </c:pt>
                <c:pt idx="213">
                  <c:v>4.08927</c:v>
                </c:pt>
                <c:pt idx="214">
                  <c:v>17.397500000000001</c:v>
                </c:pt>
                <c:pt idx="215">
                  <c:v>12.191800000000001</c:v>
                </c:pt>
                <c:pt idx="216">
                  <c:v>1.70835</c:v>
                </c:pt>
                <c:pt idx="217">
                  <c:v>1.9284399999999999</c:v>
                </c:pt>
                <c:pt idx="220">
                  <c:v>1.0020500000000001</c:v>
                </c:pt>
                <c:pt idx="221">
                  <c:v>0.96450199999999997</c:v>
                </c:pt>
                <c:pt idx="222">
                  <c:v>1.3898299999999999</c:v>
                </c:pt>
                <c:pt idx="223">
                  <c:v>0.87453700000000001</c:v>
                </c:pt>
                <c:pt idx="224">
                  <c:v>2.4035199999999999</c:v>
                </c:pt>
                <c:pt idx="225">
                  <c:v>3.7513899999999998</c:v>
                </c:pt>
                <c:pt idx="226">
                  <c:v>2.1827000000000001</c:v>
                </c:pt>
                <c:pt idx="227">
                  <c:v>1.5682700000000001</c:v>
                </c:pt>
                <c:pt idx="228">
                  <c:v>1.03525</c:v>
                </c:pt>
                <c:pt idx="229">
                  <c:v>1.1430100000000001</c:v>
                </c:pt>
                <c:pt idx="230">
                  <c:v>0.76930600000000005</c:v>
                </c:pt>
                <c:pt idx="231">
                  <c:v>0.72825499999999999</c:v>
                </c:pt>
                <c:pt idx="232">
                  <c:v>0.72708499999999998</c:v>
                </c:pt>
                <c:pt idx="233">
                  <c:v>0.78134999999999999</c:v>
                </c:pt>
                <c:pt idx="234">
                  <c:v>0.78380499999999997</c:v>
                </c:pt>
                <c:pt idx="235">
                  <c:v>0.72053599999999995</c:v>
                </c:pt>
                <c:pt idx="236">
                  <c:v>3.7548300000000001</c:v>
                </c:pt>
                <c:pt idx="237">
                  <c:v>1.5260499999999999</c:v>
                </c:pt>
                <c:pt idx="238">
                  <c:v>0.74478699999999998</c:v>
                </c:pt>
                <c:pt idx="239">
                  <c:v>0.699766</c:v>
                </c:pt>
                <c:pt idx="240">
                  <c:v>6.8576499999999996</c:v>
                </c:pt>
                <c:pt idx="241">
                  <c:v>0.97748599999999997</c:v>
                </c:pt>
                <c:pt idx="242">
                  <c:v>0.90805999999999998</c:v>
                </c:pt>
                <c:pt idx="243">
                  <c:v>10.4023</c:v>
                </c:pt>
                <c:pt idx="244">
                  <c:v>0.85727600000000004</c:v>
                </c:pt>
                <c:pt idx="245">
                  <c:v>3.0841699999999999</c:v>
                </c:pt>
                <c:pt idx="246">
                  <c:v>0.95620700000000003</c:v>
                </c:pt>
                <c:pt idx="247">
                  <c:v>2.1098499999999998</c:v>
                </c:pt>
                <c:pt idx="248">
                  <c:v>0.98846500000000004</c:v>
                </c:pt>
                <c:pt idx="249">
                  <c:v>0.95811599999999997</c:v>
                </c:pt>
                <c:pt idx="250">
                  <c:v>0.93498700000000001</c:v>
                </c:pt>
                <c:pt idx="251">
                  <c:v>1.5379700000000001</c:v>
                </c:pt>
                <c:pt idx="252">
                  <c:v>0.90543300000000004</c:v>
                </c:pt>
                <c:pt idx="253">
                  <c:v>18.7225</c:v>
                </c:pt>
                <c:pt idx="254">
                  <c:v>18.522099999999998</c:v>
                </c:pt>
                <c:pt idx="255">
                  <c:v>1.44936</c:v>
                </c:pt>
                <c:pt idx="256">
                  <c:v>1.2073799999999999</c:v>
                </c:pt>
                <c:pt idx="257">
                  <c:v>1.69926</c:v>
                </c:pt>
                <c:pt idx="258">
                  <c:v>2.2000099999999998</c:v>
                </c:pt>
                <c:pt idx="259">
                  <c:v>1.0070399999999999</c:v>
                </c:pt>
                <c:pt idx="260">
                  <c:v>1.3408899999999999</c:v>
                </c:pt>
                <c:pt idx="261">
                  <c:v>0.80580200000000002</c:v>
                </c:pt>
                <c:pt idx="262">
                  <c:v>1.23533</c:v>
                </c:pt>
                <c:pt idx="263">
                  <c:v>0.89603600000000005</c:v>
                </c:pt>
                <c:pt idx="264">
                  <c:v>0.69858600000000004</c:v>
                </c:pt>
                <c:pt idx="265">
                  <c:v>1.34904</c:v>
                </c:pt>
                <c:pt idx="266">
                  <c:v>1.1543600000000001</c:v>
                </c:pt>
                <c:pt idx="267">
                  <c:v>1.6019300000000001</c:v>
                </c:pt>
                <c:pt idx="268">
                  <c:v>1.18232</c:v>
                </c:pt>
                <c:pt idx="269">
                  <c:v>0.71506000000000003</c:v>
                </c:pt>
                <c:pt idx="270">
                  <c:v>1.07755</c:v>
                </c:pt>
                <c:pt idx="271">
                  <c:v>0.77203900000000003</c:v>
                </c:pt>
                <c:pt idx="272">
                  <c:v>1.6415599999999999</c:v>
                </c:pt>
                <c:pt idx="273">
                  <c:v>0.96878799999999998</c:v>
                </c:pt>
                <c:pt idx="274">
                  <c:v>0.92069900000000005</c:v>
                </c:pt>
                <c:pt idx="275">
                  <c:v>1.56053</c:v>
                </c:pt>
                <c:pt idx="276">
                  <c:v>0.85370900000000005</c:v>
                </c:pt>
                <c:pt idx="277">
                  <c:v>0.78937599999999997</c:v>
                </c:pt>
                <c:pt idx="278">
                  <c:v>6.9484700000000004</c:v>
                </c:pt>
                <c:pt idx="279">
                  <c:v>1.3207899999999999</c:v>
                </c:pt>
                <c:pt idx="280">
                  <c:v>1.1031</c:v>
                </c:pt>
                <c:pt idx="281">
                  <c:v>1.1898899999999999</c:v>
                </c:pt>
                <c:pt idx="282">
                  <c:v>1.16384</c:v>
                </c:pt>
                <c:pt idx="283">
                  <c:v>3.0874700000000002</c:v>
                </c:pt>
                <c:pt idx="284">
                  <c:v>1.2670399999999999</c:v>
                </c:pt>
                <c:pt idx="285">
                  <c:v>0.99852399999999997</c:v>
                </c:pt>
                <c:pt idx="286">
                  <c:v>1.16117</c:v>
                </c:pt>
                <c:pt idx="287">
                  <c:v>0.84748599999999996</c:v>
                </c:pt>
                <c:pt idx="288">
                  <c:v>0.76137600000000005</c:v>
                </c:pt>
                <c:pt idx="289">
                  <c:v>0.793682</c:v>
                </c:pt>
                <c:pt idx="290">
                  <c:v>1.0203100000000001</c:v>
                </c:pt>
                <c:pt idx="291">
                  <c:v>0.81014600000000003</c:v>
                </c:pt>
                <c:pt idx="292">
                  <c:v>10.7912</c:v>
                </c:pt>
                <c:pt idx="293">
                  <c:v>4.4639499999999996</c:v>
                </c:pt>
                <c:pt idx="294">
                  <c:v>1.07359</c:v>
                </c:pt>
                <c:pt idx="295">
                  <c:v>4.2059100000000003</c:v>
                </c:pt>
                <c:pt idx="296">
                  <c:v>1.29582</c:v>
                </c:pt>
                <c:pt idx="297">
                  <c:v>2.9872000000000001</c:v>
                </c:pt>
                <c:pt idx="298">
                  <c:v>1.0815600000000001</c:v>
                </c:pt>
                <c:pt idx="299">
                  <c:v>0.90740799999999999</c:v>
                </c:pt>
                <c:pt idx="300">
                  <c:v>0.72873399999999999</c:v>
                </c:pt>
                <c:pt idx="301">
                  <c:v>0.72731500000000004</c:v>
                </c:pt>
                <c:pt idx="302">
                  <c:v>0.95893099999999998</c:v>
                </c:pt>
                <c:pt idx="303">
                  <c:v>3.26708</c:v>
                </c:pt>
                <c:pt idx="304">
                  <c:v>1.4206399999999999</c:v>
                </c:pt>
                <c:pt idx="305">
                  <c:v>0.94102799999999998</c:v>
                </c:pt>
                <c:pt idx="306">
                  <c:v>13.866199999999999</c:v>
                </c:pt>
                <c:pt idx="307">
                  <c:v>4.9916700000000001</c:v>
                </c:pt>
                <c:pt idx="308">
                  <c:v>2.4725600000000001</c:v>
                </c:pt>
                <c:pt idx="309">
                  <c:v>1.2254499999999999</c:v>
                </c:pt>
                <c:pt idx="310">
                  <c:v>1.01755</c:v>
                </c:pt>
                <c:pt idx="311">
                  <c:v>1.0693999999999999</c:v>
                </c:pt>
                <c:pt idx="312">
                  <c:v>3.5590000000000002</c:v>
                </c:pt>
                <c:pt idx="313">
                  <c:v>11.4093</c:v>
                </c:pt>
                <c:pt idx="314">
                  <c:v>6.1798299999999999</c:v>
                </c:pt>
                <c:pt idx="315">
                  <c:v>1.1121300000000001</c:v>
                </c:pt>
                <c:pt idx="316">
                  <c:v>2.6605400000000001</c:v>
                </c:pt>
                <c:pt idx="317">
                  <c:v>1.1337600000000001</c:v>
                </c:pt>
                <c:pt idx="318">
                  <c:v>1.7654000000000001</c:v>
                </c:pt>
                <c:pt idx="319">
                  <c:v>3.6856900000000001</c:v>
                </c:pt>
                <c:pt idx="320">
                  <c:v>2.1212800000000001</c:v>
                </c:pt>
                <c:pt idx="321">
                  <c:v>0.75087599999999999</c:v>
                </c:pt>
                <c:pt idx="322">
                  <c:v>7.13307</c:v>
                </c:pt>
                <c:pt idx="323">
                  <c:v>0.73937799999999998</c:v>
                </c:pt>
                <c:pt idx="324">
                  <c:v>27.2088</c:v>
                </c:pt>
                <c:pt idx="325">
                  <c:v>25.9757</c:v>
                </c:pt>
                <c:pt idx="326">
                  <c:v>1.8225199999999999</c:v>
                </c:pt>
                <c:pt idx="327">
                  <c:v>1.19668</c:v>
                </c:pt>
                <c:pt idx="328">
                  <c:v>1.04355</c:v>
                </c:pt>
                <c:pt idx="329">
                  <c:v>1.0538099999999999</c:v>
                </c:pt>
                <c:pt idx="330">
                  <c:v>2.5841099999999999</c:v>
                </c:pt>
                <c:pt idx="331">
                  <c:v>1.9617800000000001</c:v>
                </c:pt>
                <c:pt idx="332">
                  <c:v>0.94432199999999999</c:v>
                </c:pt>
                <c:pt idx="333">
                  <c:v>0.93172699999999997</c:v>
                </c:pt>
                <c:pt idx="334">
                  <c:v>0.93940699999999999</c:v>
                </c:pt>
                <c:pt idx="335">
                  <c:v>1.21166</c:v>
                </c:pt>
                <c:pt idx="336">
                  <c:v>1.4849699999999999</c:v>
                </c:pt>
                <c:pt idx="337">
                  <c:v>1.13517</c:v>
                </c:pt>
                <c:pt idx="338">
                  <c:v>0.90767399999999998</c:v>
                </c:pt>
                <c:pt idx="339">
                  <c:v>0.854715</c:v>
                </c:pt>
                <c:pt idx="340">
                  <c:v>0.84833599999999998</c:v>
                </c:pt>
                <c:pt idx="341">
                  <c:v>5.6766199999999998</c:v>
                </c:pt>
                <c:pt idx="342">
                  <c:v>17.884699999999999</c:v>
                </c:pt>
                <c:pt idx="343">
                  <c:v>1.0173099999999999</c:v>
                </c:pt>
                <c:pt idx="344">
                  <c:v>1.0743400000000001</c:v>
                </c:pt>
                <c:pt idx="345">
                  <c:v>14.2577</c:v>
                </c:pt>
                <c:pt idx="346">
                  <c:v>4.8711700000000002</c:v>
                </c:pt>
                <c:pt idx="347">
                  <c:v>1.24577</c:v>
                </c:pt>
                <c:pt idx="348">
                  <c:v>1.2496</c:v>
                </c:pt>
                <c:pt idx="349">
                  <c:v>0.84948299999999999</c:v>
                </c:pt>
                <c:pt idx="350">
                  <c:v>1.2698100000000001</c:v>
                </c:pt>
                <c:pt idx="351">
                  <c:v>32.807000000000002</c:v>
                </c:pt>
                <c:pt idx="352">
                  <c:v>7.6765699999999999</c:v>
                </c:pt>
                <c:pt idx="353">
                  <c:v>1.84711</c:v>
                </c:pt>
                <c:pt idx="354">
                  <c:v>1.29762</c:v>
                </c:pt>
                <c:pt idx="355">
                  <c:v>1.0004299999999999</c:v>
                </c:pt>
                <c:pt idx="356">
                  <c:v>0.83895699999999995</c:v>
                </c:pt>
                <c:pt idx="357">
                  <c:v>4.05349</c:v>
                </c:pt>
                <c:pt idx="358">
                  <c:v>4.1846800000000002</c:v>
                </c:pt>
                <c:pt idx="360">
                  <c:v>0.84243800000000002</c:v>
                </c:pt>
                <c:pt idx="361">
                  <c:v>1.2130700000000001</c:v>
                </c:pt>
                <c:pt idx="362">
                  <c:v>1.7808200000000001</c:v>
                </c:pt>
                <c:pt idx="363">
                  <c:v>1.43974</c:v>
                </c:pt>
                <c:pt idx="364">
                  <c:v>9.4422999999999995</c:v>
                </c:pt>
              </c:numCache>
            </c:numRef>
          </c:val>
        </c:ser>
        <c:ser>
          <c:idx val="1"/>
          <c:order val="1"/>
          <c:tx>
            <c:v>2007 Filtered Water</c:v>
          </c:tx>
          <c:spPr>
            <a:ln w="12700">
              <a:solidFill>
                <a:srgbClr val="92D050"/>
              </a:solidFill>
            </a:ln>
          </c:spPr>
          <c:marker>
            <c:symbol val="none"/>
          </c:marker>
          <c:cat>
            <c:numRef>
              <c:f>Historical!$A$2:$A$366</c:f>
              <c:numCache>
                <c:formatCode>m/d/yyyy</c:formatCode>
                <c:ptCount val="365"/>
                <c:pt idx="0">
                  <c:v>38992</c:v>
                </c:pt>
                <c:pt idx="1">
                  <c:v>38993</c:v>
                </c:pt>
                <c:pt idx="2">
                  <c:v>38994</c:v>
                </c:pt>
                <c:pt idx="3">
                  <c:v>38995</c:v>
                </c:pt>
                <c:pt idx="4">
                  <c:v>38996</c:v>
                </c:pt>
                <c:pt idx="5">
                  <c:v>38997</c:v>
                </c:pt>
                <c:pt idx="6">
                  <c:v>38998</c:v>
                </c:pt>
                <c:pt idx="7">
                  <c:v>38999</c:v>
                </c:pt>
                <c:pt idx="8">
                  <c:v>39000</c:v>
                </c:pt>
                <c:pt idx="9">
                  <c:v>39001</c:v>
                </c:pt>
                <c:pt idx="10">
                  <c:v>39002</c:v>
                </c:pt>
                <c:pt idx="11">
                  <c:v>39003</c:v>
                </c:pt>
                <c:pt idx="12">
                  <c:v>39004</c:v>
                </c:pt>
                <c:pt idx="13">
                  <c:v>39005</c:v>
                </c:pt>
                <c:pt idx="14">
                  <c:v>39006</c:v>
                </c:pt>
                <c:pt idx="15">
                  <c:v>39007</c:v>
                </c:pt>
                <c:pt idx="16">
                  <c:v>39008</c:v>
                </c:pt>
                <c:pt idx="17">
                  <c:v>39009</c:v>
                </c:pt>
                <c:pt idx="18">
                  <c:v>39010</c:v>
                </c:pt>
                <c:pt idx="19">
                  <c:v>39011</c:v>
                </c:pt>
                <c:pt idx="20">
                  <c:v>39012</c:v>
                </c:pt>
                <c:pt idx="21">
                  <c:v>39013</c:v>
                </c:pt>
                <c:pt idx="22">
                  <c:v>39014</c:v>
                </c:pt>
                <c:pt idx="23">
                  <c:v>39015</c:v>
                </c:pt>
                <c:pt idx="24">
                  <c:v>39016</c:v>
                </c:pt>
                <c:pt idx="25">
                  <c:v>39017</c:v>
                </c:pt>
                <c:pt idx="26">
                  <c:v>39018</c:v>
                </c:pt>
                <c:pt idx="27">
                  <c:v>39019</c:v>
                </c:pt>
                <c:pt idx="28">
                  <c:v>39020</c:v>
                </c:pt>
                <c:pt idx="29">
                  <c:v>39021</c:v>
                </c:pt>
                <c:pt idx="30">
                  <c:v>39022</c:v>
                </c:pt>
                <c:pt idx="31">
                  <c:v>39023</c:v>
                </c:pt>
                <c:pt idx="32">
                  <c:v>39024</c:v>
                </c:pt>
                <c:pt idx="33">
                  <c:v>39025</c:v>
                </c:pt>
                <c:pt idx="34">
                  <c:v>39026</c:v>
                </c:pt>
                <c:pt idx="35">
                  <c:v>39027</c:v>
                </c:pt>
                <c:pt idx="36">
                  <c:v>39028</c:v>
                </c:pt>
                <c:pt idx="37">
                  <c:v>39029</c:v>
                </c:pt>
                <c:pt idx="38">
                  <c:v>39030</c:v>
                </c:pt>
                <c:pt idx="39">
                  <c:v>39031</c:v>
                </c:pt>
                <c:pt idx="40">
                  <c:v>39032</c:v>
                </c:pt>
                <c:pt idx="41">
                  <c:v>39033</c:v>
                </c:pt>
                <c:pt idx="42">
                  <c:v>39034</c:v>
                </c:pt>
                <c:pt idx="43">
                  <c:v>39035</c:v>
                </c:pt>
                <c:pt idx="44">
                  <c:v>39036</c:v>
                </c:pt>
                <c:pt idx="45">
                  <c:v>39037</c:v>
                </c:pt>
                <c:pt idx="46">
                  <c:v>39038</c:v>
                </c:pt>
                <c:pt idx="47">
                  <c:v>39039</c:v>
                </c:pt>
                <c:pt idx="48">
                  <c:v>39040</c:v>
                </c:pt>
                <c:pt idx="49">
                  <c:v>39041</c:v>
                </c:pt>
                <c:pt idx="50">
                  <c:v>39042</c:v>
                </c:pt>
                <c:pt idx="51">
                  <c:v>39043</c:v>
                </c:pt>
                <c:pt idx="52">
                  <c:v>39044</c:v>
                </c:pt>
                <c:pt idx="53">
                  <c:v>39045</c:v>
                </c:pt>
                <c:pt idx="54">
                  <c:v>39046</c:v>
                </c:pt>
                <c:pt idx="55">
                  <c:v>39047</c:v>
                </c:pt>
                <c:pt idx="56">
                  <c:v>39048</c:v>
                </c:pt>
                <c:pt idx="57">
                  <c:v>39049</c:v>
                </c:pt>
                <c:pt idx="58">
                  <c:v>39050</c:v>
                </c:pt>
                <c:pt idx="59">
                  <c:v>39051</c:v>
                </c:pt>
                <c:pt idx="60">
                  <c:v>39052</c:v>
                </c:pt>
                <c:pt idx="61">
                  <c:v>39053</c:v>
                </c:pt>
                <c:pt idx="62">
                  <c:v>39054</c:v>
                </c:pt>
                <c:pt idx="63">
                  <c:v>39055</c:v>
                </c:pt>
                <c:pt idx="64">
                  <c:v>39056</c:v>
                </c:pt>
                <c:pt idx="65">
                  <c:v>39057</c:v>
                </c:pt>
                <c:pt idx="66">
                  <c:v>39058</c:v>
                </c:pt>
                <c:pt idx="67">
                  <c:v>39059</c:v>
                </c:pt>
                <c:pt idx="68">
                  <c:v>39060</c:v>
                </c:pt>
                <c:pt idx="69">
                  <c:v>39061</c:v>
                </c:pt>
                <c:pt idx="70">
                  <c:v>39062</c:v>
                </c:pt>
                <c:pt idx="71">
                  <c:v>39063</c:v>
                </c:pt>
                <c:pt idx="72">
                  <c:v>39064</c:v>
                </c:pt>
                <c:pt idx="73">
                  <c:v>39065</c:v>
                </c:pt>
                <c:pt idx="74">
                  <c:v>39066</c:v>
                </c:pt>
                <c:pt idx="75">
                  <c:v>39067</c:v>
                </c:pt>
                <c:pt idx="76">
                  <c:v>39068</c:v>
                </c:pt>
                <c:pt idx="77">
                  <c:v>39069</c:v>
                </c:pt>
                <c:pt idx="78">
                  <c:v>39070</c:v>
                </c:pt>
                <c:pt idx="79">
                  <c:v>39071</c:v>
                </c:pt>
                <c:pt idx="80">
                  <c:v>39072</c:v>
                </c:pt>
                <c:pt idx="81">
                  <c:v>39073</c:v>
                </c:pt>
                <c:pt idx="82">
                  <c:v>39074</c:v>
                </c:pt>
                <c:pt idx="83">
                  <c:v>39075</c:v>
                </c:pt>
                <c:pt idx="84">
                  <c:v>39076</c:v>
                </c:pt>
                <c:pt idx="85">
                  <c:v>39077</c:v>
                </c:pt>
                <c:pt idx="86">
                  <c:v>39078</c:v>
                </c:pt>
                <c:pt idx="87">
                  <c:v>39079</c:v>
                </c:pt>
                <c:pt idx="88">
                  <c:v>39080</c:v>
                </c:pt>
                <c:pt idx="89">
                  <c:v>39081</c:v>
                </c:pt>
                <c:pt idx="90">
                  <c:v>39082</c:v>
                </c:pt>
                <c:pt idx="91">
                  <c:v>39083</c:v>
                </c:pt>
                <c:pt idx="92">
                  <c:v>39084</c:v>
                </c:pt>
                <c:pt idx="93">
                  <c:v>39085</c:v>
                </c:pt>
                <c:pt idx="94">
                  <c:v>39086</c:v>
                </c:pt>
                <c:pt idx="95">
                  <c:v>39087</c:v>
                </c:pt>
                <c:pt idx="96">
                  <c:v>39088</c:v>
                </c:pt>
                <c:pt idx="97">
                  <c:v>39089</c:v>
                </c:pt>
                <c:pt idx="98">
                  <c:v>39090</c:v>
                </c:pt>
                <c:pt idx="99">
                  <c:v>39091</c:v>
                </c:pt>
                <c:pt idx="100">
                  <c:v>39092</c:v>
                </c:pt>
                <c:pt idx="101">
                  <c:v>39093</c:v>
                </c:pt>
                <c:pt idx="102">
                  <c:v>39094</c:v>
                </c:pt>
                <c:pt idx="103">
                  <c:v>39095</c:v>
                </c:pt>
                <c:pt idx="104">
                  <c:v>39096</c:v>
                </c:pt>
                <c:pt idx="105">
                  <c:v>39097</c:v>
                </c:pt>
                <c:pt idx="106">
                  <c:v>39098</c:v>
                </c:pt>
                <c:pt idx="107">
                  <c:v>39099</c:v>
                </c:pt>
                <c:pt idx="108">
                  <c:v>39100</c:v>
                </c:pt>
                <c:pt idx="109">
                  <c:v>39101</c:v>
                </c:pt>
                <c:pt idx="110">
                  <c:v>39102</c:v>
                </c:pt>
                <c:pt idx="111">
                  <c:v>39103</c:v>
                </c:pt>
                <c:pt idx="112">
                  <c:v>39104</c:v>
                </c:pt>
                <c:pt idx="113">
                  <c:v>39105</c:v>
                </c:pt>
                <c:pt idx="114">
                  <c:v>39106</c:v>
                </c:pt>
                <c:pt idx="115">
                  <c:v>39107</c:v>
                </c:pt>
                <c:pt idx="116">
                  <c:v>39108</c:v>
                </c:pt>
                <c:pt idx="117">
                  <c:v>39109</c:v>
                </c:pt>
                <c:pt idx="118">
                  <c:v>39110</c:v>
                </c:pt>
                <c:pt idx="119">
                  <c:v>39111</c:v>
                </c:pt>
                <c:pt idx="120">
                  <c:v>39112</c:v>
                </c:pt>
                <c:pt idx="121">
                  <c:v>39113</c:v>
                </c:pt>
                <c:pt idx="122">
                  <c:v>39114</c:v>
                </c:pt>
                <c:pt idx="123">
                  <c:v>39115</c:v>
                </c:pt>
                <c:pt idx="124">
                  <c:v>39116</c:v>
                </c:pt>
                <c:pt idx="125">
                  <c:v>39117</c:v>
                </c:pt>
                <c:pt idx="126">
                  <c:v>39118</c:v>
                </c:pt>
                <c:pt idx="127">
                  <c:v>39119</c:v>
                </c:pt>
                <c:pt idx="128">
                  <c:v>39120</c:v>
                </c:pt>
                <c:pt idx="129">
                  <c:v>39121</c:v>
                </c:pt>
                <c:pt idx="130">
                  <c:v>39122</c:v>
                </c:pt>
                <c:pt idx="131">
                  <c:v>39123</c:v>
                </c:pt>
                <c:pt idx="132">
                  <c:v>39124</c:v>
                </c:pt>
                <c:pt idx="133">
                  <c:v>39125</c:v>
                </c:pt>
                <c:pt idx="134">
                  <c:v>39126</c:v>
                </c:pt>
                <c:pt idx="135">
                  <c:v>39127</c:v>
                </c:pt>
                <c:pt idx="136">
                  <c:v>39128</c:v>
                </c:pt>
                <c:pt idx="137">
                  <c:v>39129</c:v>
                </c:pt>
                <c:pt idx="138">
                  <c:v>39130</c:v>
                </c:pt>
                <c:pt idx="139">
                  <c:v>39131</c:v>
                </c:pt>
                <c:pt idx="140">
                  <c:v>39132</c:v>
                </c:pt>
                <c:pt idx="141">
                  <c:v>39133</c:v>
                </c:pt>
                <c:pt idx="142">
                  <c:v>39134</c:v>
                </c:pt>
                <c:pt idx="143">
                  <c:v>39135</c:v>
                </c:pt>
                <c:pt idx="144">
                  <c:v>39136</c:v>
                </c:pt>
                <c:pt idx="145">
                  <c:v>39137</c:v>
                </c:pt>
                <c:pt idx="146">
                  <c:v>39138</c:v>
                </c:pt>
                <c:pt idx="147">
                  <c:v>39139</c:v>
                </c:pt>
                <c:pt idx="148">
                  <c:v>39140</c:v>
                </c:pt>
                <c:pt idx="149">
                  <c:v>39141</c:v>
                </c:pt>
                <c:pt idx="150">
                  <c:v>39142</c:v>
                </c:pt>
                <c:pt idx="151">
                  <c:v>39143</c:v>
                </c:pt>
                <c:pt idx="152">
                  <c:v>39144</c:v>
                </c:pt>
                <c:pt idx="153">
                  <c:v>39145</c:v>
                </c:pt>
                <c:pt idx="154">
                  <c:v>39146</c:v>
                </c:pt>
                <c:pt idx="155">
                  <c:v>39147</c:v>
                </c:pt>
                <c:pt idx="156">
                  <c:v>39148</c:v>
                </c:pt>
                <c:pt idx="157">
                  <c:v>39149</c:v>
                </c:pt>
                <c:pt idx="158">
                  <c:v>39150</c:v>
                </c:pt>
                <c:pt idx="159">
                  <c:v>39151</c:v>
                </c:pt>
                <c:pt idx="160">
                  <c:v>39152</c:v>
                </c:pt>
                <c:pt idx="161">
                  <c:v>39153</c:v>
                </c:pt>
                <c:pt idx="162">
                  <c:v>39154</c:v>
                </c:pt>
                <c:pt idx="163">
                  <c:v>39155</c:v>
                </c:pt>
                <c:pt idx="164">
                  <c:v>39156</c:v>
                </c:pt>
                <c:pt idx="165">
                  <c:v>39157</c:v>
                </c:pt>
                <c:pt idx="166">
                  <c:v>39158</c:v>
                </c:pt>
                <c:pt idx="167">
                  <c:v>39159</c:v>
                </c:pt>
                <c:pt idx="168">
                  <c:v>39160</c:v>
                </c:pt>
                <c:pt idx="169">
                  <c:v>39161</c:v>
                </c:pt>
                <c:pt idx="170">
                  <c:v>39162</c:v>
                </c:pt>
                <c:pt idx="171">
                  <c:v>39163</c:v>
                </c:pt>
                <c:pt idx="172">
                  <c:v>39164</c:v>
                </c:pt>
                <c:pt idx="173">
                  <c:v>39165</c:v>
                </c:pt>
                <c:pt idx="174">
                  <c:v>39166</c:v>
                </c:pt>
                <c:pt idx="175">
                  <c:v>39167</c:v>
                </c:pt>
                <c:pt idx="176">
                  <c:v>39168</c:v>
                </c:pt>
                <c:pt idx="177">
                  <c:v>39169</c:v>
                </c:pt>
                <c:pt idx="178">
                  <c:v>39170</c:v>
                </c:pt>
                <c:pt idx="179">
                  <c:v>39171</c:v>
                </c:pt>
                <c:pt idx="180">
                  <c:v>39172</c:v>
                </c:pt>
                <c:pt idx="181">
                  <c:v>39173</c:v>
                </c:pt>
                <c:pt idx="182">
                  <c:v>39174</c:v>
                </c:pt>
                <c:pt idx="183">
                  <c:v>39175</c:v>
                </c:pt>
                <c:pt idx="184">
                  <c:v>39176</c:v>
                </c:pt>
                <c:pt idx="185">
                  <c:v>39177</c:v>
                </c:pt>
                <c:pt idx="186">
                  <c:v>39178</c:v>
                </c:pt>
                <c:pt idx="187">
                  <c:v>39179</c:v>
                </c:pt>
                <c:pt idx="188">
                  <c:v>39180</c:v>
                </c:pt>
                <c:pt idx="189">
                  <c:v>39181</c:v>
                </c:pt>
                <c:pt idx="190">
                  <c:v>39182</c:v>
                </c:pt>
                <c:pt idx="191">
                  <c:v>39183</c:v>
                </c:pt>
                <c:pt idx="192">
                  <c:v>39184</c:v>
                </c:pt>
                <c:pt idx="193">
                  <c:v>39185</c:v>
                </c:pt>
                <c:pt idx="194">
                  <c:v>39186</c:v>
                </c:pt>
                <c:pt idx="195">
                  <c:v>39187</c:v>
                </c:pt>
                <c:pt idx="196">
                  <c:v>39188</c:v>
                </c:pt>
                <c:pt idx="197">
                  <c:v>39189</c:v>
                </c:pt>
                <c:pt idx="198">
                  <c:v>39190</c:v>
                </c:pt>
                <c:pt idx="199">
                  <c:v>39191</c:v>
                </c:pt>
                <c:pt idx="200">
                  <c:v>39192</c:v>
                </c:pt>
                <c:pt idx="201">
                  <c:v>39193</c:v>
                </c:pt>
                <c:pt idx="202">
                  <c:v>39194</c:v>
                </c:pt>
                <c:pt idx="203">
                  <c:v>39195</c:v>
                </c:pt>
                <c:pt idx="204">
                  <c:v>39196</c:v>
                </c:pt>
                <c:pt idx="205">
                  <c:v>39197</c:v>
                </c:pt>
                <c:pt idx="206">
                  <c:v>39198</c:v>
                </c:pt>
                <c:pt idx="207">
                  <c:v>39199</c:v>
                </c:pt>
                <c:pt idx="208">
                  <c:v>39200</c:v>
                </c:pt>
                <c:pt idx="209">
                  <c:v>39201</c:v>
                </c:pt>
                <c:pt idx="210">
                  <c:v>39202</c:v>
                </c:pt>
                <c:pt idx="211">
                  <c:v>39203</c:v>
                </c:pt>
                <c:pt idx="212">
                  <c:v>39204</c:v>
                </c:pt>
                <c:pt idx="213">
                  <c:v>39205</c:v>
                </c:pt>
                <c:pt idx="214">
                  <c:v>39206</c:v>
                </c:pt>
                <c:pt idx="215">
                  <c:v>39207</c:v>
                </c:pt>
                <c:pt idx="216">
                  <c:v>39208</c:v>
                </c:pt>
                <c:pt idx="217">
                  <c:v>39209</c:v>
                </c:pt>
                <c:pt idx="218">
                  <c:v>39210</c:v>
                </c:pt>
                <c:pt idx="219">
                  <c:v>39211</c:v>
                </c:pt>
                <c:pt idx="220">
                  <c:v>39212</c:v>
                </c:pt>
                <c:pt idx="221">
                  <c:v>39213</c:v>
                </c:pt>
                <c:pt idx="222">
                  <c:v>39214</c:v>
                </c:pt>
                <c:pt idx="223">
                  <c:v>39215</c:v>
                </c:pt>
                <c:pt idx="224">
                  <c:v>39216</c:v>
                </c:pt>
                <c:pt idx="225">
                  <c:v>39217</c:v>
                </c:pt>
                <c:pt idx="226">
                  <c:v>39218</c:v>
                </c:pt>
                <c:pt idx="227">
                  <c:v>39219</c:v>
                </c:pt>
                <c:pt idx="228">
                  <c:v>39220</c:v>
                </c:pt>
                <c:pt idx="229">
                  <c:v>39221</c:v>
                </c:pt>
                <c:pt idx="230">
                  <c:v>39222</c:v>
                </c:pt>
                <c:pt idx="231">
                  <c:v>39223</c:v>
                </c:pt>
                <c:pt idx="232">
                  <c:v>39224</c:v>
                </c:pt>
                <c:pt idx="233">
                  <c:v>39225</c:v>
                </c:pt>
                <c:pt idx="234">
                  <c:v>39226</c:v>
                </c:pt>
                <c:pt idx="235">
                  <c:v>39227</c:v>
                </c:pt>
                <c:pt idx="236">
                  <c:v>39228</c:v>
                </c:pt>
                <c:pt idx="237">
                  <c:v>39229</c:v>
                </c:pt>
                <c:pt idx="238">
                  <c:v>39230</c:v>
                </c:pt>
                <c:pt idx="239">
                  <c:v>39231</c:v>
                </c:pt>
                <c:pt idx="240">
                  <c:v>39232</c:v>
                </c:pt>
                <c:pt idx="241">
                  <c:v>39233</c:v>
                </c:pt>
                <c:pt idx="242">
                  <c:v>39234</c:v>
                </c:pt>
                <c:pt idx="243">
                  <c:v>39235</c:v>
                </c:pt>
                <c:pt idx="244">
                  <c:v>39236</c:v>
                </c:pt>
                <c:pt idx="245">
                  <c:v>39237</c:v>
                </c:pt>
                <c:pt idx="246">
                  <c:v>39238</c:v>
                </c:pt>
                <c:pt idx="247">
                  <c:v>39239</c:v>
                </c:pt>
                <c:pt idx="248">
                  <c:v>39240</c:v>
                </c:pt>
                <c:pt idx="249">
                  <c:v>39241</c:v>
                </c:pt>
                <c:pt idx="250">
                  <c:v>39242</c:v>
                </c:pt>
                <c:pt idx="251">
                  <c:v>39243</c:v>
                </c:pt>
                <c:pt idx="252">
                  <c:v>39244</c:v>
                </c:pt>
                <c:pt idx="253">
                  <c:v>39245</c:v>
                </c:pt>
                <c:pt idx="254">
                  <c:v>39246</c:v>
                </c:pt>
                <c:pt idx="255">
                  <c:v>39247</c:v>
                </c:pt>
                <c:pt idx="256">
                  <c:v>39248</c:v>
                </c:pt>
                <c:pt idx="257">
                  <c:v>39249</c:v>
                </c:pt>
                <c:pt idx="258">
                  <c:v>39250</c:v>
                </c:pt>
                <c:pt idx="259">
                  <c:v>39251</c:v>
                </c:pt>
                <c:pt idx="260">
                  <c:v>39252</c:v>
                </c:pt>
                <c:pt idx="261">
                  <c:v>39253</c:v>
                </c:pt>
                <c:pt idx="262">
                  <c:v>39254</c:v>
                </c:pt>
                <c:pt idx="263">
                  <c:v>39255</c:v>
                </c:pt>
                <c:pt idx="264">
                  <c:v>39256</c:v>
                </c:pt>
                <c:pt idx="265">
                  <c:v>39257</c:v>
                </c:pt>
                <c:pt idx="266">
                  <c:v>39258</c:v>
                </c:pt>
                <c:pt idx="267">
                  <c:v>39259</c:v>
                </c:pt>
                <c:pt idx="268">
                  <c:v>39260</c:v>
                </c:pt>
                <c:pt idx="269">
                  <c:v>39261</c:v>
                </c:pt>
                <c:pt idx="270">
                  <c:v>39262</c:v>
                </c:pt>
                <c:pt idx="271">
                  <c:v>39263</c:v>
                </c:pt>
                <c:pt idx="272">
                  <c:v>39264</c:v>
                </c:pt>
                <c:pt idx="273">
                  <c:v>39265</c:v>
                </c:pt>
                <c:pt idx="274">
                  <c:v>39266</c:v>
                </c:pt>
                <c:pt idx="275">
                  <c:v>39267</c:v>
                </c:pt>
                <c:pt idx="276">
                  <c:v>39268</c:v>
                </c:pt>
                <c:pt idx="277">
                  <c:v>39269</c:v>
                </c:pt>
                <c:pt idx="278">
                  <c:v>39270</c:v>
                </c:pt>
                <c:pt idx="279">
                  <c:v>39271</c:v>
                </c:pt>
                <c:pt idx="280">
                  <c:v>39272</c:v>
                </c:pt>
                <c:pt idx="281">
                  <c:v>39273</c:v>
                </c:pt>
                <c:pt idx="282">
                  <c:v>39274</c:v>
                </c:pt>
                <c:pt idx="283">
                  <c:v>39275</c:v>
                </c:pt>
                <c:pt idx="284">
                  <c:v>39276</c:v>
                </c:pt>
                <c:pt idx="285">
                  <c:v>39277</c:v>
                </c:pt>
                <c:pt idx="286">
                  <c:v>39278</c:v>
                </c:pt>
                <c:pt idx="287">
                  <c:v>39279</c:v>
                </c:pt>
                <c:pt idx="288">
                  <c:v>39280</c:v>
                </c:pt>
                <c:pt idx="289">
                  <c:v>39281</c:v>
                </c:pt>
                <c:pt idx="290">
                  <c:v>39282</c:v>
                </c:pt>
                <c:pt idx="291">
                  <c:v>39283</c:v>
                </c:pt>
                <c:pt idx="292">
                  <c:v>39284</c:v>
                </c:pt>
                <c:pt idx="293">
                  <c:v>39285</c:v>
                </c:pt>
                <c:pt idx="294">
                  <c:v>39286</c:v>
                </c:pt>
                <c:pt idx="295">
                  <c:v>39287</c:v>
                </c:pt>
                <c:pt idx="296">
                  <c:v>39288</c:v>
                </c:pt>
                <c:pt idx="297">
                  <c:v>39289</c:v>
                </c:pt>
                <c:pt idx="298">
                  <c:v>39290</c:v>
                </c:pt>
                <c:pt idx="299">
                  <c:v>39291</c:v>
                </c:pt>
                <c:pt idx="300">
                  <c:v>39292</c:v>
                </c:pt>
                <c:pt idx="301">
                  <c:v>39293</c:v>
                </c:pt>
                <c:pt idx="302">
                  <c:v>39294</c:v>
                </c:pt>
                <c:pt idx="303">
                  <c:v>39295</c:v>
                </c:pt>
                <c:pt idx="304">
                  <c:v>39296</c:v>
                </c:pt>
                <c:pt idx="305">
                  <c:v>39297</c:v>
                </c:pt>
                <c:pt idx="306">
                  <c:v>39298</c:v>
                </c:pt>
                <c:pt idx="307">
                  <c:v>39299</c:v>
                </c:pt>
                <c:pt idx="308">
                  <c:v>39300</c:v>
                </c:pt>
                <c:pt idx="309">
                  <c:v>39301</c:v>
                </c:pt>
                <c:pt idx="310">
                  <c:v>39302</c:v>
                </c:pt>
                <c:pt idx="311">
                  <c:v>39303</c:v>
                </c:pt>
                <c:pt idx="312">
                  <c:v>39304</c:v>
                </c:pt>
                <c:pt idx="313">
                  <c:v>39305</c:v>
                </c:pt>
                <c:pt idx="314">
                  <c:v>39306</c:v>
                </c:pt>
                <c:pt idx="315">
                  <c:v>39307</c:v>
                </c:pt>
                <c:pt idx="316">
                  <c:v>39308</c:v>
                </c:pt>
                <c:pt idx="317">
                  <c:v>39309</c:v>
                </c:pt>
                <c:pt idx="318">
                  <c:v>39310</c:v>
                </c:pt>
                <c:pt idx="319">
                  <c:v>39311</c:v>
                </c:pt>
                <c:pt idx="320">
                  <c:v>39312</c:v>
                </c:pt>
                <c:pt idx="321">
                  <c:v>39313</c:v>
                </c:pt>
                <c:pt idx="322">
                  <c:v>39314</c:v>
                </c:pt>
                <c:pt idx="323">
                  <c:v>39315</c:v>
                </c:pt>
                <c:pt idx="324">
                  <c:v>39316</c:v>
                </c:pt>
                <c:pt idx="325">
                  <c:v>39317</c:v>
                </c:pt>
                <c:pt idx="326">
                  <c:v>39318</c:v>
                </c:pt>
                <c:pt idx="327">
                  <c:v>39319</c:v>
                </c:pt>
                <c:pt idx="328">
                  <c:v>39320</c:v>
                </c:pt>
                <c:pt idx="329">
                  <c:v>39321</c:v>
                </c:pt>
                <c:pt idx="330">
                  <c:v>39322</c:v>
                </c:pt>
                <c:pt idx="331">
                  <c:v>39323</c:v>
                </c:pt>
                <c:pt idx="332">
                  <c:v>39324</c:v>
                </c:pt>
                <c:pt idx="333">
                  <c:v>39325</c:v>
                </c:pt>
                <c:pt idx="334">
                  <c:v>39326</c:v>
                </c:pt>
                <c:pt idx="335">
                  <c:v>39327</c:v>
                </c:pt>
                <c:pt idx="336">
                  <c:v>39328</c:v>
                </c:pt>
                <c:pt idx="337">
                  <c:v>39329</c:v>
                </c:pt>
                <c:pt idx="338">
                  <c:v>39330</c:v>
                </c:pt>
                <c:pt idx="339">
                  <c:v>39331</c:v>
                </c:pt>
                <c:pt idx="340">
                  <c:v>39332</c:v>
                </c:pt>
                <c:pt idx="341">
                  <c:v>39333</c:v>
                </c:pt>
                <c:pt idx="342">
                  <c:v>39334</c:v>
                </c:pt>
                <c:pt idx="343">
                  <c:v>39335</c:v>
                </c:pt>
                <c:pt idx="344">
                  <c:v>39336</c:v>
                </c:pt>
                <c:pt idx="345">
                  <c:v>39337</c:v>
                </c:pt>
                <c:pt idx="346">
                  <c:v>39338</c:v>
                </c:pt>
                <c:pt idx="347">
                  <c:v>39339</c:v>
                </c:pt>
                <c:pt idx="348">
                  <c:v>39340</c:v>
                </c:pt>
                <c:pt idx="349">
                  <c:v>39341</c:v>
                </c:pt>
                <c:pt idx="350">
                  <c:v>39342</c:v>
                </c:pt>
                <c:pt idx="351">
                  <c:v>39343</c:v>
                </c:pt>
                <c:pt idx="352">
                  <c:v>39344</c:v>
                </c:pt>
                <c:pt idx="353">
                  <c:v>39345</c:v>
                </c:pt>
                <c:pt idx="354">
                  <c:v>39346</c:v>
                </c:pt>
                <c:pt idx="355">
                  <c:v>39347</c:v>
                </c:pt>
                <c:pt idx="356">
                  <c:v>39348</c:v>
                </c:pt>
                <c:pt idx="357">
                  <c:v>39349</c:v>
                </c:pt>
                <c:pt idx="358">
                  <c:v>39350</c:v>
                </c:pt>
                <c:pt idx="359">
                  <c:v>39351</c:v>
                </c:pt>
                <c:pt idx="360">
                  <c:v>39352</c:v>
                </c:pt>
                <c:pt idx="361">
                  <c:v>39353</c:v>
                </c:pt>
                <c:pt idx="362">
                  <c:v>39354</c:v>
                </c:pt>
                <c:pt idx="363">
                  <c:v>39355</c:v>
                </c:pt>
                <c:pt idx="364">
                  <c:v>39356</c:v>
                </c:pt>
              </c:numCache>
            </c:numRef>
          </c:cat>
          <c:val>
            <c:numRef>
              <c:f>Historical!$C$2:$C$366</c:f>
              <c:numCache>
                <c:formatCode>0.00_)</c:formatCode>
                <c:ptCount val="365"/>
                <c:pt idx="0">
                  <c:v>5.0999999999999997E-2</c:v>
                </c:pt>
                <c:pt idx="1">
                  <c:v>4.5999999999999999E-2</c:v>
                </c:pt>
                <c:pt idx="2">
                  <c:v>4.8000000000000001E-2</c:v>
                </c:pt>
                <c:pt idx="3">
                  <c:v>4.5999999999999999E-2</c:v>
                </c:pt>
                <c:pt idx="4">
                  <c:v>4.7E-2</c:v>
                </c:pt>
                <c:pt idx="5">
                  <c:v>4.8000000000000001E-2</c:v>
                </c:pt>
                <c:pt idx="6">
                  <c:v>4.8000000000000001E-2</c:v>
                </c:pt>
                <c:pt idx="7">
                  <c:v>0.05</c:v>
                </c:pt>
                <c:pt idx="8">
                  <c:v>0.05</c:v>
                </c:pt>
                <c:pt idx="9">
                  <c:v>5.0999999999999997E-2</c:v>
                </c:pt>
                <c:pt idx="10">
                  <c:v>6.5000000000000002E-2</c:v>
                </c:pt>
                <c:pt idx="11">
                  <c:v>0.06</c:v>
                </c:pt>
                <c:pt idx="12">
                  <c:v>4.8000000000000001E-2</c:v>
                </c:pt>
                <c:pt idx="13">
                  <c:v>4.7E-2</c:v>
                </c:pt>
                <c:pt idx="14">
                  <c:v>5.5E-2</c:v>
                </c:pt>
                <c:pt idx="15">
                  <c:v>5.7000000000000002E-2</c:v>
                </c:pt>
                <c:pt idx="16">
                  <c:v>4.9000000000000002E-2</c:v>
                </c:pt>
                <c:pt idx="17">
                  <c:v>4.2000000000000003E-2</c:v>
                </c:pt>
                <c:pt idx="18">
                  <c:v>4.4999999999999998E-2</c:v>
                </c:pt>
                <c:pt idx="19">
                  <c:v>4.5999999999999999E-2</c:v>
                </c:pt>
                <c:pt idx="20">
                  <c:v>4.3999999999999997E-2</c:v>
                </c:pt>
                <c:pt idx="21">
                  <c:v>4.2000000000000003E-2</c:v>
                </c:pt>
                <c:pt idx="22">
                  <c:v>0</c:v>
                </c:pt>
                <c:pt idx="23">
                  <c:v>4.5999999999999999E-2</c:v>
                </c:pt>
                <c:pt idx="25">
                  <c:v>4.3999999999999997E-2</c:v>
                </c:pt>
                <c:pt idx="26">
                  <c:v>4.5999999999999999E-2</c:v>
                </c:pt>
                <c:pt idx="27">
                  <c:v>0.17100000000000001</c:v>
                </c:pt>
                <c:pt idx="28">
                  <c:v>5.5E-2</c:v>
                </c:pt>
                <c:pt idx="29">
                  <c:v>4.3999999999999997E-2</c:v>
                </c:pt>
                <c:pt idx="30">
                  <c:v>4.4999999999999998E-2</c:v>
                </c:pt>
                <c:pt idx="32">
                  <c:v>5.1999999999999998E-2</c:v>
                </c:pt>
                <c:pt idx="33">
                  <c:v>5.3999999999999999E-2</c:v>
                </c:pt>
                <c:pt idx="34">
                  <c:v>5.0999999999999997E-2</c:v>
                </c:pt>
                <c:pt idx="35">
                  <c:v>9.4E-2</c:v>
                </c:pt>
                <c:pt idx="36">
                  <c:v>6.3E-2</c:v>
                </c:pt>
                <c:pt idx="38">
                  <c:v>4.9000000000000002E-2</c:v>
                </c:pt>
                <c:pt idx="39">
                  <c:v>4.9000000000000002E-2</c:v>
                </c:pt>
                <c:pt idx="40">
                  <c:v>5.5E-2</c:v>
                </c:pt>
                <c:pt idx="41">
                  <c:v>0.06</c:v>
                </c:pt>
                <c:pt idx="42">
                  <c:v>6.4000000000000001E-2</c:v>
                </c:pt>
                <c:pt idx="43">
                  <c:v>8.6999999999999994E-2</c:v>
                </c:pt>
                <c:pt idx="45">
                  <c:v>8.2000000000000003E-2</c:v>
                </c:pt>
                <c:pt idx="46">
                  <c:v>0.11700000000000001</c:v>
                </c:pt>
                <c:pt idx="47">
                  <c:v>0.14399999999999999</c:v>
                </c:pt>
                <c:pt idx="48">
                  <c:v>0.125</c:v>
                </c:pt>
                <c:pt idx="49">
                  <c:v>0.13800000000000001</c:v>
                </c:pt>
                <c:pt idx="50">
                  <c:v>0.14000000000000001</c:v>
                </c:pt>
                <c:pt idx="51">
                  <c:v>0.218</c:v>
                </c:pt>
                <c:pt idx="52">
                  <c:v>0.218</c:v>
                </c:pt>
                <c:pt idx="53">
                  <c:v>0.23799999999999999</c:v>
                </c:pt>
                <c:pt idx="54">
                  <c:v>0.27100000000000002</c:v>
                </c:pt>
                <c:pt idx="55">
                  <c:v>0.27400000000000002</c:v>
                </c:pt>
                <c:pt idx="57">
                  <c:v>0.124</c:v>
                </c:pt>
                <c:pt idx="58">
                  <c:v>0.20200000000000001</c:v>
                </c:pt>
                <c:pt idx="59">
                  <c:v>0.152</c:v>
                </c:pt>
                <c:pt idx="60">
                  <c:v>7.0000000000000007E-2</c:v>
                </c:pt>
                <c:pt idx="61">
                  <c:v>6.8000000000000005E-2</c:v>
                </c:pt>
                <c:pt idx="62">
                  <c:v>6.5000000000000002E-2</c:v>
                </c:pt>
                <c:pt idx="63">
                  <c:v>6.2E-2</c:v>
                </c:pt>
                <c:pt idx="64">
                  <c:v>5.7000000000000002E-2</c:v>
                </c:pt>
                <c:pt idx="66">
                  <c:v>6.7000000000000004E-2</c:v>
                </c:pt>
                <c:pt idx="67">
                  <c:v>0.10299999999999999</c:v>
                </c:pt>
                <c:pt idx="68">
                  <c:v>0.14199999999999999</c:v>
                </c:pt>
                <c:pt idx="69">
                  <c:v>6.4000000000000001E-2</c:v>
                </c:pt>
                <c:pt idx="70">
                  <c:v>7.2999999999999995E-2</c:v>
                </c:pt>
                <c:pt idx="71">
                  <c:v>6.5000000000000002E-2</c:v>
                </c:pt>
                <c:pt idx="72">
                  <c:v>6.2E-2</c:v>
                </c:pt>
                <c:pt idx="74">
                  <c:v>0.107</c:v>
                </c:pt>
                <c:pt idx="75">
                  <c:v>6.8000000000000005E-2</c:v>
                </c:pt>
                <c:pt idx="76">
                  <c:v>7.2999999999999995E-2</c:v>
                </c:pt>
                <c:pt idx="77">
                  <c:v>5.2999999999999999E-2</c:v>
                </c:pt>
                <c:pt idx="78">
                  <c:v>8.1000000000000003E-2</c:v>
                </c:pt>
                <c:pt idx="79">
                  <c:v>8.2000000000000003E-2</c:v>
                </c:pt>
                <c:pt idx="80">
                  <c:v>6.3E-2</c:v>
                </c:pt>
                <c:pt idx="81">
                  <c:v>5.7000000000000002E-2</c:v>
                </c:pt>
                <c:pt idx="82">
                  <c:v>6.4000000000000001E-2</c:v>
                </c:pt>
                <c:pt idx="83">
                  <c:v>5.8999999999999997E-2</c:v>
                </c:pt>
                <c:pt idx="84">
                  <c:v>6.4000000000000001E-2</c:v>
                </c:pt>
                <c:pt idx="85">
                  <c:v>5.8999999999999997E-2</c:v>
                </c:pt>
                <c:pt idx="86">
                  <c:v>6.7000000000000004E-2</c:v>
                </c:pt>
                <c:pt idx="88">
                  <c:v>5.3999999999999999E-2</c:v>
                </c:pt>
                <c:pt idx="89">
                  <c:v>7.8E-2</c:v>
                </c:pt>
                <c:pt idx="90">
                  <c:v>6.7000000000000004E-2</c:v>
                </c:pt>
                <c:pt idx="91">
                  <c:v>6.6000000000000003E-2</c:v>
                </c:pt>
                <c:pt idx="92">
                  <c:v>5.8999999999999997E-2</c:v>
                </c:pt>
                <c:pt idx="93">
                  <c:v>5.7000000000000002E-2</c:v>
                </c:pt>
                <c:pt idx="94">
                  <c:v>5.0999999999999997E-2</c:v>
                </c:pt>
                <c:pt idx="95">
                  <c:v>7.0999999999999994E-2</c:v>
                </c:pt>
                <c:pt idx="96">
                  <c:v>7.4999999999999997E-2</c:v>
                </c:pt>
                <c:pt idx="97">
                  <c:v>6.3E-2</c:v>
                </c:pt>
                <c:pt idx="98">
                  <c:v>0.05</c:v>
                </c:pt>
                <c:pt idx="99">
                  <c:v>5.2999999999999999E-2</c:v>
                </c:pt>
                <c:pt idx="100">
                  <c:v>5.8999999999999997E-2</c:v>
                </c:pt>
                <c:pt idx="101">
                  <c:v>5.1999999999999998E-2</c:v>
                </c:pt>
                <c:pt idx="102">
                  <c:v>5.8999999999999997E-2</c:v>
                </c:pt>
                <c:pt idx="103">
                  <c:v>0.06</c:v>
                </c:pt>
                <c:pt idx="104">
                  <c:v>0.05</c:v>
                </c:pt>
                <c:pt idx="105">
                  <c:v>4.8000000000000001E-2</c:v>
                </c:pt>
                <c:pt idx="106">
                  <c:v>4.7E-2</c:v>
                </c:pt>
                <c:pt idx="107">
                  <c:v>4.8000000000000001E-2</c:v>
                </c:pt>
                <c:pt idx="108">
                  <c:v>5.6000000000000001E-2</c:v>
                </c:pt>
                <c:pt idx="109">
                  <c:v>5.6000000000000001E-2</c:v>
                </c:pt>
                <c:pt idx="110">
                  <c:v>6.9000000000000006E-2</c:v>
                </c:pt>
                <c:pt idx="111">
                  <c:v>7.0000000000000007E-2</c:v>
                </c:pt>
                <c:pt idx="112">
                  <c:v>0.05</c:v>
                </c:pt>
                <c:pt idx="113">
                  <c:v>4.9000000000000002E-2</c:v>
                </c:pt>
                <c:pt idx="114">
                  <c:v>0.05</c:v>
                </c:pt>
                <c:pt idx="115">
                  <c:v>0.05</c:v>
                </c:pt>
                <c:pt idx="116">
                  <c:v>4.7E-2</c:v>
                </c:pt>
                <c:pt idx="117">
                  <c:v>6.2E-2</c:v>
                </c:pt>
                <c:pt idx="118">
                  <c:v>5.7000000000000002E-2</c:v>
                </c:pt>
                <c:pt idx="119">
                  <c:v>5.1999999999999998E-2</c:v>
                </c:pt>
                <c:pt idx="120">
                  <c:v>5.0999999999999997E-2</c:v>
                </c:pt>
                <c:pt idx="121">
                  <c:v>4.7E-2</c:v>
                </c:pt>
                <c:pt idx="124">
                  <c:v>2.4E-2</c:v>
                </c:pt>
                <c:pt idx="125">
                  <c:v>1.4E-2</c:v>
                </c:pt>
                <c:pt idx="126">
                  <c:v>8.8999999999999996E-2</c:v>
                </c:pt>
                <c:pt idx="127">
                  <c:v>0.09</c:v>
                </c:pt>
                <c:pt idx="128">
                  <c:v>8.1000000000000003E-2</c:v>
                </c:pt>
                <c:pt idx="129">
                  <c:v>7.3999999999999996E-2</c:v>
                </c:pt>
                <c:pt idx="131">
                  <c:v>9.2999999999999999E-2</c:v>
                </c:pt>
                <c:pt idx="132">
                  <c:v>9.7000000000000003E-2</c:v>
                </c:pt>
                <c:pt idx="133">
                  <c:v>8.5999999999999993E-2</c:v>
                </c:pt>
                <c:pt idx="134">
                  <c:v>7.1999999999999995E-2</c:v>
                </c:pt>
                <c:pt idx="135">
                  <c:v>7.1999999999999995E-2</c:v>
                </c:pt>
                <c:pt idx="136">
                  <c:v>8.6999999999999994E-2</c:v>
                </c:pt>
                <c:pt idx="137">
                  <c:v>8.6999999999999994E-2</c:v>
                </c:pt>
                <c:pt idx="138">
                  <c:v>8.4000000000000005E-2</c:v>
                </c:pt>
                <c:pt idx="139">
                  <c:v>7.6999999999999999E-2</c:v>
                </c:pt>
                <c:pt idx="140">
                  <c:v>9.7000000000000003E-2</c:v>
                </c:pt>
                <c:pt idx="141">
                  <c:v>0.108</c:v>
                </c:pt>
                <c:pt idx="142">
                  <c:v>0.107</c:v>
                </c:pt>
                <c:pt idx="144">
                  <c:v>0.14699999999999999</c:v>
                </c:pt>
                <c:pt idx="145">
                  <c:v>0.129</c:v>
                </c:pt>
                <c:pt idx="146">
                  <c:v>9.6000000000000002E-2</c:v>
                </c:pt>
                <c:pt idx="147">
                  <c:v>8.5999999999999993E-2</c:v>
                </c:pt>
                <c:pt idx="148">
                  <c:v>7.0999999999999994E-2</c:v>
                </c:pt>
                <c:pt idx="149">
                  <c:v>6.4000000000000001E-2</c:v>
                </c:pt>
                <c:pt idx="150">
                  <c:v>0.124</c:v>
                </c:pt>
                <c:pt idx="151">
                  <c:v>0.1</c:v>
                </c:pt>
                <c:pt idx="152">
                  <c:v>8.8999999999999996E-2</c:v>
                </c:pt>
                <c:pt idx="153">
                  <c:v>0.08</c:v>
                </c:pt>
                <c:pt idx="154">
                  <c:v>7.8E-2</c:v>
                </c:pt>
                <c:pt idx="155">
                  <c:v>7.2999999999999995E-2</c:v>
                </c:pt>
                <c:pt idx="156">
                  <c:v>9.4E-2</c:v>
                </c:pt>
                <c:pt idx="157">
                  <c:v>7.1999999999999995E-2</c:v>
                </c:pt>
                <c:pt idx="158">
                  <c:v>0.10199999999999999</c:v>
                </c:pt>
                <c:pt idx="159">
                  <c:v>0.13200000000000001</c:v>
                </c:pt>
                <c:pt idx="161">
                  <c:v>0.17399999999999999</c:v>
                </c:pt>
                <c:pt idx="162">
                  <c:v>0.10199999999999999</c:v>
                </c:pt>
                <c:pt idx="163">
                  <c:v>8.5999999999999993E-2</c:v>
                </c:pt>
                <c:pt idx="164">
                  <c:v>6.8000000000000005E-2</c:v>
                </c:pt>
                <c:pt idx="166">
                  <c:v>6.9000000000000006E-2</c:v>
                </c:pt>
                <c:pt idx="167">
                  <c:v>6.8000000000000005E-2</c:v>
                </c:pt>
                <c:pt idx="168">
                  <c:v>7.3999999999999996E-2</c:v>
                </c:pt>
                <c:pt idx="169">
                  <c:v>8.8999999999999996E-2</c:v>
                </c:pt>
                <c:pt idx="170">
                  <c:v>8.2000000000000003E-2</c:v>
                </c:pt>
                <c:pt idx="171">
                  <c:v>7.0000000000000007E-2</c:v>
                </c:pt>
                <c:pt idx="173">
                  <c:v>7.0000000000000007E-2</c:v>
                </c:pt>
                <c:pt idx="174">
                  <c:v>0.107</c:v>
                </c:pt>
                <c:pt idx="176">
                  <c:v>7.4999999999999997E-2</c:v>
                </c:pt>
                <c:pt idx="177">
                  <c:v>7.0999999999999994E-2</c:v>
                </c:pt>
                <c:pt idx="178">
                  <c:v>8.1000000000000003E-2</c:v>
                </c:pt>
                <c:pt idx="179">
                  <c:v>0.107</c:v>
                </c:pt>
                <c:pt idx="180">
                  <c:v>0.108</c:v>
                </c:pt>
                <c:pt idx="181">
                  <c:v>8.5999999999999993E-2</c:v>
                </c:pt>
                <c:pt idx="182">
                  <c:v>7.4999999999999997E-2</c:v>
                </c:pt>
                <c:pt idx="184">
                  <c:v>8.5999999999999993E-2</c:v>
                </c:pt>
                <c:pt idx="185">
                  <c:v>7.0000000000000007E-2</c:v>
                </c:pt>
                <c:pt idx="186">
                  <c:v>7.0999999999999994E-2</c:v>
                </c:pt>
                <c:pt idx="187">
                  <c:v>8.1000000000000003E-2</c:v>
                </c:pt>
                <c:pt idx="188">
                  <c:v>8.7999999999999995E-2</c:v>
                </c:pt>
                <c:pt idx="189">
                  <c:v>9.4E-2</c:v>
                </c:pt>
                <c:pt idx="190">
                  <c:v>2.8923700000000001</c:v>
                </c:pt>
                <c:pt idx="191">
                  <c:v>2.2337699999999998</c:v>
                </c:pt>
                <c:pt idx="192">
                  <c:v>5.2548899999999996</c:v>
                </c:pt>
                <c:pt idx="193">
                  <c:v>46.883600000000001</c:v>
                </c:pt>
                <c:pt idx="194">
                  <c:v>9.2858099999999997</c:v>
                </c:pt>
                <c:pt idx="195">
                  <c:v>5.5248100000000004</c:v>
                </c:pt>
                <c:pt idx="196">
                  <c:v>1.7272700000000001</c:v>
                </c:pt>
                <c:pt idx="197">
                  <c:v>38.6218</c:v>
                </c:pt>
                <c:pt idx="198">
                  <c:v>2.5831499999999998</c:v>
                </c:pt>
                <c:pt idx="199">
                  <c:v>2.7246199999999998</c:v>
                </c:pt>
                <c:pt idx="200">
                  <c:v>1.51613</c:v>
                </c:pt>
                <c:pt idx="201">
                  <c:v>4.7841800000000001</c:v>
                </c:pt>
                <c:pt idx="202">
                  <c:v>3.2092800000000001</c:v>
                </c:pt>
                <c:pt idx="203">
                  <c:v>3.28695</c:v>
                </c:pt>
                <c:pt idx="204">
                  <c:v>17.674299999999999</c:v>
                </c:pt>
                <c:pt idx="205">
                  <c:v>2.9007999999999998</c:v>
                </c:pt>
                <c:pt idx="206">
                  <c:v>4.1087199999999999</c:v>
                </c:pt>
                <c:pt idx="207">
                  <c:v>3.29589</c:v>
                </c:pt>
                <c:pt idx="208">
                  <c:v>0.477022</c:v>
                </c:pt>
                <c:pt idx="209">
                  <c:v>0.66200099999999995</c:v>
                </c:pt>
                <c:pt idx="210">
                  <c:v>1.73725</c:v>
                </c:pt>
                <c:pt idx="211">
                  <c:v>0.12015000000000001</c:v>
                </c:pt>
                <c:pt idx="212">
                  <c:v>6.9890900000000006E-2</c:v>
                </c:pt>
                <c:pt idx="213">
                  <c:v>5.1403799999999999E-2</c:v>
                </c:pt>
                <c:pt idx="214">
                  <c:v>8.0802299999999994E-2</c:v>
                </c:pt>
                <c:pt idx="215">
                  <c:v>0.45765499999999998</c:v>
                </c:pt>
                <c:pt idx="216">
                  <c:v>7.0953000000000002E-2</c:v>
                </c:pt>
                <c:pt idx="217">
                  <c:v>0.329457</c:v>
                </c:pt>
                <c:pt idx="220">
                  <c:v>9.0477299999999997E-2</c:v>
                </c:pt>
                <c:pt idx="221">
                  <c:v>6.09875E-2</c:v>
                </c:pt>
                <c:pt idx="222">
                  <c:v>6.6190100000000002E-2</c:v>
                </c:pt>
                <c:pt idx="223">
                  <c:v>3.2601400000000003E-2</c:v>
                </c:pt>
                <c:pt idx="224">
                  <c:v>7.0521500000000001E-2</c:v>
                </c:pt>
                <c:pt idx="225">
                  <c:v>6.02573E-2</c:v>
                </c:pt>
                <c:pt idx="226">
                  <c:v>4.7935400000000003E-2</c:v>
                </c:pt>
                <c:pt idx="227">
                  <c:v>4.1313900000000001E-2</c:v>
                </c:pt>
                <c:pt idx="228">
                  <c:v>3.5132099999999999E-2</c:v>
                </c:pt>
                <c:pt idx="229">
                  <c:v>9.0726200000000007E-2</c:v>
                </c:pt>
                <c:pt idx="230">
                  <c:v>8.0503500000000006E-2</c:v>
                </c:pt>
                <c:pt idx="231">
                  <c:v>4.4010599999999997E-2</c:v>
                </c:pt>
                <c:pt idx="232">
                  <c:v>3.1920999999999998E-2</c:v>
                </c:pt>
                <c:pt idx="233">
                  <c:v>5.9568599999999999E-2</c:v>
                </c:pt>
                <c:pt idx="234">
                  <c:v>3.4476600000000003E-2</c:v>
                </c:pt>
                <c:pt idx="235">
                  <c:v>4.5595400000000001E-2</c:v>
                </c:pt>
                <c:pt idx="236">
                  <c:v>1.8916200000000001</c:v>
                </c:pt>
                <c:pt idx="237">
                  <c:v>58.468400000000003</c:v>
                </c:pt>
                <c:pt idx="238">
                  <c:v>4.7246700000000003E-2</c:v>
                </c:pt>
                <c:pt idx="239">
                  <c:v>2.9025100000000002E-2</c:v>
                </c:pt>
                <c:pt idx="240">
                  <c:v>1.0841499999999999</c:v>
                </c:pt>
                <c:pt idx="241">
                  <c:v>5.9709699999999997E-2</c:v>
                </c:pt>
                <c:pt idx="242">
                  <c:v>3.7978199999999997E-2</c:v>
                </c:pt>
                <c:pt idx="243">
                  <c:v>24.039000000000001</c:v>
                </c:pt>
                <c:pt idx="244">
                  <c:v>0.112035</c:v>
                </c:pt>
                <c:pt idx="245">
                  <c:v>0.19500200000000001</c:v>
                </c:pt>
                <c:pt idx="246">
                  <c:v>3.25101E-2</c:v>
                </c:pt>
                <c:pt idx="247">
                  <c:v>0.74472799999999995</c:v>
                </c:pt>
                <c:pt idx="248">
                  <c:v>7.4172500000000002E-2</c:v>
                </c:pt>
                <c:pt idx="249">
                  <c:v>6.6521999999999998E-2</c:v>
                </c:pt>
                <c:pt idx="250">
                  <c:v>5.0673599999999999E-2</c:v>
                </c:pt>
                <c:pt idx="251">
                  <c:v>5.0474400000000003E-2</c:v>
                </c:pt>
                <c:pt idx="252">
                  <c:v>0.12862100000000001</c:v>
                </c:pt>
                <c:pt idx="253">
                  <c:v>7.1459099999999998E-2</c:v>
                </c:pt>
                <c:pt idx="254">
                  <c:v>5.9950299999999998E-2</c:v>
                </c:pt>
                <c:pt idx="255">
                  <c:v>28.199100000000001</c:v>
                </c:pt>
                <c:pt idx="256">
                  <c:v>5.12793E-2</c:v>
                </c:pt>
                <c:pt idx="257">
                  <c:v>8.03957E-2</c:v>
                </c:pt>
                <c:pt idx="258">
                  <c:v>9.51322E-2</c:v>
                </c:pt>
                <c:pt idx="259">
                  <c:v>0.14078599999999999</c:v>
                </c:pt>
                <c:pt idx="260">
                  <c:v>6.4638500000000002E-2</c:v>
                </c:pt>
                <c:pt idx="261">
                  <c:v>6.1261299999999998E-2</c:v>
                </c:pt>
                <c:pt idx="262">
                  <c:v>4.6649200000000002E-2</c:v>
                </c:pt>
                <c:pt idx="263">
                  <c:v>2.72079E-2</c:v>
                </c:pt>
                <c:pt idx="264">
                  <c:v>2.7929800000000001E-2</c:v>
                </c:pt>
                <c:pt idx="265">
                  <c:v>4.3969099999999997E-2</c:v>
                </c:pt>
                <c:pt idx="266">
                  <c:v>2.9132999999999999E-2</c:v>
                </c:pt>
                <c:pt idx="267">
                  <c:v>3.0626500000000001E-2</c:v>
                </c:pt>
                <c:pt idx="268">
                  <c:v>6.3244499999999995E-2</c:v>
                </c:pt>
                <c:pt idx="269">
                  <c:v>3.1796499999999998E-2</c:v>
                </c:pt>
                <c:pt idx="270">
                  <c:v>2.45942E-2</c:v>
                </c:pt>
                <c:pt idx="271">
                  <c:v>3.0767599999999999E-2</c:v>
                </c:pt>
                <c:pt idx="272">
                  <c:v>3.4194500000000003E-2</c:v>
                </c:pt>
                <c:pt idx="273">
                  <c:v>0.12497</c:v>
                </c:pt>
                <c:pt idx="274">
                  <c:v>4.6599500000000002E-2</c:v>
                </c:pt>
                <c:pt idx="275">
                  <c:v>2.7879999999999999E-2</c:v>
                </c:pt>
                <c:pt idx="276">
                  <c:v>2.76145E-2</c:v>
                </c:pt>
                <c:pt idx="277">
                  <c:v>2.57475E-2</c:v>
                </c:pt>
                <c:pt idx="278">
                  <c:v>6.8247600000000004</c:v>
                </c:pt>
                <c:pt idx="279">
                  <c:v>0.29956899999999997</c:v>
                </c:pt>
                <c:pt idx="280">
                  <c:v>3.0078899999999999E-2</c:v>
                </c:pt>
                <c:pt idx="281">
                  <c:v>4.7628400000000001E-2</c:v>
                </c:pt>
                <c:pt idx="282">
                  <c:v>3.0261400000000001E-2</c:v>
                </c:pt>
                <c:pt idx="283">
                  <c:v>6.3833600000000004E-2</c:v>
                </c:pt>
                <c:pt idx="284">
                  <c:v>3.1174199999999999E-2</c:v>
                </c:pt>
                <c:pt idx="285">
                  <c:v>3.9463499999999999E-2</c:v>
                </c:pt>
                <c:pt idx="286">
                  <c:v>5.1412100000000002E-2</c:v>
                </c:pt>
                <c:pt idx="287">
                  <c:v>3.11244E-2</c:v>
                </c:pt>
                <c:pt idx="288">
                  <c:v>3.5298099999999999E-2</c:v>
                </c:pt>
                <c:pt idx="289">
                  <c:v>3.2659399999999998E-2</c:v>
                </c:pt>
                <c:pt idx="290">
                  <c:v>2.9597600000000002E-2</c:v>
                </c:pt>
                <c:pt idx="291">
                  <c:v>3.58208E-2</c:v>
                </c:pt>
                <c:pt idx="292">
                  <c:v>4.0732999999999998E-2</c:v>
                </c:pt>
                <c:pt idx="293">
                  <c:v>0.161439</c:v>
                </c:pt>
                <c:pt idx="294">
                  <c:v>3.7347600000000002E-2</c:v>
                </c:pt>
                <c:pt idx="295">
                  <c:v>0.12953400000000001</c:v>
                </c:pt>
                <c:pt idx="296">
                  <c:v>3.8559099999999999E-2</c:v>
                </c:pt>
                <c:pt idx="297">
                  <c:v>8.8834399999999994E-2</c:v>
                </c:pt>
                <c:pt idx="298">
                  <c:v>3.6700400000000001E-2</c:v>
                </c:pt>
                <c:pt idx="299">
                  <c:v>6.0439899999999998E-2</c:v>
                </c:pt>
                <c:pt idx="300">
                  <c:v>6.1916899999999997E-2</c:v>
                </c:pt>
                <c:pt idx="301">
                  <c:v>2.8087500000000001E-2</c:v>
                </c:pt>
                <c:pt idx="302">
                  <c:v>2.8950400000000001E-2</c:v>
                </c:pt>
                <c:pt idx="303">
                  <c:v>4.1903000000000003E-2</c:v>
                </c:pt>
                <c:pt idx="304">
                  <c:v>0.101538</c:v>
                </c:pt>
                <c:pt idx="305">
                  <c:v>0.108865</c:v>
                </c:pt>
                <c:pt idx="306">
                  <c:v>3.9197999999999997E-2</c:v>
                </c:pt>
                <c:pt idx="307">
                  <c:v>7.6860899999999996E-2</c:v>
                </c:pt>
                <c:pt idx="308">
                  <c:v>0.52343099999999998</c:v>
                </c:pt>
                <c:pt idx="309">
                  <c:v>1.36771</c:v>
                </c:pt>
                <c:pt idx="310">
                  <c:v>5.4722800000000002E-2</c:v>
                </c:pt>
                <c:pt idx="311">
                  <c:v>0.62661999999999995</c:v>
                </c:pt>
                <c:pt idx="312">
                  <c:v>3.2244599999999998E-2</c:v>
                </c:pt>
                <c:pt idx="313">
                  <c:v>2.7722400000000001E-2</c:v>
                </c:pt>
                <c:pt idx="314">
                  <c:v>0.16014400000000001</c:v>
                </c:pt>
                <c:pt idx="315">
                  <c:v>3.4169600000000001E-2</c:v>
                </c:pt>
                <c:pt idx="316">
                  <c:v>6.3675999999999996E-2</c:v>
                </c:pt>
                <c:pt idx="317">
                  <c:v>0.54943500000000001</c:v>
                </c:pt>
                <c:pt idx="318">
                  <c:v>6.1742600000000002E-2</c:v>
                </c:pt>
                <c:pt idx="319">
                  <c:v>0.154668</c:v>
                </c:pt>
                <c:pt idx="320">
                  <c:v>3.8857799999999998E-2</c:v>
                </c:pt>
                <c:pt idx="321">
                  <c:v>4.8192600000000002E-2</c:v>
                </c:pt>
                <c:pt idx="322">
                  <c:v>2.81123E-2</c:v>
                </c:pt>
                <c:pt idx="323">
                  <c:v>2.9929500000000001E-2</c:v>
                </c:pt>
                <c:pt idx="324">
                  <c:v>14.155900000000001</c:v>
                </c:pt>
                <c:pt idx="325">
                  <c:v>0.12044100000000001</c:v>
                </c:pt>
                <c:pt idx="326">
                  <c:v>4.6294599999999998E-2</c:v>
                </c:pt>
                <c:pt idx="327">
                  <c:v>5.00916E-2</c:v>
                </c:pt>
                <c:pt idx="328">
                  <c:v>0.24518000000000001</c:v>
                </c:pt>
                <c:pt idx="329">
                  <c:v>0.38773600000000003</c:v>
                </c:pt>
                <c:pt idx="330">
                  <c:v>4.2320200000000002E-2</c:v>
                </c:pt>
                <c:pt idx="331">
                  <c:v>5.7143300000000001E-2</c:v>
                </c:pt>
                <c:pt idx="332">
                  <c:v>4.4844599999999998E-2</c:v>
                </c:pt>
                <c:pt idx="333">
                  <c:v>4.3311200000000001E-2</c:v>
                </c:pt>
                <c:pt idx="334">
                  <c:v>4.3676300000000001E-2</c:v>
                </c:pt>
                <c:pt idx="335">
                  <c:v>4.1151899999999998E-2</c:v>
                </c:pt>
                <c:pt idx="336">
                  <c:v>4.1819500000000003E-2</c:v>
                </c:pt>
                <c:pt idx="337">
                  <c:v>3.9389E-2</c:v>
                </c:pt>
                <c:pt idx="338">
                  <c:v>3.3557900000000002E-2</c:v>
                </c:pt>
                <c:pt idx="339">
                  <c:v>3.6280399999999997E-2</c:v>
                </c:pt>
                <c:pt idx="340">
                  <c:v>5.3398399999999999E-2</c:v>
                </c:pt>
                <c:pt idx="341">
                  <c:v>3.3902099999999998E-2</c:v>
                </c:pt>
                <c:pt idx="342">
                  <c:v>5.74666E-2</c:v>
                </c:pt>
                <c:pt idx="343">
                  <c:v>4.0588600000000002E-2</c:v>
                </c:pt>
                <c:pt idx="344">
                  <c:v>4.2800100000000001E-2</c:v>
                </c:pt>
                <c:pt idx="345">
                  <c:v>6.9087200000000001E-2</c:v>
                </c:pt>
                <c:pt idx="346">
                  <c:v>0.608954</c:v>
                </c:pt>
                <c:pt idx="347">
                  <c:v>5.2157099999999998E-2</c:v>
                </c:pt>
                <c:pt idx="348">
                  <c:v>8.34096E-2</c:v>
                </c:pt>
                <c:pt idx="349">
                  <c:v>4.1527399999999999E-2</c:v>
                </c:pt>
                <c:pt idx="350">
                  <c:v>0.15135999999999999</c:v>
                </c:pt>
                <c:pt idx="351">
                  <c:v>4.5282799999999998E-2</c:v>
                </c:pt>
                <c:pt idx="352">
                  <c:v>6.14619E-2</c:v>
                </c:pt>
                <c:pt idx="353">
                  <c:v>8.4650900000000001E-2</c:v>
                </c:pt>
                <c:pt idx="354">
                  <c:v>0.31038700000000002</c:v>
                </c:pt>
                <c:pt idx="355">
                  <c:v>8.1771800000000006E-2</c:v>
                </c:pt>
                <c:pt idx="356">
                  <c:v>9.3726199999999996E-2</c:v>
                </c:pt>
                <c:pt idx="357">
                  <c:v>9.8848099999999994E-2</c:v>
                </c:pt>
                <c:pt idx="358">
                  <c:v>5.8436799999999997E-2</c:v>
                </c:pt>
                <c:pt idx="360">
                  <c:v>4.3676300000000001E-2</c:v>
                </c:pt>
                <c:pt idx="361">
                  <c:v>0.12992300000000001</c:v>
                </c:pt>
                <c:pt idx="362">
                  <c:v>4.4041400000000001E-2</c:v>
                </c:pt>
                <c:pt idx="363">
                  <c:v>0.149253</c:v>
                </c:pt>
                <c:pt idx="364">
                  <c:v>0.19014400000000001</c:v>
                </c:pt>
              </c:numCache>
            </c:numRef>
          </c:val>
        </c:ser>
        <c:ser>
          <c:idx val="2"/>
          <c:order val="2"/>
          <c:tx>
            <c:v>2011 Filtered Water</c:v>
          </c:tx>
          <c:spPr>
            <a:ln w="19050">
              <a:solidFill>
                <a:srgbClr val="00B0F0"/>
              </a:solidFill>
            </a:ln>
          </c:spPr>
          <c:marker>
            <c:symbol val="none"/>
          </c:marker>
          <c:val>
            <c:numRef>
              <c:f>Current!$B$2:$B$366</c:f>
              <c:numCache>
                <c:formatCode>0.000</c:formatCode>
                <c:ptCount val="365"/>
                <c:pt idx="0">
                  <c:v>6.7000000000000004E-2</c:v>
                </c:pt>
                <c:pt idx="1">
                  <c:v>6.3E-2</c:v>
                </c:pt>
                <c:pt idx="2">
                  <c:v>6.2E-2</c:v>
                </c:pt>
                <c:pt idx="3">
                  <c:v>8.2000000000000003E-2</c:v>
                </c:pt>
                <c:pt idx="4">
                  <c:v>7.4999999999999997E-2</c:v>
                </c:pt>
                <c:pt idx="5">
                  <c:v>7.2999999999999995E-2</c:v>
                </c:pt>
                <c:pt idx="6">
                  <c:v>7.0000000000000007E-2</c:v>
                </c:pt>
                <c:pt idx="8">
                  <c:v>8.8999999999999996E-2</c:v>
                </c:pt>
                <c:pt idx="9">
                  <c:v>8.1000000000000003E-2</c:v>
                </c:pt>
                <c:pt idx="10">
                  <c:v>6.2E-2</c:v>
                </c:pt>
                <c:pt idx="11">
                  <c:v>0.14000000000000001</c:v>
                </c:pt>
                <c:pt idx="12">
                  <c:v>9.5000000000000001E-2</c:v>
                </c:pt>
                <c:pt idx="14">
                  <c:v>5.1999999999999998E-2</c:v>
                </c:pt>
                <c:pt idx="15">
                  <c:v>4.8000000000000001E-2</c:v>
                </c:pt>
                <c:pt idx="16">
                  <c:v>5.5E-2</c:v>
                </c:pt>
                <c:pt idx="17">
                  <c:v>5.2999999999999999E-2</c:v>
                </c:pt>
                <c:pt idx="18">
                  <c:v>4.8000000000000001E-2</c:v>
                </c:pt>
                <c:pt idx="19">
                  <c:v>4.5999999999999999E-2</c:v>
                </c:pt>
                <c:pt idx="20">
                  <c:v>0.11700000000000001</c:v>
                </c:pt>
                <c:pt idx="21">
                  <c:v>4.3999999999999997E-2</c:v>
                </c:pt>
                <c:pt idx="22">
                  <c:v>4.2999999999999997E-2</c:v>
                </c:pt>
                <c:pt idx="23">
                  <c:v>4.2000000000000003E-2</c:v>
                </c:pt>
                <c:pt idx="24">
                  <c:v>5.3999999999999999E-2</c:v>
                </c:pt>
                <c:pt idx="25">
                  <c:v>4.8000000000000001E-2</c:v>
                </c:pt>
                <c:pt idx="26">
                  <c:v>4.5999999999999999E-2</c:v>
                </c:pt>
                <c:pt idx="27">
                  <c:v>4.9000000000000002E-2</c:v>
                </c:pt>
                <c:pt idx="28">
                  <c:v>4.5999999999999999E-2</c:v>
                </c:pt>
                <c:pt idx="29">
                  <c:v>4.4999999999999998E-2</c:v>
                </c:pt>
                <c:pt idx="30">
                  <c:v>5.8999999999999997E-2</c:v>
                </c:pt>
                <c:pt idx="31">
                  <c:v>5.6000000000000001E-2</c:v>
                </c:pt>
                <c:pt idx="32">
                  <c:v>5.8999999999999997E-2</c:v>
                </c:pt>
                <c:pt idx="33">
                  <c:v>4.5999999999999999E-2</c:v>
                </c:pt>
                <c:pt idx="34">
                  <c:v>0.05</c:v>
                </c:pt>
                <c:pt idx="35">
                  <c:v>4.9000000000000002E-2</c:v>
                </c:pt>
                <c:pt idx="36">
                  <c:v>5.0999999999999997E-2</c:v>
                </c:pt>
                <c:pt idx="37">
                  <c:v>0.05</c:v>
                </c:pt>
                <c:pt idx="38">
                  <c:v>4.9000000000000002E-2</c:v>
                </c:pt>
                <c:pt idx="39">
                  <c:v>0.05</c:v>
                </c:pt>
                <c:pt idx="40">
                  <c:v>5.0999999999999997E-2</c:v>
                </c:pt>
                <c:pt idx="41">
                  <c:v>5.5E-2</c:v>
                </c:pt>
                <c:pt idx="42">
                  <c:v>5.8999999999999997E-2</c:v>
                </c:pt>
                <c:pt idx="44">
                  <c:v>5.5E-2</c:v>
                </c:pt>
                <c:pt idx="45">
                  <c:v>5.7000000000000002E-2</c:v>
                </c:pt>
                <c:pt idx="46">
                  <c:v>5.0999999999999997E-2</c:v>
                </c:pt>
                <c:pt idx="47">
                  <c:v>5.7000000000000002E-2</c:v>
                </c:pt>
                <c:pt idx="48">
                  <c:v>5.2999999999999999E-2</c:v>
                </c:pt>
                <c:pt idx="49">
                  <c:v>5.8000000000000003E-2</c:v>
                </c:pt>
                <c:pt idx="50">
                  <c:v>4.9000000000000002E-2</c:v>
                </c:pt>
                <c:pt idx="51">
                  <c:v>8.1000000000000003E-2</c:v>
                </c:pt>
                <c:pt idx="52">
                  <c:v>9.2999999999999999E-2</c:v>
                </c:pt>
                <c:pt idx="53">
                  <c:v>6.5000000000000002E-2</c:v>
                </c:pt>
                <c:pt idx="54">
                  <c:v>5.7000000000000002E-2</c:v>
                </c:pt>
                <c:pt idx="55">
                  <c:v>5.5E-2</c:v>
                </c:pt>
                <c:pt idx="56">
                  <c:v>5.8000000000000003E-2</c:v>
                </c:pt>
                <c:pt idx="57">
                  <c:v>4.9000000000000002E-2</c:v>
                </c:pt>
                <c:pt idx="58">
                  <c:v>4.7E-2</c:v>
                </c:pt>
                <c:pt idx="59">
                  <c:v>4.8000000000000001E-2</c:v>
                </c:pt>
                <c:pt idx="60">
                  <c:v>6.5000000000000002E-2</c:v>
                </c:pt>
                <c:pt idx="61">
                  <c:v>4.8000000000000001E-2</c:v>
                </c:pt>
                <c:pt idx="62">
                  <c:v>4.5999999999999999E-2</c:v>
                </c:pt>
                <c:pt idx="63">
                  <c:v>5.0999999999999997E-2</c:v>
                </c:pt>
                <c:pt idx="64">
                  <c:v>4.8000000000000001E-2</c:v>
                </c:pt>
                <c:pt idx="65">
                  <c:v>4.7E-2</c:v>
                </c:pt>
                <c:pt idx="66">
                  <c:v>4.7E-2</c:v>
                </c:pt>
                <c:pt idx="67">
                  <c:v>4.7E-2</c:v>
                </c:pt>
                <c:pt idx="68">
                  <c:v>5.6000000000000001E-2</c:v>
                </c:pt>
                <c:pt idx="69">
                  <c:v>4.7E-2</c:v>
                </c:pt>
                <c:pt idx="70">
                  <c:v>4.7E-2</c:v>
                </c:pt>
                <c:pt idx="71">
                  <c:v>4.5999999999999999E-2</c:v>
                </c:pt>
                <c:pt idx="72">
                  <c:v>4.3999999999999997E-2</c:v>
                </c:pt>
                <c:pt idx="73">
                  <c:v>5.1999999999999998E-2</c:v>
                </c:pt>
                <c:pt idx="74">
                  <c:v>4.2999999999999997E-2</c:v>
                </c:pt>
                <c:pt idx="75">
                  <c:v>4.8000000000000001E-2</c:v>
                </c:pt>
                <c:pt idx="76">
                  <c:v>4.7E-2</c:v>
                </c:pt>
                <c:pt idx="77">
                  <c:v>4.8000000000000001E-2</c:v>
                </c:pt>
                <c:pt idx="78">
                  <c:v>0.05</c:v>
                </c:pt>
                <c:pt idx="79">
                  <c:v>4.3999999999999997E-2</c:v>
                </c:pt>
                <c:pt idx="80">
                  <c:v>4.5999999999999999E-2</c:v>
                </c:pt>
                <c:pt idx="81">
                  <c:v>0.05</c:v>
                </c:pt>
                <c:pt idx="82">
                  <c:v>4.8000000000000001E-2</c:v>
                </c:pt>
                <c:pt idx="83">
                  <c:v>4.4999999999999998E-2</c:v>
                </c:pt>
                <c:pt idx="84">
                  <c:v>4.3999999999999997E-2</c:v>
                </c:pt>
                <c:pt idx="85">
                  <c:v>4.4999999999999998E-2</c:v>
                </c:pt>
                <c:pt idx="86">
                  <c:v>4.4999999999999998E-2</c:v>
                </c:pt>
                <c:pt idx="87">
                  <c:v>5.3999999999999999E-2</c:v>
                </c:pt>
                <c:pt idx="88">
                  <c:v>5.1999999999999998E-2</c:v>
                </c:pt>
                <c:pt idx="89">
                  <c:v>5.3999999999999999E-2</c:v>
                </c:pt>
                <c:pt idx="90">
                  <c:v>5.3999999999999999E-2</c:v>
                </c:pt>
                <c:pt idx="91">
                  <c:v>0.05</c:v>
                </c:pt>
                <c:pt idx="92">
                  <c:v>4.8000000000000001E-2</c:v>
                </c:pt>
                <c:pt idx="93">
                  <c:v>4.5999999999999999E-2</c:v>
                </c:pt>
                <c:pt idx="94">
                  <c:v>5.1999999999999998E-2</c:v>
                </c:pt>
                <c:pt idx="95">
                  <c:v>4.7E-2</c:v>
                </c:pt>
                <c:pt idx="96">
                  <c:v>5.3999999999999999E-2</c:v>
                </c:pt>
                <c:pt idx="97">
                  <c:v>5.3999999999999999E-2</c:v>
                </c:pt>
                <c:pt idx="98">
                  <c:v>5.3999999999999999E-2</c:v>
                </c:pt>
                <c:pt idx="99">
                  <c:v>5.2999999999999999E-2</c:v>
                </c:pt>
                <c:pt idx="100">
                  <c:v>5.2999999999999999E-2</c:v>
                </c:pt>
                <c:pt idx="101">
                  <c:v>8.6999999999999994E-2</c:v>
                </c:pt>
                <c:pt idx="102">
                  <c:v>8.2000000000000003E-2</c:v>
                </c:pt>
                <c:pt idx="103">
                  <c:v>9.6000000000000002E-2</c:v>
                </c:pt>
                <c:pt idx="104">
                  <c:v>5.5E-2</c:v>
                </c:pt>
                <c:pt idx="105">
                  <c:v>4.9000000000000002E-2</c:v>
                </c:pt>
                <c:pt idx="106">
                  <c:v>4.7E-2</c:v>
                </c:pt>
                <c:pt idx="107">
                  <c:v>4.5999999999999999E-2</c:v>
                </c:pt>
                <c:pt idx="108">
                  <c:v>4.4999999999999998E-2</c:v>
                </c:pt>
                <c:pt idx="109">
                  <c:v>6.9000000000000006E-2</c:v>
                </c:pt>
                <c:pt idx="110">
                  <c:v>0.09</c:v>
                </c:pt>
                <c:pt idx="111">
                  <c:v>0.122</c:v>
                </c:pt>
                <c:pt idx="112">
                  <c:v>5.2999999999999999E-2</c:v>
                </c:pt>
                <c:pt idx="113">
                  <c:v>5.0999999999999997E-2</c:v>
                </c:pt>
                <c:pt idx="114">
                  <c:v>4.7E-2</c:v>
                </c:pt>
                <c:pt idx="115">
                  <c:v>4.7E-2</c:v>
                </c:pt>
                <c:pt idx="116">
                  <c:v>4.8000000000000001E-2</c:v>
                </c:pt>
                <c:pt idx="117">
                  <c:v>5.6000000000000001E-2</c:v>
                </c:pt>
                <c:pt idx="118">
                  <c:v>5.8000000000000003E-2</c:v>
                </c:pt>
                <c:pt idx="119">
                  <c:v>6.4000000000000001E-2</c:v>
                </c:pt>
                <c:pt idx="120">
                  <c:v>4.5999999999999999E-2</c:v>
                </c:pt>
                <c:pt idx="121">
                  <c:v>4.7E-2</c:v>
                </c:pt>
                <c:pt idx="122">
                  <c:v>6.4000000000000001E-2</c:v>
                </c:pt>
                <c:pt idx="123">
                  <c:v>5.3999999999999999E-2</c:v>
                </c:pt>
                <c:pt idx="124">
                  <c:v>4.3999999999999997E-2</c:v>
                </c:pt>
                <c:pt idx="125">
                  <c:v>5.3999999999999999E-2</c:v>
                </c:pt>
                <c:pt idx="126">
                  <c:v>4.8000000000000001E-2</c:v>
                </c:pt>
                <c:pt idx="127">
                  <c:v>5.3999999999999999E-2</c:v>
                </c:pt>
                <c:pt idx="128">
                  <c:v>5.8000000000000003E-2</c:v>
                </c:pt>
                <c:pt idx="129">
                  <c:v>0.13400000000000001</c:v>
                </c:pt>
                <c:pt idx="130">
                  <c:v>0.109</c:v>
                </c:pt>
                <c:pt idx="131">
                  <c:v>0.17799999999999999</c:v>
                </c:pt>
                <c:pt idx="132">
                  <c:v>7.0999999999999994E-2</c:v>
                </c:pt>
                <c:pt idx="133">
                  <c:v>6.7000000000000004E-2</c:v>
                </c:pt>
                <c:pt idx="134">
                  <c:v>5.7000000000000002E-2</c:v>
                </c:pt>
                <c:pt idx="135">
                  <c:v>7.4999999999999997E-2</c:v>
                </c:pt>
                <c:pt idx="136">
                  <c:v>7.0000000000000007E-2</c:v>
                </c:pt>
                <c:pt idx="137">
                  <c:v>5.3999999999999999E-2</c:v>
                </c:pt>
                <c:pt idx="138">
                  <c:v>7.8E-2</c:v>
                </c:pt>
                <c:pt idx="139">
                  <c:v>7.0000000000000007E-2</c:v>
                </c:pt>
                <c:pt idx="140">
                  <c:v>6.4000000000000001E-2</c:v>
                </c:pt>
                <c:pt idx="141">
                  <c:v>5.8999999999999997E-2</c:v>
                </c:pt>
                <c:pt idx="142">
                  <c:v>5.7000000000000002E-2</c:v>
                </c:pt>
                <c:pt idx="143">
                  <c:v>7.0999999999999994E-2</c:v>
                </c:pt>
                <c:pt idx="144">
                  <c:v>7.0000000000000007E-2</c:v>
                </c:pt>
                <c:pt idx="145">
                  <c:v>5.1999999999999998E-2</c:v>
                </c:pt>
                <c:pt idx="146">
                  <c:v>5.7000000000000002E-2</c:v>
                </c:pt>
                <c:pt idx="147">
                  <c:v>5.6000000000000001E-2</c:v>
                </c:pt>
                <c:pt idx="148">
                  <c:v>4.9000000000000002E-2</c:v>
                </c:pt>
                <c:pt idx="149">
                  <c:v>4.8000000000000001E-2</c:v>
                </c:pt>
                <c:pt idx="150">
                  <c:v>4.8000000000000001E-2</c:v>
                </c:pt>
                <c:pt idx="151">
                  <c:v>5.8999999999999997E-2</c:v>
                </c:pt>
                <c:pt idx="152">
                  <c:v>5.8000000000000003E-2</c:v>
                </c:pt>
                <c:pt idx="153">
                  <c:v>5.6000000000000001E-2</c:v>
                </c:pt>
                <c:pt idx="154">
                  <c:v>5.2999999999999999E-2</c:v>
                </c:pt>
                <c:pt idx="155">
                  <c:v>5.5E-2</c:v>
                </c:pt>
                <c:pt idx="156">
                  <c:v>8.2000000000000003E-2</c:v>
                </c:pt>
                <c:pt idx="157">
                  <c:v>7.0999999999999994E-2</c:v>
                </c:pt>
                <c:pt idx="158">
                  <c:v>6.2E-2</c:v>
                </c:pt>
                <c:pt idx="159">
                  <c:v>5.2999999999999999E-2</c:v>
                </c:pt>
                <c:pt idx="160">
                  <c:v>6.2E-2</c:v>
                </c:pt>
                <c:pt idx="161">
                  <c:v>5.8999999999999997E-2</c:v>
                </c:pt>
                <c:pt idx="162">
                  <c:v>5.8000000000000003E-2</c:v>
                </c:pt>
                <c:pt idx="163">
                  <c:v>5.7000000000000002E-2</c:v>
                </c:pt>
                <c:pt idx="164">
                  <c:v>6.8000000000000005E-2</c:v>
                </c:pt>
                <c:pt idx="165">
                  <c:v>0.06</c:v>
                </c:pt>
                <c:pt idx="166">
                  <c:v>5.8000000000000003E-2</c:v>
                </c:pt>
                <c:pt idx="167">
                  <c:v>5.7000000000000002E-2</c:v>
                </c:pt>
                <c:pt idx="168">
                  <c:v>0.128</c:v>
                </c:pt>
                <c:pt idx="169">
                  <c:v>0.08</c:v>
                </c:pt>
                <c:pt idx="170">
                  <c:v>8.1000000000000003E-2</c:v>
                </c:pt>
                <c:pt idx="171">
                  <c:v>6.5000000000000002E-2</c:v>
                </c:pt>
                <c:pt idx="172">
                  <c:v>6.2E-2</c:v>
                </c:pt>
                <c:pt idx="173">
                  <c:v>8.3000000000000004E-2</c:v>
                </c:pt>
                <c:pt idx="174">
                  <c:v>5.8999999999999997E-2</c:v>
                </c:pt>
                <c:pt idx="175">
                  <c:v>5.6000000000000001E-2</c:v>
                </c:pt>
                <c:pt idx="176">
                  <c:v>5.3999999999999999E-2</c:v>
                </c:pt>
                <c:pt idx="177">
                  <c:v>4.8000000000000001E-2</c:v>
                </c:pt>
                <c:pt idx="178">
                  <c:v>7.0999999999999994E-2</c:v>
                </c:pt>
                <c:pt idx="179">
                  <c:v>9.2999999999999999E-2</c:v>
                </c:pt>
                <c:pt idx="180">
                  <c:v>7.8E-2</c:v>
                </c:pt>
                <c:pt idx="181">
                  <c:v>6.4000000000000001E-2</c:v>
                </c:pt>
                <c:pt idx="182">
                  <c:v>5.6000000000000001E-2</c:v>
                </c:pt>
                <c:pt idx="183">
                  <c:v>5.3999999999999999E-2</c:v>
                </c:pt>
                <c:pt idx="184">
                  <c:v>5.3999999999999999E-2</c:v>
                </c:pt>
                <c:pt idx="185">
                  <c:v>9.0999999999999998E-2</c:v>
                </c:pt>
                <c:pt idx="186">
                  <c:v>7.6999999999999999E-2</c:v>
                </c:pt>
                <c:pt idx="187">
                  <c:v>5.5E-2</c:v>
                </c:pt>
                <c:pt idx="188">
                  <c:v>0.10199999999999999</c:v>
                </c:pt>
                <c:pt idx="189">
                  <c:v>5.8000000000000003E-2</c:v>
                </c:pt>
                <c:pt idx="190">
                  <c:v>5.3999999999999999E-2</c:v>
                </c:pt>
                <c:pt idx="191">
                  <c:v>0.114</c:v>
                </c:pt>
                <c:pt idx="192">
                  <c:v>5.6599999999999998E-2</c:v>
                </c:pt>
                <c:pt idx="193">
                  <c:v>4.9000000000000002E-2</c:v>
                </c:pt>
                <c:pt idx="194">
                  <c:v>4.4999999999999998E-2</c:v>
                </c:pt>
                <c:pt idx="195">
                  <c:v>9.1999999999999998E-2</c:v>
                </c:pt>
                <c:pt idx="196">
                  <c:v>6.6000000000000003E-2</c:v>
                </c:pt>
                <c:pt idx="197">
                  <c:v>5.8000000000000003E-2</c:v>
                </c:pt>
                <c:pt idx="198">
                  <c:v>5.2999999999999999E-2</c:v>
                </c:pt>
                <c:pt idx="199">
                  <c:v>0.123</c:v>
                </c:pt>
                <c:pt idx="200">
                  <c:v>7.6999999999999999E-2</c:v>
                </c:pt>
                <c:pt idx="201">
                  <c:v>5.8000000000000003E-2</c:v>
                </c:pt>
                <c:pt idx="202">
                  <c:v>5.7000000000000002E-2</c:v>
                </c:pt>
                <c:pt idx="203">
                  <c:v>5.2999999999999999E-2</c:v>
                </c:pt>
                <c:pt idx="204">
                  <c:v>7.5999999999999998E-2</c:v>
                </c:pt>
                <c:pt idx="205">
                  <c:v>5.6800000000000003E-2</c:v>
                </c:pt>
                <c:pt idx="206">
                  <c:v>5.8999999999999997E-2</c:v>
                </c:pt>
                <c:pt idx="207">
                  <c:v>0.21199999999999999</c:v>
                </c:pt>
                <c:pt idx="208">
                  <c:v>6.7000000000000004E-2</c:v>
                </c:pt>
                <c:pt idx="209">
                  <c:v>0.16300000000000001</c:v>
                </c:pt>
                <c:pt idx="218">
                  <c:v>0.13300000000000001</c:v>
                </c:pt>
                <c:pt idx="219" formatCode="General">
                  <c:v>6.8000000000000005E-2</c:v>
                </c:pt>
                <c:pt idx="220" formatCode="General">
                  <c:v>0.112</c:v>
                </c:pt>
                <c:pt idx="222" formatCode="General">
                  <c:v>0.109</c:v>
                </c:pt>
                <c:pt idx="223" formatCode="General">
                  <c:v>0.30299999999999999</c:v>
                </c:pt>
                <c:pt idx="230">
                  <c:v>0.55000000000000004</c:v>
                </c:pt>
                <c:pt idx="231">
                  <c:v>0.25700000000000001</c:v>
                </c:pt>
                <c:pt idx="232">
                  <c:v>8.5999999999999993E-2</c:v>
                </c:pt>
                <c:pt idx="233">
                  <c:v>9.6000000000000002E-2</c:v>
                </c:pt>
                <c:pt idx="234">
                  <c:v>7.9000000000000001E-2</c:v>
                </c:pt>
                <c:pt idx="235">
                  <c:v>6.2E-2</c:v>
                </c:pt>
                <c:pt idx="236">
                  <c:v>6.2E-2</c:v>
                </c:pt>
                <c:pt idx="238">
                  <c:v>0.11899999999999999</c:v>
                </c:pt>
                <c:pt idx="239">
                  <c:v>0.157</c:v>
                </c:pt>
                <c:pt idx="240">
                  <c:v>8.3000000000000004E-2</c:v>
                </c:pt>
                <c:pt idx="241">
                  <c:v>6.5000000000000002E-2</c:v>
                </c:pt>
                <c:pt idx="242">
                  <c:v>6.9000000000000006E-2</c:v>
                </c:pt>
                <c:pt idx="243">
                  <c:v>7.1999999999999995E-2</c:v>
                </c:pt>
                <c:pt idx="244">
                  <c:v>6.6000000000000003E-2</c:v>
                </c:pt>
                <c:pt idx="245">
                  <c:v>6.3E-2</c:v>
                </c:pt>
                <c:pt idx="246">
                  <c:v>5.5E-2</c:v>
                </c:pt>
                <c:pt idx="247">
                  <c:v>5.7000000000000002E-2</c:v>
                </c:pt>
                <c:pt idx="248">
                  <c:v>5.6000000000000001E-2</c:v>
                </c:pt>
                <c:pt idx="249">
                  <c:v>4.7E-2</c:v>
                </c:pt>
                <c:pt idx="250">
                  <c:v>5.2999999999999999E-2</c:v>
                </c:pt>
                <c:pt idx="251">
                  <c:v>5.1999999999999998E-2</c:v>
                </c:pt>
                <c:pt idx="252">
                  <c:v>4.5999999999999999E-2</c:v>
                </c:pt>
                <c:pt idx="253">
                  <c:v>5.8000000000000003E-2</c:v>
                </c:pt>
                <c:pt idx="254">
                  <c:v>0.05</c:v>
                </c:pt>
                <c:pt idx="255">
                  <c:v>0.05</c:v>
                </c:pt>
                <c:pt idx="256">
                  <c:v>4.4999999999999998E-2</c:v>
                </c:pt>
                <c:pt idx="257">
                  <c:v>7.9000000000000001E-2</c:v>
                </c:pt>
                <c:pt idx="258">
                  <c:v>6.2E-2</c:v>
                </c:pt>
                <c:pt idx="259">
                  <c:v>0.14699999999999999</c:v>
                </c:pt>
                <c:pt idx="260">
                  <c:v>0.08</c:v>
                </c:pt>
                <c:pt idx="261">
                  <c:v>7.1999999999999995E-2</c:v>
                </c:pt>
                <c:pt idx="262">
                  <c:v>6.8000000000000005E-2</c:v>
                </c:pt>
                <c:pt idx="263">
                  <c:v>9.6000000000000002E-2</c:v>
                </c:pt>
                <c:pt idx="264">
                  <c:v>7.3999999999999996E-2</c:v>
                </c:pt>
                <c:pt idx="265">
                  <c:v>0.104</c:v>
                </c:pt>
                <c:pt idx="266">
                  <c:v>6.3E-2</c:v>
                </c:pt>
                <c:pt idx="267">
                  <c:v>5.8999999999999997E-2</c:v>
                </c:pt>
                <c:pt idx="268">
                  <c:v>5.8999999999999997E-2</c:v>
                </c:pt>
                <c:pt idx="269">
                  <c:v>6.4000000000000001E-2</c:v>
                </c:pt>
                <c:pt idx="270">
                  <c:v>6.3E-2</c:v>
                </c:pt>
                <c:pt idx="271">
                  <c:v>5.6000000000000001E-2</c:v>
                </c:pt>
                <c:pt idx="272">
                  <c:v>0.109</c:v>
                </c:pt>
                <c:pt idx="273">
                  <c:v>4.9000000000000002E-2</c:v>
                </c:pt>
                <c:pt idx="274">
                  <c:v>5.2999999999999999E-2</c:v>
                </c:pt>
                <c:pt idx="275">
                  <c:v>6.6000000000000003E-2</c:v>
                </c:pt>
                <c:pt idx="276">
                  <c:v>0.115</c:v>
                </c:pt>
                <c:pt idx="277">
                  <c:v>9.5000000000000001E-2</c:v>
                </c:pt>
                <c:pt idx="278">
                  <c:v>0.121</c:v>
                </c:pt>
                <c:pt idx="279">
                  <c:v>6.5000000000000002E-2</c:v>
                </c:pt>
                <c:pt idx="280">
                  <c:v>9.1999999999999998E-2</c:v>
                </c:pt>
                <c:pt idx="281">
                  <c:v>9.6000000000000002E-2</c:v>
                </c:pt>
                <c:pt idx="283">
                  <c:v>0.13700000000000001</c:v>
                </c:pt>
                <c:pt idx="284">
                  <c:v>0.11700000000000001</c:v>
                </c:pt>
                <c:pt idx="285">
                  <c:v>7.8E-2</c:v>
                </c:pt>
                <c:pt idx="286">
                  <c:v>7.6999999999999999E-2</c:v>
                </c:pt>
                <c:pt idx="287">
                  <c:v>8.4000000000000005E-2</c:v>
                </c:pt>
                <c:pt idx="288">
                  <c:v>7.5999999999999998E-2</c:v>
                </c:pt>
                <c:pt idx="289">
                  <c:v>5.5E-2</c:v>
                </c:pt>
                <c:pt idx="290">
                  <c:v>7.5999999999999998E-2</c:v>
                </c:pt>
                <c:pt idx="291">
                  <c:v>5.8000000000000003E-2</c:v>
                </c:pt>
                <c:pt idx="292">
                  <c:v>6.0999999999999999E-2</c:v>
                </c:pt>
                <c:pt idx="293">
                  <c:v>5.3999999999999999E-2</c:v>
                </c:pt>
                <c:pt idx="294">
                  <c:v>4.5999999999999999E-2</c:v>
                </c:pt>
                <c:pt idx="295">
                  <c:v>3.7999999999999999E-2</c:v>
                </c:pt>
                <c:pt idx="296">
                  <c:v>0.04</c:v>
                </c:pt>
                <c:pt idx="297">
                  <c:v>4.2000000000000003E-2</c:v>
                </c:pt>
                <c:pt idx="298">
                  <c:v>5.0999999999999997E-2</c:v>
                </c:pt>
                <c:pt idx="299">
                  <c:v>8.3000000000000004E-2</c:v>
                </c:pt>
                <c:pt idx="300" formatCode="0.0000">
                  <c:v>7.8E-2</c:v>
                </c:pt>
                <c:pt idx="301">
                  <c:v>6.5000000000000002E-2</c:v>
                </c:pt>
                <c:pt idx="302">
                  <c:v>5.1999999999999998E-2</c:v>
                </c:pt>
                <c:pt idx="303">
                  <c:v>7.5999999999999998E-2</c:v>
                </c:pt>
              </c:numCache>
            </c:numRef>
          </c:val>
        </c:ser>
        <c:marker val="1"/>
        <c:axId val="108003328"/>
        <c:axId val="108192512"/>
      </c:lineChart>
      <c:dateAx>
        <c:axId val="108003328"/>
        <c:scaling>
          <c:orientation val="minMax"/>
        </c:scaling>
        <c:axPos val="b"/>
        <c:numFmt formatCode="[$-409]d\-mmm;@" sourceLinked="0"/>
        <c:tickLblPos val="nextTo"/>
        <c:crossAx val="108192512"/>
        <c:crosses val="autoZero"/>
        <c:lblOffset val="100"/>
        <c:baseTimeUnit val="days"/>
      </c:dateAx>
      <c:valAx>
        <c:axId val="108192512"/>
        <c:scaling>
          <c:orientation val="minMax"/>
          <c:max val="2"/>
          <c:min val="0"/>
        </c:scaling>
        <c:axPos val="l"/>
        <c:majorGridlines/>
        <c:numFmt formatCode="General" sourceLinked="1"/>
        <c:tickLblPos val="nextTo"/>
        <c:crossAx val="108003328"/>
        <c:crosses val="autoZero"/>
        <c:crossBetween val="between"/>
      </c:valAx>
    </c:plotArea>
    <c:legend>
      <c:legendPos val="b"/>
      <c:layout/>
    </c:legend>
    <c:plotVisOnly val="1"/>
  </c:chart>
  <c:spPr>
    <a:noFill/>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2A80DA-DA2E-4707-B842-F50AB9D83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Newsletter(2).dot</Template>
  <TotalTime>58</TotalTime>
  <Pages>8</Pages>
  <Words>101</Words>
  <Characters>956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vwike</dc:creator>
  <cp:lastModifiedBy>vwike</cp:lastModifiedBy>
  <cp:revision>17</cp:revision>
  <cp:lastPrinted>2011-09-02T20:14:00Z</cp:lastPrinted>
  <dcterms:created xsi:type="dcterms:W3CDTF">2011-09-14T15:33:00Z</dcterms:created>
  <dcterms:modified xsi:type="dcterms:W3CDTF">2011-09-14T16:31:00Z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TC010178191033</vt:lpwstr>
  </property>
</Properties>
</file>