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7AB557" w14:textId="77777777" w:rsidR="009A01E5" w:rsidRDefault="009A01E5" w:rsidP="00B719F9">
      <w:pPr>
        <w:jc w:val="center"/>
        <w:rPr>
          <w:rFonts w:ascii="Arial" w:hAnsi="Arial"/>
          <w:b/>
          <w:snapToGrid w:val="0"/>
          <w:sz w:val="40"/>
        </w:rPr>
      </w:pPr>
      <w:bookmarkStart w:id="0" w:name="_top"/>
      <w:bookmarkEnd w:id="0"/>
    </w:p>
    <w:p w14:paraId="4F8B82A7" w14:textId="77777777" w:rsidR="009A01E5" w:rsidRDefault="009A01E5" w:rsidP="00B719F9">
      <w:pPr>
        <w:jc w:val="center"/>
        <w:rPr>
          <w:rFonts w:ascii="Arial" w:hAnsi="Arial"/>
          <w:b/>
          <w:snapToGrid w:val="0"/>
          <w:sz w:val="40"/>
        </w:rPr>
      </w:pPr>
    </w:p>
    <w:p w14:paraId="3620156A" w14:textId="77777777" w:rsidR="009A01E5" w:rsidRDefault="009A01E5" w:rsidP="00B719F9">
      <w:pPr>
        <w:jc w:val="center"/>
        <w:rPr>
          <w:rFonts w:ascii="Arial" w:hAnsi="Arial"/>
          <w:b/>
          <w:snapToGrid w:val="0"/>
          <w:sz w:val="40"/>
        </w:rPr>
      </w:pPr>
    </w:p>
    <w:p w14:paraId="07E247B2" w14:textId="77777777" w:rsidR="009A01E5" w:rsidRDefault="009A01E5">
      <w:pPr>
        <w:jc w:val="center"/>
        <w:rPr>
          <w:rFonts w:ascii="Arial" w:hAnsi="Arial"/>
          <w:b/>
          <w:snapToGrid w:val="0"/>
          <w:sz w:val="40"/>
        </w:rPr>
      </w:pPr>
    </w:p>
    <w:p w14:paraId="0EE53662" w14:textId="77777777" w:rsidR="009A01E5" w:rsidRDefault="009A01E5">
      <w:pPr>
        <w:jc w:val="center"/>
        <w:rPr>
          <w:rFonts w:ascii="Arial" w:hAnsi="Arial"/>
          <w:b/>
          <w:snapToGrid w:val="0"/>
          <w:sz w:val="40"/>
        </w:rPr>
      </w:pPr>
    </w:p>
    <w:p w14:paraId="0A64025B" w14:textId="77777777" w:rsidR="009A01E5" w:rsidRDefault="009A01E5">
      <w:pPr>
        <w:jc w:val="center"/>
        <w:rPr>
          <w:rFonts w:ascii="Arial" w:hAnsi="Arial"/>
          <w:b/>
          <w:snapToGrid w:val="0"/>
          <w:sz w:val="40"/>
        </w:rPr>
      </w:pPr>
    </w:p>
    <w:p w14:paraId="39BB0BBD" w14:textId="77777777" w:rsidR="009A01E5" w:rsidRDefault="00A54DDA">
      <w:pPr>
        <w:jc w:val="center"/>
        <w:rPr>
          <w:rFonts w:ascii="Arial" w:hAnsi="Arial"/>
          <w:b/>
          <w:snapToGrid w:val="0"/>
          <w:sz w:val="40"/>
        </w:rPr>
      </w:pPr>
      <w:r>
        <w:rPr>
          <w:rFonts w:ascii="Arial" w:hAnsi="Arial"/>
          <w:b/>
          <w:snapToGrid w:val="0"/>
          <w:sz w:val="40"/>
        </w:rPr>
        <w:t xml:space="preserve">ADEC </w:t>
      </w:r>
      <w:r w:rsidR="009A01E5">
        <w:rPr>
          <w:rFonts w:ascii="Arial" w:hAnsi="Arial"/>
          <w:b/>
          <w:snapToGrid w:val="0"/>
          <w:sz w:val="40"/>
        </w:rPr>
        <w:t xml:space="preserve">Modeling </w:t>
      </w:r>
      <w:r>
        <w:rPr>
          <w:rFonts w:ascii="Arial" w:hAnsi="Arial"/>
          <w:b/>
          <w:snapToGrid w:val="0"/>
          <w:sz w:val="40"/>
        </w:rPr>
        <w:t xml:space="preserve">Review </w:t>
      </w:r>
      <w:r w:rsidR="009A01E5">
        <w:rPr>
          <w:rFonts w:ascii="Arial" w:hAnsi="Arial"/>
          <w:b/>
          <w:snapToGrid w:val="0"/>
          <w:sz w:val="40"/>
        </w:rPr>
        <w:t>Procedures Manual</w:t>
      </w:r>
    </w:p>
    <w:p w14:paraId="57BE31B8" w14:textId="77777777" w:rsidR="009A01E5" w:rsidRDefault="002325AB">
      <w:pPr>
        <w:jc w:val="center"/>
        <w:rPr>
          <w:rFonts w:ascii="Arial" w:hAnsi="Arial"/>
          <w:b/>
          <w:snapToGrid w:val="0"/>
          <w:sz w:val="40"/>
        </w:rPr>
      </w:pPr>
      <w:r>
        <w:rPr>
          <w:noProof/>
        </w:rPr>
        <w:drawing>
          <wp:anchor distT="0" distB="0" distL="114300" distR="114300" simplePos="0" relativeHeight="251635200" behindDoc="0" locked="0" layoutInCell="0" allowOverlap="1" wp14:anchorId="6CDCE69B" wp14:editId="071046A9">
            <wp:simplePos x="0" y="0"/>
            <wp:positionH relativeFrom="column">
              <wp:posOffset>1994535</wp:posOffset>
            </wp:positionH>
            <wp:positionV relativeFrom="paragraph">
              <wp:posOffset>437515</wp:posOffset>
            </wp:positionV>
            <wp:extent cx="1667510" cy="2263140"/>
            <wp:effectExtent l="19050" t="0" r="8890" b="0"/>
            <wp:wrapTopAndBottom/>
            <wp:docPr id="8" name="Picture 8" descr="ADE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DEC logo"/>
                    <pic:cNvPicPr>
                      <a:picLocks noChangeAspect="1" noChangeArrowheads="1"/>
                    </pic:cNvPicPr>
                  </pic:nvPicPr>
                  <pic:blipFill>
                    <a:blip r:embed="rId8" cstate="print"/>
                    <a:srcRect/>
                    <a:stretch>
                      <a:fillRect/>
                    </a:stretch>
                  </pic:blipFill>
                  <pic:spPr bwMode="auto">
                    <a:xfrm>
                      <a:off x="0" y="0"/>
                      <a:ext cx="1667510" cy="2263140"/>
                    </a:xfrm>
                    <a:prstGeom prst="rect">
                      <a:avLst/>
                    </a:prstGeom>
                    <a:noFill/>
                  </pic:spPr>
                </pic:pic>
              </a:graphicData>
            </a:graphic>
          </wp:anchor>
        </w:drawing>
      </w:r>
    </w:p>
    <w:p w14:paraId="36863470" w14:textId="77777777" w:rsidR="009A01E5" w:rsidRDefault="009A01E5">
      <w:pPr>
        <w:jc w:val="center"/>
        <w:rPr>
          <w:rFonts w:ascii="Arial" w:hAnsi="Arial"/>
          <w:b/>
          <w:snapToGrid w:val="0"/>
          <w:sz w:val="40"/>
        </w:rPr>
      </w:pPr>
    </w:p>
    <w:p w14:paraId="5596894C" w14:textId="77777777" w:rsidR="00A54DDA" w:rsidRDefault="00A54DDA">
      <w:pPr>
        <w:jc w:val="center"/>
        <w:rPr>
          <w:rFonts w:ascii="Arial" w:hAnsi="Arial"/>
          <w:b/>
          <w:snapToGrid w:val="0"/>
          <w:sz w:val="40"/>
        </w:rPr>
      </w:pPr>
    </w:p>
    <w:p w14:paraId="0B1E15EF" w14:textId="7710B7DD" w:rsidR="00A54DDA" w:rsidRDefault="003A4962" w:rsidP="00DA321A">
      <w:pPr>
        <w:jc w:val="center"/>
        <w:rPr>
          <w:rFonts w:ascii="Arial" w:hAnsi="Arial"/>
          <w:b/>
          <w:snapToGrid w:val="0"/>
          <w:sz w:val="40"/>
        </w:rPr>
      </w:pPr>
      <w:bookmarkStart w:id="1" w:name="ManualDate"/>
      <w:r>
        <w:rPr>
          <w:rFonts w:ascii="Arial" w:hAnsi="Arial"/>
          <w:b/>
          <w:snapToGrid w:val="0"/>
          <w:sz w:val="40"/>
        </w:rPr>
        <w:t xml:space="preserve">October </w:t>
      </w:r>
      <w:r w:rsidR="00B00ACC">
        <w:rPr>
          <w:rFonts w:ascii="Arial" w:hAnsi="Arial"/>
          <w:b/>
          <w:snapToGrid w:val="0"/>
          <w:sz w:val="40"/>
        </w:rPr>
        <w:t>8</w:t>
      </w:r>
      <w:r w:rsidR="00A54DDA">
        <w:rPr>
          <w:rFonts w:ascii="Arial" w:hAnsi="Arial"/>
          <w:b/>
          <w:snapToGrid w:val="0"/>
          <w:sz w:val="40"/>
        </w:rPr>
        <w:t>, 201</w:t>
      </w:r>
      <w:r w:rsidR="00A36061">
        <w:rPr>
          <w:rFonts w:ascii="Arial" w:hAnsi="Arial"/>
          <w:b/>
          <w:snapToGrid w:val="0"/>
          <w:sz w:val="40"/>
        </w:rPr>
        <w:t>8</w:t>
      </w:r>
      <w:bookmarkEnd w:id="1"/>
    </w:p>
    <w:p w14:paraId="1C3C25D4" w14:textId="77777777" w:rsidR="009A01E5" w:rsidRDefault="009A01E5">
      <w:pPr>
        <w:rPr>
          <w:rFonts w:ascii="Arial" w:hAnsi="Arial"/>
          <w:b/>
          <w:snapToGrid w:val="0"/>
          <w:sz w:val="40"/>
        </w:rPr>
      </w:pPr>
    </w:p>
    <w:p w14:paraId="4A83EBBD" w14:textId="77777777" w:rsidR="002D5FB1" w:rsidRDefault="002D5FB1">
      <w:pPr>
        <w:spacing w:after="0"/>
        <w:rPr>
          <w:rFonts w:ascii="Arial" w:hAnsi="Arial"/>
          <w:b/>
        </w:rPr>
      </w:pPr>
    </w:p>
    <w:p w14:paraId="41F79491" w14:textId="24AE467F" w:rsidR="00914556" w:rsidRDefault="00914556" w:rsidP="002D5FB1">
      <w:pPr>
        <w:spacing w:after="0"/>
        <w:rPr>
          <w:rFonts w:ascii="Arial" w:hAnsi="Arial"/>
          <w:b/>
        </w:rPr>
      </w:pPr>
    </w:p>
    <w:p w14:paraId="19724583" w14:textId="77777777" w:rsidR="00914556" w:rsidRPr="00914556" w:rsidRDefault="00914556" w:rsidP="00914556">
      <w:pPr>
        <w:rPr>
          <w:rFonts w:ascii="Arial" w:hAnsi="Arial"/>
        </w:rPr>
      </w:pPr>
    </w:p>
    <w:p w14:paraId="1845C71F" w14:textId="77777777" w:rsidR="00914556" w:rsidRPr="00914556" w:rsidRDefault="00914556" w:rsidP="00914556">
      <w:pPr>
        <w:rPr>
          <w:rFonts w:ascii="Arial" w:hAnsi="Arial"/>
        </w:rPr>
      </w:pPr>
    </w:p>
    <w:p w14:paraId="11FD7B85" w14:textId="4478665F" w:rsidR="002D5FB1" w:rsidRPr="00914556" w:rsidRDefault="00914556" w:rsidP="00914556">
      <w:pPr>
        <w:tabs>
          <w:tab w:val="left" w:pos="6765"/>
        </w:tabs>
        <w:rPr>
          <w:rFonts w:ascii="Arial" w:hAnsi="Arial"/>
        </w:rPr>
        <w:sectPr w:rsidR="002D5FB1" w:rsidRPr="00914556" w:rsidSect="00914556">
          <w:headerReference w:type="even" r:id="rId9"/>
          <w:headerReference w:type="default" r:id="rId10"/>
          <w:footerReference w:type="even" r:id="rId11"/>
          <w:footerReference w:type="default" r:id="rId12"/>
          <w:headerReference w:type="first" r:id="rId13"/>
          <w:footerReference w:type="first" r:id="rId14"/>
          <w:type w:val="continuous"/>
          <w:pgSz w:w="12240" w:h="15840"/>
          <w:pgMar w:top="720" w:right="1800" w:bottom="720" w:left="1800" w:header="432" w:footer="576" w:gutter="0"/>
          <w:pgNumType w:start="1"/>
          <w:cols w:space="720"/>
          <w:titlePg/>
          <w:docGrid w:linePitch="326"/>
        </w:sectPr>
      </w:pPr>
      <w:r>
        <w:rPr>
          <w:rFonts w:ascii="Arial" w:hAnsi="Arial"/>
        </w:rPr>
        <w:lastRenderedPageBreak/>
        <w:tab/>
      </w:r>
    </w:p>
    <w:p w14:paraId="520B4F86" w14:textId="77777777" w:rsidR="002D5FB1" w:rsidRPr="00B8183D" w:rsidRDefault="002D5FB1" w:rsidP="002D5FB1">
      <w:pPr>
        <w:spacing w:after="0"/>
      </w:pPr>
    </w:p>
    <w:p w14:paraId="16F6A126" w14:textId="77777777" w:rsidR="002D5FB1" w:rsidRPr="00B8183D" w:rsidRDefault="002D5FB1" w:rsidP="002D5FB1">
      <w:pPr>
        <w:spacing w:after="0"/>
      </w:pPr>
    </w:p>
    <w:p w14:paraId="0E90DDA3" w14:textId="77777777" w:rsidR="002D5FB1" w:rsidRPr="00B8183D" w:rsidRDefault="002D5FB1" w:rsidP="002D5FB1">
      <w:pPr>
        <w:spacing w:after="0"/>
      </w:pPr>
    </w:p>
    <w:p w14:paraId="66937DD8" w14:textId="77777777" w:rsidR="002D5FB1" w:rsidRPr="00B8183D" w:rsidRDefault="002D5FB1" w:rsidP="002D5FB1">
      <w:pPr>
        <w:spacing w:after="0"/>
      </w:pPr>
    </w:p>
    <w:p w14:paraId="434FBA2F" w14:textId="77777777" w:rsidR="002D5FB1" w:rsidRPr="00B8183D" w:rsidRDefault="002D5FB1" w:rsidP="002D5FB1">
      <w:pPr>
        <w:spacing w:after="0"/>
      </w:pPr>
    </w:p>
    <w:p w14:paraId="64A67A6F" w14:textId="77777777" w:rsidR="002D5FB1" w:rsidRPr="00B8183D" w:rsidRDefault="002D5FB1" w:rsidP="002D5FB1">
      <w:pPr>
        <w:spacing w:after="0"/>
      </w:pPr>
    </w:p>
    <w:p w14:paraId="61B3DA99" w14:textId="77777777" w:rsidR="002D5FB1" w:rsidRPr="00B8183D" w:rsidRDefault="002D5FB1" w:rsidP="002D5FB1">
      <w:pPr>
        <w:spacing w:after="0"/>
      </w:pPr>
    </w:p>
    <w:p w14:paraId="4BD61D76" w14:textId="77777777" w:rsidR="002D5FB1" w:rsidRPr="00B8183D" w:rsidRDefault="002D5FB1" w:rsidP="002D5FB1">
      <w:pPr>
        <w:spacing w:after="0"/>
      </w:pPr>
    </w:p>
    <w:p w14:paraId="703517B3" w14:textId="77777777" w:rsidR="002D5FB1" w:rsidRPr="00B8183D" w:rsidRDefault="002D5FB1" w:rsidP="002D5FB1">
      <w:pPr>
        <w:spacing w:after="0"/>
      </w:pPr>
    </w:p>
    <w:p w14:paraId="3FDB1414" w14:textId="77777777" w:rsidR="002D5FB1" w:rsidRPr="00B8183D" w:rsidRDefault="002D5FB1" w:rsidP="002D5FB1">
      <w:pPr>
        <w:spacing w:after="0"/>
      </w:pPr>
    </w:p>
    <w:p w14:paraId="529E2C64" w14:textId="77777777" w:rsidR="002D5FB1" w:rsidRPr="00B8183D" w:rsidRDefault="002D5FB1" w:rsidP="002D5FB1">
      <w:pPr>
        <w:spacing w:after="0"/>
      </w:pPr>
    </w:p>
    <w:p w14:paraId="1919CC1A" w14:textId="77777777" w:rsidR="002D5FB1" w:rsidRPr="00B8183D" w:rsidRDefault="002D5FB1" w:rsidP="002D5FB1">
      <w:pPr>
        <w:spacing w:after="0"/>
      </w:pPr>
    </w:p>
    <w:p w14:paraId="0DB7B7C6" w14:textId="77777777" w:rsidR="009A01E5" w:rsidRPr="00B8183D" w:rsidRDefault="002D5FB1" w:rsidP="002D5FB1">
      <w:pPr>
        <w:spacing w:after="0"/>
        <w:jc w:val="center"/>
      </w:pPr>
      <w:r w:rsidRPr="00B8183D">
        <w:t>(This page intentionally left blank)</w:t>
      </w:r>
    </w:p>
    <w:p w14:paraId="5C11CE7E" w14:textId="77777777" w:rsidR="00B8183D" w:rsidRDefault="00B8183D" w:rsidP="002D5FB1">
      <w:pPr>
        <w:spacing w:after="0"/>
        <w:jc w:val="center"/>
        <w:rPr>
          <w:rFonts w:ascii="Arial" w:hAnsi="Arial"/>
        </w:rPr>
      </w:pPr>
    </w:p>
    <w:p w14:paraId="322B8E04" w14:textId="77777777" w:rsidR="00B8183D" w:rsidRPr="002D5FB1" w:rsidRDefault="00B8183D" w:rsidP="002D5FB1">
      <w:pPr>
        <w:spacing w:after="0"/>
        <w:jc w:val="center"/>
        <w:rPr>
          <w:rFonts w:ascii="Arial" w:hAnsi="Arial"/>
        </w:rPr>
        <w:sectPr w:rsidR="00B8183D" w:rsidRPr="002D5FB1" w:rsidSect="002D5FB1">
          <w:footerReference w:type="default" r:id="rId15"/>
          <w:pgSz w:w="12240" w:h="15840"/>
          <w:pgMar w:top="720" w:right="1800" w:bottom="720" w:left="1800" w:header="720" w:footer="432" w:gutter="0"/>
          <w:pgNumType w:start="1"/>
          <w:cols w:space="720"/>
        </w:sectPr>
      </w:pPr>
    </w:p>
    <w:p w14:paraId="4BF40BEA" w14:textId="77777777" w:rsidR="000C49B1" w:rsidRDefault="000C49B1" w:rsidP="000C49B1">
      <w:pPr>
        <w:rPr>
          <w:rFonts w:ascii="Arial" w:hAnsi="Arial"/>
          <w:b/>
          <w:sz w:val="28"/>
        </w:rPr>
      </w:pPr>
      <w:r>
        <w:rPr>
          <w:rFonts w:ascii="Arial" w:hAnsi="Arial"/>
          <w:b/>
          <w:sz w:val="28"/>
        </w:rPr>
        <w:lastRenderedPageBreak/>
        <w:t>Notice</w:t>
      </w:r>
    </w:p>
    <w:p w14:paraId="6C79EF64" w14:textId="79DB0344" w:rsidR="00F83095" w:rsidRDefault="00F83095" w:rsidP="00A54DDA">
      <w:r>
        <w:t>This</w:t>
      </w:r>
      <w:r w:rsidR="000C49B1">
        <w:t xml:space="preserve"> manual provide</w:t>
      </w:r>
      <w:r>
        <w:t>s</w:t>
      </w:r>
      <w:r w:rsidR="000C49B1">
        <w:t xml:space="preserve"> general guidance to Alaska Department of Environmental Conservation (ADEC) staff reviewing air quality modeling assessments submitted </w:t>
      </w:r>
      <w:r w:rsidR="00DA3C56">
        <w:t xml:space="preserve">by regulated sources or the public in support of </w:t>
      </w:r>
      <w:proofErr w:type="gramStart"/>
      <w:r w:rsidR="00DA3C56">
        <w:t>a permit</w:t>
      </w:r>
      <w:proofErr w:type="gramEnd"/>
      <w:r w:rsidR="00DA3C56">
        <w:t xml:space="preserve"> action, permit-avoidance action, or petition to revise Air Quality Control </w:t>
      </w:r>
      <w:r w:rsidR="00DA3C56" w:rsidRPr="004B5434">
        <w:rPr>
          <w:b/>
        </w:rPr>
        <w:t>Regulations</w:t>
      </w:r>
      <w:r w:rsidR="00DA3C56">
        <w:t xml:space="preserve">.  This </w:t>
      </w:r>
      <w:r w:rsidR="006868E4">
        <w:t>guidance</w:t>
      </w:r>
      <w:r w:rsidR="00DA3C56">
        <w:t xml:space="preserve"> </w:t>
      </w:r>
      <w:r w:rsidR="00DC0029">
        <w:t xml:space="preserve">may also be used by </w:t>
      </w:r>
      <w:r w:rsidR="00DA3C56">
        <w:t xml:space="preserve">staff reviewing </w:t>
      </w:r>
      <w:proofErr w:type="gramStart"/>
      <w:r w:rsidR="00DA3C56">
        <w:t>an existing</w:t>
      </w:r>
      <w:proofErr w:type="gramEnd"/>
      <w:r w:rsidR="00DA3C56">
        <w:t xml:space="preserve"> source assessment under 18</w:t>
      </w:r>
      <w:r w:rsidR="007B5CDB">
        <w:t> </w:t>
      </w:r>
      <w:r w:rsidR="00DA3C56">
        <w:t>AAC</w:t>
      </w:r>
      <w:r w:rsidR="007B5CDB">
        <w:t> </w:t>
      </w:r>
      <w:r w:rsidR="00DA3C56">
        <w:t xml:space="preserve">50.201.  </w:t>
      </w:r>
      <w:r>
        <w:t xml:space="preserve">The manual provides general guidance for reviewing common modeling assessments.  It does not cover all cases that may occur in </w:t>
      </w:r>
      <w:proofErr w:type="gramStart"/>
      <w:r>
        <w:t>Alaska</w:t>
      </w:r>
      <w:r w:rsidR="00DC0029">
        <w:t>,</w:t>
      </w:r>
      <w:r>
        <w:t xml:space="preserve"> and</w:t>
      </w:r>
      <w:proofErr w:type="gramEnd"/>
      <w:r>
        <w:t xml:space="preserve"> does not prohibit staff from using alternative approaches </w:t>
      </w:r>
      <w:r w:rsidR="00E174DC">
        <w:t>when warranted</w:t>
      </w:r>
      <w:r>
        <w:t xml:space="preserve">.  It is also a “living document” that will be updated as national modeling techniques and tools change. </w:t>
      </w:r>
    </w:p>
    <w:p w14:paraId="1CE1B1F0" w14:textId="5D050A57" w:rsidR="00EF5396" w:rsidRPr="007B46B8" w:rsidRDefault="00EF5396" w:rsidP="000C49B1">
      <w:r w:rsidRPr="007B46B8">
        <w:t xml:space="preserve">ADEC developed </w:t>
      </w:r>
      <w:r w:rsidR="001344C3" w:rsidRPr="007B46B8">
        <w:t xml:space="preserve">this manual to help staff conduct efficient air quality modeling reviews. </w:t>
      </w:r>
      <w:r w:rsidRPr="007B46B8">
        <w:t xml:space="preserve"> It was </w:t>
      </w:r>
      <w:r w:rsidRPr="007B46B8">
        <w:rPr>
          <w:i/>
        </w:rPr>
        <w:t>not</w:t>
      </w:r>
      <w:r w:rsidRPr="007B46B8">
        <w:t xml:space="preserve"> developed to impose requirements on model users (including permit applicants), and cannot be used as such, absent future public review and adoption in accordance with the Alaska Administrative Procedures Act (AS</w:t>
      </w:r>
      <w:r w:rsidR="007B5CDB">
        <w:t> </w:t>
      </w:r>
      <w:r w:rsidRPr="007B46B8">
        <w:t xml:space="preserve">44.62).  </w:t>
      </w:r>
    </w:p>
    <w:p w14:paraId="1973F92A" w14:textId="1DB706C3" w:rsidR="00BA29DB" w:rsidRDefault="00BA29DB" w:rsidP="00BA29DB">
      <w:r>
        <w:t xml:space="preserve">This manual references several commercial modeling programs that provide a Graphical User Interface </w:t>
      </w:r>
      <w:r w:rsidR="00102956">
        <w:t xml:space="preserve">(GUI) </w:t>
      </w:r>
      <w:r w:rsidR="00406A3E">
        <w:t xml:space="preserve">for use with </w:t>
      </w:r>
      <w:r>
        <w:t xml:space="preserve">the public-domain programs provided by the U.S. Environmental Protection Agency (EPA).  ADEC </w:t>
      </w:r>
      <w:r w:rsidR="00406A3E">
        <w:t>often</w:t>
      </w:r>
      <w:r>
        <w:t xml:space="preserve"> use</w:t>
      </w:r>
      <w:r w:rsidR="00406A3E">
        <w:t>s</w:t>
      </w:r>
      <w:r>
        <w:t xml:space="preserve"> one of these programs </w:t>
      </w:r>
      <w:r w:rsidR="00406A3E">
        <w:t xml:space="preserve">in </w:t>
      </w:r>
      <w:r>
        <w:t xml:space="preserve">conducting </w:t>
      </w:r>
      <w:r w:rsidR="00D35F76">
        <w:t xml:space="preserve">its </w:t>
      </w:r>
      <w:proofErr w:type="gramStart"/>
      <w:r>
        <w:t>modeling</w:t>
      </w:r>
      <w:proofErr w:type="gramEnd"/>
      <w:r>
        <w:t xml:space="preserve"> </w:t>
      </w:r>
      <w:proofErr w:type="gramStart"/>
      <w:r>
        <w:t>reviews, and</w:t>
      </w:r>
      <w:proofErr w:type="gramEnd"/>
      <w:r>
        <w:t xml:space="preserve"> has included </w:t>
      </w:r>
      <w:r w:rsidR="001B7F43">
        <w:t xml:space="preserve">various comments </w:t>
      </w:r>
      <w:r>
        <w:t xml:space="preserve">regarding the use of this program as an aid to staff.  However, </w:t>
      </w:r>
      <w:r w:rsidR="00406A3E">
        <w:t xml:space="preserve">the use of </w:t>
      </w:r>
      <w:r>
        <w:t>other commercial programs</w:t>
      </w:r>
      <w:r w:rsidR="00406A3E">
        <w:t xml:space="preserve">, or </w:t>
      </w:r>
      <w:proofErr w:type="gramStart"/>
      <w:r w:rsidR="00406A3E">
        <w:t>none at all</w:t>
      </w:r>
      <w:proofErr w:type="gramEnd"/>
      <w:r w:rsidR="00406A3E">
        <w:t>,</w:t>
      </w:r>
      <w:r>
        <w:t xml:space="preserve"> </w:t>
      </w:r>
      <w:r w:rsidR="00D35F76">
        <w:t xml:space="preserve">in conjunction with the EPA public-domain tools remains </w:t>
      </w:r>
      <w:r>
        <w:t xml:space="preserve">appropriate.  </w:t>
      </w:r>
      <w:r w:rsidR="00D35F76">
        <w:t>ADEC’s reference to</w:t>
      </w:r>
      <w:r>
        <w:t xml:space="preserve"> </w:t>
      </w:r>
      <w:r w:rsidR="00406A3E">
        <w:t xml:space="preserve">specific </w:t>
      </w:r>
      <w:r>
        <w:t xml:space="preserve">products or services does not convey, and should not be interpreted, as conveying </w:t>
      </w:r>
      <w:proofErr w:type="gramStart"/>
      <w:r w:rsidR="00D35F76">
        <w:t>a formal</w:t>
      </w:r>
      <w:proofErr w:type="gramEnd"/>
      <w:r>
        <w:t xml:space="preserve"> approval, endorsement, or recommendation.   </w:t>
      </w:r>
    </w:p>
    <w:p w14:paraId="2710C92A" w14:textId="3277BF66" w:rsidR="000C5CA8" w:rsidRDefault="000A6DED" w:rsidP="000C49B1">
      <w:r w:rsidRPr="000A6DED">
        <w:t xml:space="preserve">ADEC has made several updates to this manual over the past several years.  </w:t>
      </w:r>
      <w:r w:rsidR="00CB07A8" w:rsidRPr="000A6DED">
        <w:t xml:space="preserve">In this update, ADEC </w:t>
      </w:r>
      <w:r w:rsidR="0018168F" w:rsidRPr="000A6DED">
        <w:t>incorporated</w:t>
      </w:r>
      <w:r w:rsidRPr="000A6DED">
        <w:t xml:space="preserve"> </w:t>
      </w:r>
      <w:r w:rsidR="00F83736" w:rsidRPr="000A6DED">
        <w:t xml:space="preserve">EPA’s </w:t>
      </w:r>
      <w:r w:rsidR="006B7188">
        <w:t xml:space="preserve">December 2016 </w:t>
      </w:r>
      <w:r w:rsidRPr="000A6DED">
        <w:t>revision</w:t>
      </w:r>
      <w:r w:rsidR="00F83736" w:rsidRPr="000A6DED">
        <w:t xml:space="preserve"> to the </w:t>
      </w:r>
      <w:r w:rsidR="00F83736" w:rsidRPr="000A6DED">
        <w:rPr>
          <w:i/>
        </w:rPr>
        <w:t>Guideline on Air Quality Models</w:t>
      </w:r>
      <w:r w:rsidR="00196955">
        <w:t xml:space="preserve"> (</w:t>
      </w:r>
      <w:r w:rsidR="00196955" w:rsidRPr="00196955">
        <w:t>Guideline</w:t>
      </w:r>
      <w:r w:rsidR="00196955">
        <w:t>)</w:t>
      </w:r>
      <w:r>
        <w:t xml:space="preserve">, which ADEC has adopted by reference in </w:t>
      </w:r>
      <w:hyperlink r:id="rId16" w:history="1">
        <w:r w:rsidR="00635772" w:rsidRPr="00AF0CC3">
          <w:rPr>
            <w:rStyle w:val="Hyperlink"/>
            <w:snapToGrid w:val="0"/>
          </w:rPr>
          <w:t>18</w:t>
        </w:r>
        <w:r w:rsidR="00635772" w:rsidRPr="00AF0CC3">
          <w:rPr>
            <w:rStyle w:val="Hyperlink"/>
          </w:rPr>
          <w:t> </w:t>
        </w:r>
        <w:r w:rsidR="00635772" w:rsidRPr="00AF0CC3">
          <w:rPr>
            <w:rStyle w:val="Hyperlink"/>
            <w:snapToGrid w:val="0"/>
          </w:rPr>
          <w:t>AAC</w:t>
        </w:r>
        <w:r w:rsidR="00635772" w:rsidRPr="00AF0CC3">
          <w:rPr>
            <w:rStyle w:val="Hyperlink"/>
          </w:rPr>
          <w:t> </w:t>
        </w:r>
        <w:r w:rsidR="00635772" w:rsidRPr="00AF0CC3">
          <w:rPr>
            <w:rStyle w:val="Hyperlink"/>
            <w:snapToGrid w:val="0"/>
          </w:rPr>
          <w:t>50.040</w:t>
        </w:r>
      </w:hyperlink>
      <w:r>
        <w:t>(f)</w:t>
      </w:r>
      <w:r w:rsidR="00F83736" w:rsidRPr="000A6DED">
        <w:t>.</w:t>
      </w:r>
    </w:p>
    <w:p w14:paraId="7F723B49" w14:textId="77777777" w:rsidR="005C2F11" w:rsidRPr="005C2F11" w:rsidRDefault="005C2F11" w:rsidP="005C2F11"/>
    <w:p w14:paraId="6D693A8D" w14:textId="5A451B97" w:rsidR="005C2F11" w:rsidRPr="005C2F11" w:rsidRDefault="005C2F11" w:rsidP="005C2F11">
      <w:pPr>
        <w:tabs>
          <w:tab w:val="left" w:pos="7295"/>
        </w:tabs>
      </w:pPr>
    </w:p>
    <w:p w14:paraId="0F602AF3" w14:textId="28405C0E" w:rsidR="00B8183D" w:rsidRPr="005C2F11" w:rsidRDefault="00B8183D" w:rsidP="005C2F11">
      <w:pPr>
        <w:tabs>
          <w:tab w:val="left" w:pos="7295"/>
        </w:tabs>
        <w:sectPr w:rsidR="00B8183D" w:rsidRPr="005C2F11" w:rsidSect="00881460">
          <w:headerReference w:type="default" r:id="rId17"/>
          <w:footerReference w:type="default" r:id="rId18"/>
          <w:pgSz w:w="12240" w:h="15840"/>
          <w:pgMar w:top="720" w:right="1800" w:bottom="720" w:left="1800" w:header="720" w:footer="576" w:gutter="0"/>
          <w:pgNumType w:fmt="lowerRoman" w:start="1"/>
          <w:cols w:space="720"/>
          <w:docGrid w:linePitch="326"/>
        </w:sectPr>
      </w:pPr>
    </w:p>
    <w:p w14:paraId="3F224F84" w14:textId="77777777" w:rsidR="000C49B1" w:rsidRDefault="000C49B1" w:rsidP="00B8183D">
      <w:pPr>
        <w:spacing w:after="0"/>
      </w:pPr>
    </w:p>
    <w:p w14:paraId="22515AF0" w14:textId="77777777" w:rsidR="00B8183D" w:rsidRDefault="00B8183D" w:rsidP="00B8183D">
      <w:pPr>
        <w:spacing w:after="0"/>
      </w:pPr>
    </w:p>
    <w:p w14:paraId="261A76D1" w14:textId="77777777" w:rsidR="00B8183D" w:rsidRDefault="00B8183D" w:rsidP="00B8183D">
      <w:pPr>
        <w:spacing w:after="0"/>
      </w:pPr>
    </w:p>
    <w:p w14:paraId="604CEA4B" w14:textId="77777777" w:rsidR="00B8183D" w:rsidRDefault="00B8183D" w:rsidP="00B8183D">
      <w:pPr>
        <w:spacing w:after="0"/>
      </w:pPr>
    </w:p>
    <w:p w14:paraId="01C52C32" w14:textId="77777777" w:rsidR="00B8183D" w:rsidRDefault="00B8183D" w:rsidP="00B8183D">
      <w:pPr>
        <w:spacing w:after="0"/>
      </w:pPr>
    </w:p>
    <w:p w14:paraId="043D31B1" w14:textId="77777777" w:rsidR="00B8183D" w:rsidRDefault="00B8183D" w:rsidP="00B8183D">
      <w:pPr>
        <w:spacing w:after="0"/>
      </w:pPr>
    </w:p>
    <w:p w14:paraId="3AA7F745" w14:textId="77777777" w:rsidR="00B8183D" w:rsidRDefault="00B8183D" w:rsidP="00B8183D">
      <w:pPr>
        <w:spacing w:after="0"/>
      </w:pPr>
    </w:p>
    <w:p w14:paraId="58C5E3BA" w14:textId="77777777" w:rsidR="00B8183D" w:rsidRDefault="00B8183D" w:rsidP="00B8183D">
      <w:pPr>
        <w:spacing w:after="0"/>
      </w:pPr>
    </w:p>
    <w:p w14:paraId="3ABE470A" w14:textId="77777777" w:rsidR="00B8183D" w:rsidRDefault="00B8183D" w:rsidP="00B8183D">
      <w:pPr>
        <w:spacing w:after="0"/>
      </w:pPr>
    </w:p>
    <w:p w14:paraId="30B816C3" w14:textId="77777777" w:rsidR="00B8183D" w:rsidRDefault="00B8183D" w:rsidP="00B8183D">
      <w:pPr>
        <w:spacing w:after="0"/>
      </w:pPr>
    </w:p>
    <w:p w14:paraId="214DFF4C" w14:textId="77777777" w:rsidR="00B8183D" w:rsidRDefault="00B8183D" w:rsidP="00B8183D">
      <w:pPr>
        <w:spacing w:after="0"/>
      </w:pPr>
    </w:p>
    <w:p w14:paraId="4847D2E3" w14:textId="77777777" w:rsidR="00B8183D" w:rsidRDefault="00B8183D" w:rsidP="00B8183D">
      <w:pPr>
        <w:spacing w:after="0"/>
      </w:pPr>
    </w:p>
    <w:p w14:paraId="067224DC" w14:textId="77777777" w:rsidR="00B8183D" w:rsidRDefault="00B8183D" w:rsidP="00B8183D">
      <w:pPr>
        <w:spacing w:after="0"/>
        <w:jc w:val="center"/>
      </w:pPr>
      <w:r>
        <w:t>(This page intentionally left blank)</w:t>
      </w:r>
    </w:p>
    <w:p w14:paraId="63FCCFF4" w14:textId="77777777" w:rsidR="00B8183D" w:rsidRDefault="00B8183D"/>
    <w:p w14:paraId="74C2C125" w14:textId="150418FF" w:rsidR="00327BBE" w:rsidRDefault="00327BBE"/>
    <w:p w14:paraId="593FBE82" w14:textId="7D7C7330" w:rsidR="00327BBE" w:rsidRDefault="00327BBE" w:rsidP="00327BBE"/>
    <w:p w14:paraId="2A5C0335" w14:textId="6D09B0B8" w:rsidR="00327BBE" w:rsidRDefault="00327BBE" w:rsidP="004B5434">
      <w:pPr>
        <w:tabs>
          <w:tab w:val="left" w:pos="6285"/>
          <w:tab w:val="left" w:pos="7485"/>
        </w:tabs>
      </w:pPr>
      <w:r>
        <w:tab/>
      </w:r>
      <w:r w:rsidR="004B5434">
        <w:tab/>
      </w:r>
    </w:p>
    <w:p w14:paraId="71C02C38" w14:textId="746D6364" w:rsidR="00B8183D" w:rsidRPr="00327BBE" w:rsidRDefault="00327BBE" w:rsidP="00327BBE">
      <w:pPr>
        <w:tabs>
          <w:tab w:val="left" w:pos="7485"/>
        </w:tabs>
        <w:sectPr w:rsidR="00B8183D" w:rsidRPr="00327BBE" w:rsidSect="00881460">
          <w:pgSz w:w="12240" w:h="15840"/>
          <w:pgMar w:top="720" w:right="1800" w:bottom="720" w:left="1800" w:header="720" w:footer="576" w:gutter="0"/>
          <w:pgNumType w:fmt="lowerRoman"/>
          <w:cols w:space="720"/>
          <w:docGrid w:linePitch="326"/>
        </w:sectPr>
      </w:pPr>
      <w:r>
        <w:tab/>
      </w:r>
    </w:p>
    <w:p w14:paraId="6E788BCB" w14:textId="77777777" w:rsidR="009A01E5" w:rsidRDefault="009A01E5" w:rsidP="00863050">
      <w:pPr>
        <w:spacing w:after="120"/>
        <w:rPr>
          <w:rFonts w:ascii="Arial" w:hAnsi="Arial"/>
          <w:sz w:val="28"/>
        </w:rPr>
      </w:pPr>
      <w:r>
        <w:rPr>
          <w:rFonts w:ascii="Arial" w:hAnsi="Arial"/>
          <w:b/>
          <w:sz w:val="28"/>
        </w:rPr>
        <w:lastRenderedPageBreak/>
        <w:t>Table of Contents</w:t>
      </w:r>
    </w:p>
    <w:bookmarkStart w:id="2" w:name="_Toc43521189"/>
    <w:bookmarkStart w:id="3" w:name="_Toc39892299"/>
    <w:p w14:paraId="0402C553" w14:textId="77777777" w:rsidR="00135FFD" w:rsidRDefault="000C0EF6">
      <w:pPr>
        <w:pStyle w:val="TOC1"/>
        <w:tabs>
          <w:tab w:val="left" w:pos="475"/>
          <w:tab w:val="right" w:leader="dot" w:pos="8630"/>
        </w:tabs>
        <w:rPr>
          <w:rFonts w:asciiTheme="minorHAnsi" w:eastAsiaTheme="minorEastAsia" w:hAnsiTheme="minorHAnsi" w:cstheme="minorBidi"/>
          <w:b w:val="0"/>
          <w:caps w:val="0"/>
          <w:noProof/>
          <w:szCs w:val="22"/>
        </w:rPr>
      </w:pPr>
      <w:r>
        <w:rPr>
          <w:sz w:val="20"/>
        </w:rPr>
        <w:fldChar w:fldCharType="begin"/>
      </w:r>
      <w:r w:rsidR="00527E86">
        <w:rPr>
          <w:sz w:val="20"/>
        </w:rPr>
        <w:instrText xml:space="preserve"> TOC \o "1-4" </w:instrText>
      </w:r>
      <w:r>
        <w:rPr>
          <w:sz w:val="20"/>
        </w:rPr>
        <w:fldChar w:fldCharType="separate"/>
      </w:r>
      <w:r w:rsidR="00135FFD" w:rsidRPr="00366288">
        <w:rPr>
          <w:noProof/>
          <w:snapToGrid w:val="0"/>
        </w:rPr>
        <w:t>1.</w:t>
      </w:r>
      <w:r w:rsidR="00135FFD">
        <w:rPr>
          <w:rFonts w:asciiTheme="minorHAnsi" w:eastAsiaTheme="minorEastAsia" w:hAnsiTheme="minorHAnsi" w:cstheme="minorBidi"/>
          <w:b w:val="0"/>
          <w:caps w:val="0"/>
          <w:noProof/>
          <w:szCs w:val="22"/>
        </w:rPr>
        <w:tab/>
      </w:r>
      <w:r w:rsidR="00135FFD" w:rsidRPr="00366288">
        <w:rPr>
          <w:noProof/>
          <w:snapToGrid w:val="0"/>
        </w:rPr>
        <w:t>Quick Guide</w:t>
      </w:r>
      <w:r w:rsidR="00135FFD">
        <w:rPr>
          <w:noProof/>
        </w:rPr>
        <w:tab/>
      </w:r>
      <w:r w:rsidR="00135FFD">
        <w:rPr>
          <w:noProof/>
        </w:rPr>
        <w:fldChar w:fldCharType="begin"/>
      </w:r>
      <w:r w:rsidR="00135FFD">
        <w:rPr>
          <w:noProof/>
        </w:rPr>
        <w:instrText xml:space="preserve"> PAGEREF _Toc526778209 \h </w:instrText>
      </w:r>
      <w:r w:rsidR="00135FFD">
        <w:rPr>
          <w:noProof/>
        </w:rPr>
      </w:r>
      <w:r w:rsidR="00135FFD">
        <w:rPr>
          <w:noProof/>
        </w:rPr>
        <w:fldChar w:fldCharType="separate"/>
      </w:r>
      <w:r w:rsidR="00135FFD">
        <w:rPr>
          <w:noProof/>
        </w:rPr>
        <w:t>1</w:t>
      </w:r>
      <w:r w:rsidR="00135FFD">
        <w:rPr>
          <w:noProof/>
        </w:rPr>
        <w:fldChar w:fldCharType="end"/>
      </w:r>
    </w:p>
    <w:p w14:paraId="7958A185" w14:textId="77777777" w:rsidR="00135FFD" w:rsidRDefault="00135FFD">
      <w:pPr>
        <w:pStyle w:val="TOC2"/>
        <w:tabs>
          <w:tab w:val="left" w:pos="960"/>
          <w:tab w:val="right" w:leader="dot" w:pos="8630"/>
        </w:tabs>
        <w:rPr>
          <w:rFonts w:asciiTheme="minorHAnsi" w:eastAsiaTheme="minorEastAsia" w:hAnsiTheme="minorHAnsi" w:cstheme="minorBidi"/>
          <w:smallCaps w:val="0"/>
          <w:noProof/>
          <w:szCs w:val="22"/>
        </w:rPr>
      </w:pPr>
      <w:r>
        <w:rPr>
          <w:noProof/>
        </w:rPr>
        <w:t>1.1</w:t>
      </w:r>
      <w:r>
        <w:rPr>
          <w:rFonts w:asciiTheme="minorHAnsi" w:eastAsiaTheme="minorEastAsia" w:hAnsiTheme="minorHAnsi" w:cstheme="minorBidi"/>
          <w:smallCaps w:val="0"/>
          <w:noProof/>
          <w:szCs w:val="22"/>
        </w:rPr>
        <w:tab/>
      </w:r>
      <w:r>
        <w:rPr>
          <w:noProof/>
        </w:rPr>
        <w:t>General Review</w:t>
      </w:r>
      <w:r>
        <w:rPr>
          <w:noProof/>
        </w:rPr>
        <w:tab/>
      </w:r>
      <w:r>
        <w:rPr>
          <w:noProof/>
        </w:rPr>
        <w:fldChar w:fldCharType="begin"/>
      </w:r>
      <w:r>
        <w:rPr>
          <w:noProof/>
        </w:rPr>
        <w:instrText xml:space="preserve"> PAGEREF _Toc526778210 \h </w:instrText>
      </w:r>
      <w:r>
        <w:rPr>
          <w:noProof/>
        </w:rPr>
      </w:r>
      <w:r>
        <w:rPr>
          <w:noProof/>
        </w:rPr>
        <w:fldChar w:fldCharType="separate"/>
      </w:r>
      <w:r>
        <w:rPr>
          <w:noProof/>
        </w:rPr>
        <w:t>1</w:t>
      </w:r>
      <w:r>
        <w:rPr>
          <w:noProof/>
        </w:rPr>
        <w:fldChar w:fldCharType="end"/>
      </w:r>
    </w:p>
    <w:p w14:paraId="58395723" w14:textId="77777777" w:rsidR="00135FFD" w:rsidRDefault="00135FFD">
      <w:pPr>
        <w:pStyle w:val="TOC2"/>
        <w:tabs>
          <w:tab w:val="left" w:pos="960"/>
          <w:tab w:val="right" w:leader="dot" w:pos="8630"/>
        </w:tabs>
        <w:rPr>
          <w:rFonts w:asciiTheme="minorHAnsi" w:eastAsiaTheme="minorEastAsia" w:hAnsiTheme="minorHAnsi" w:cstheme="minorBidi"/>
          <w:smallCaps w:val="0"/>
          <w:noProof/>
          <w:szCs w:val="22"/>
        </w:rPr>
      </w:pPr>
      <w:r>
        <w:rPr>
          <w:noProof/>
        </w:rPr>
        <w:t>1.2</w:t>
      </w:r>
      <w:r>
        <w:rPr>
          <w:rFonts w:asciiTheme="minorHAnsi" w:eastAsiaTheme="minorEastAsia" w:hAnsiTheme="minorHAnsi" w:cstheme="minorBidi"/>
          <w:smallCaps w:val="0"/>
          <w:noProof/>
          <w:szCs w:val="22"/>
        </w:rPr>
        <w:tab/>
      </w:r>
      <w:r>
        <w:rPr>
          <w:noProof/>
        </w:rPr>
        <w:t>Minor Permit Modeling Review</w:t>
      </w:r>
      <w:r>
        <w:rPr>
          <w:noProof/>
        </w:rPr>
        <w:tab/>
      </w:r>
      <w:r>
        <w:rPr>
          <w:noProof/>
        </w:rPr>
        <w:fldChar w:fldCharType="begin"/>
      </w:r>
      <w:r>
        <w:rPr>
          <w:noProof/>
        </w:rPr>
        <w:instrText xml:space="preserve"> PAGEREF _Toc526778211 \h </w:instrText>
      </w:r>
      <w:r>
        <w:rPr>
          <w:noProof/>
        </w:rPr>
      </w:r>
      <w:r>
        <w:rPr>
          <w:noProof/>
        </w:rPr>
        <w:fldChar w:fldCharType="separate"/>
      </w:r>
      <w:r>
        <w:rPr>
          <w:noProof/>
        </w:rPr>
        <w:t>11</w:t>
      </w:r>
      <w:r>
        <w:rPr>
          <w:noProof/>
        </w:rPr>
        <w:fldChar w:fldCharType="end"/>
      </w:r>
    </w:p>
    <w:p w14:paraId="2AD0C23E" w14:textId="77777777" w:rsidR="00135FFD" w:rsidRDefault="00135FFD">
      <w:pPr>
        <w:pStyle w:val="TOC2"/>
        <w:tabs>
          <w:tab w:val="left" w:pos="960"/>
          <w:tab w:val="right" w:leader="dot" w:pos="8630"/>
        </w:tabs>
        <w:rPr>
          <w:rFonts w:asciiTheme="minorHAnsi" w:eastAsiaTheme="minorEastAsia" w:hAnsiTheme="minorHAnsi" w:cstheme="minorBidi"/>
          <w:smallCaps w:val="0"/>
          <w:noProof/>
          <w:szCs w:val="22"/>
        </w:rPr>
      </w:pPr>
      <w:r>
        <w:rPr>
          <w:noProof/>
        </w:rPr>
        <w:t>1.3</w:t>
      </w:r>
      <w:r>
        <w:rPr>
          <w:rFonts w:asciiTheme="minorHAnsi" w:eastAsiaTheme="minorEastAsia" w:hAnsiTheme="minorHAnsi" w:cstheme="minorBidi"/>
          <w:smallCaps w:val="0"/>
          <w:noProof/>
          <w:szCs w:val="22"/>
        </w:rPr>
        <w:tab/>
      </w:r>
      <w:r>
        <w:rPr>
          <w:noProof/>
        </w:rPr>
        <w:t>PSD Permit Modeling Review</w:t>
      </w:r>
      <w:r>
        <w:rPr>
          <w:noProof/>
        </w:rPr>
        <w:tab/>
      </w:r>
      <w:r>
        <w:rPr>
          <w:noProof/>
        </w:rPr>
        <w:fldChar w:fldCharType="begin"/>
      </w:r>
      <w:r>
        <w:rPr>
          <w:noProof/>
        </w:rPr>
        <w:instrText xml:space="preserve"> PAGEREF _Toc526778212 \h </w:instrText>
      </w:r>
      <w:r>
        <w:rPr>
          <w:noProof/>
        </w:rPr>
      </w:r>
      <w:r>
        <w:rPr>
          <w:noProof/>
        </w:rPr>
        <w:fldChar w:fldCharType="separate"/>
      </w:r>
      <w:r>
        <w:rPr>
          <w:noProof/>
        </w:rPr>
        <w:t>11</w:t>
      </w:r>
      <w:r>
        <w:rPr>
          <w:noProof/>
        </w:rPr>
        <w:fldChar w:fldCharType="end"/>
      </w:r>
    </w:p>
    <w:p w14:paraId="25B886E9" w14:textId="77777777" w:rsidR="00135FFD" w:rsidRDefault="00135FFD">
      <w:pPr>
        <w:pStyle w:val="TOC1"/>
        <w:tabs>
          <w:tab w:val="left" w:pos="475"/>
          <w:tab w:val="right" w:leader="dot" w:pos="8630"/>
        </w:tabs>
        <w:rPr>
          <w:rFonts w:asciiTheme="minorHAnsi" w:eastAsiaTheme="minorEastAsia" w:hAnsiTheme="minorHAnsi" w:cstheme="minorBidi"/>
          <w:b w:val="0"/>
          <w:caps w:val="0"/>
          <w:noProof/>
          <w:szCs w:val="22"/>
        </w:rPr>
      </w:pPr>
      <w:r w:rsidRPr="00366288">
        <w:rPr>
          <w:noProof/>
          <w:snapToGrid w:val="0"/>
        </w:rPr>
        <w:t>2.</w:t>
      </w:r>
      <w:r>
        <w:rPr>
          <w:rFonts w:asciiTheme="minorHAnsi" w:eastAsiaTheme="minorEastAsia" w:hAnsiTheme="minorHAnsi" w:cstheme="minorBidi"/>
          <w:b w:val="0"/>
          <w:caps w:val="0"/>
          <w:noProof/>
          <w:szCs w:val="22"/>
        </w:rPr>
        <w:tab/>
      </w:r>
      <w:r>
        <w:rPr>
          <w:noProof/>
        </w:rPr>
        <w:t>Detailed</w:t>
      </w:r>
      <w:r w:rsidRPr="00366288">
        <w:rPr>
          <w:noProof/>
          <w:snapToGrid w:val="0"/>
        </w:rPr>
        <w:t xml:space="preserve"> Discussion</w:t>
      </w:r>
      <w:r>
        <w:rPr>
          <w:noProof/>
        </w:rPr>
        <w:tab/>
      </w:r>
      <w:r>
        <w:rPr>
          <w:noProof/>
        </w:rPr>
        <w:fldChar w:fldCharType="begin"/>
      </w:r>
      <w:r>
        <w:rPr>
          <w:noProof/>
        </w:rPr>
        <w:instrText xml:space="preserve"> PAGEREF _Toc526778213 \h </w:instrText>
      </w:r>
      <w:r>
        <w:rPr>
          <w:noProof/>
        </w:rPr>
      </w:r>
      <w:r>
        <w:rPr>
          <w:noProof/>
        </w:rPr>
        <w:fldChar w:fldCharType="separate"/>
      </w:r>
      <w:r>
        <w:rPr>
          <w:noProof/>
        </w:rPr>
        <w:t>13</w:t>
      </w:r>
      <w:r>
        <w:rPr>
          <w:noProof/>
        </w:rPr>
        <w:fldChar w:fldCharType="end"/>
      </w:r>
    </w:p>
    <w:p w14:paraId="331C6FF0" w14:textId="77777777" w:rsidR="00135FFD" w:rsidRDefault="00135FFD">
      <w:pPr>
        <w:pStyle w:val="TOC2"/>
        <w:tabs>
          <w:tab w:val="left" w:pos="960"/>
          <w:tab w:val="right" w:leader="dot" w:pos="8630"/>
        </w:tabs>
        <w:rPr>
          <w:rFonts w:asciiTheme="minorHAnsi" w:eastAsiaTheme="minorEastAsia" w:hAnsiTheme="minorHAnsi" w:cstheme="minorBidi"/>
          <w:smallCaps w:val="0"/>
          <w:noProof/>
          <w:szCs w:val="22"/>
        </w:rPr>
      </w:pPr>
      <w:r w:rsidRPr="00366288">
        <w:rPr>
          <w:noProof/>
          <w:snapToGrid w:val="0"/>
        </w:rPr>
        <w:t>2.1</w:t>
      </w:r>
      <w:r>
        <w:rPr>
          <w:rFonts w:asciiTheme="minorHAnsi" w:eastAsiaTheme="minorEastAsia" w:hAnsiTheme="minorHAnsi" w:cstheme="minorBidi"/>
          <w:smallCaps w:val="0"/>
          <w:noProof/>
          <w:szCs w:val="22"/>
        </w:rPr>
        <w:tab/>
      </w:r>
      <w:r w:rsidRPr="00366288">
        <w:rPr>
          <w:noProof/>
          <w:snapToGrid w:val="0"/>
        </w:rPr>
        <w:t>Introduction</w:t>
      </w:r>
      <w:r>
        <w:rPr>
          <w:noProof/>
        </w:rPr>
        <w:tab/>
      </w:r>
      <w:r>
        <w:rPr>
          <w:noProof/>
        </w:rPr>
        <w:fldChar w:fldCharType="begin"/>
      </w:r>
      <w:r>
        <w:rPr>
          <w:noProof/>
        </w:rPr>
        <w:instrText xml:space="preserve"> PAGEREF _Toc526778214 \h </w:instrText>
      </w:r>
      <w:r>
        <w:rPr>
          <w:noProof/>
        </w:rPr>
      </w:r>
      <w:r>
        <w:rPr>
          <w:noProof/>
        </w:rPr>
        <w:fldChar w:fldCharType="separate"/>
      </w:r>
      <w:r>
        <w:rPr>
          <w:noProof/>
        </w:rPr>
        <w:t>15</w:t>
      </w:r>
      <w:r>
        <w:rPr>
          <w:noProof/>
        </w:rPr>
        <w:fldChar w:fldCharType="end"/>
      </w:r>
    </w:p>
    <w:p w14:paraId="64FF151D" w14:textId="77777777" w:rsidR="00135FFD" w:rsidRDefault="00135FFD">
      <w:pPr>
        <w:pStyle w:val="TOC3"/>
        <w:tabs>
          <w:tab w:val="left" w:pos="1200"/>
          <w:tab w:val="right" w:leader="dot" w:pos="8630"/>
        </w:tabs>
        <w:rPr>
          <w:rFonts w:asciiTheme="minorHAnsi" w:eastAsiaTheme="minorEastAsia" w:hAnsiTheme="minorHAnsi" w:cstheme="minorBidi"/>
          <w:i w:val="0"/>
          <w:noProof/>
          <w:szCs w:val="22"/>
        </w:rPr>
      </w:pPr>
      <w:r w:rsidRPr="00366288">
        <w:rPr>
          <w:noProof/>
          <w:snapToGrid w:val="0"/>
        </w:rPr>
        <w:t>2.1.1</w:t>
      </w:r>
      <w:r>
        <w:rPr>
          <w:rFonts w:asciiTheme="minorHAnsi" w:eastAsiaTheme="minorEastAsia" w:hAnsiTheme="minorHAnsi" w:cstheme="minorBidi"/>
          <w:i w:val="0"/>
          <w:noProof/>
          <w:szCs w:val="22"/>
        </w:rPr>
        <w:tab/>
      </w:r>
      <w:r w:rsidRPr="00366288">
        <w:rPr>
          <w:noProof/>
          <w:snapToGrid w:val="0"/>
        </w:rPr>
        <w:t>Perspective</w:t>
      </w:r>
      <w:r>
        <w:rPr>
          <w:noProof/>
        </w:rPr>
        <w:tab/>
      </w:r>
      <w:r>
        <w:rPr>
          <w:noProof/>
        </w:rPr>
        <w:fldChar w:fldCharType="begin"/>
      </w:r>
      <w:r>
        <w:rPr>
          <w:noProof/>
        </w:rPr>
        <w:instrText xml:space="preserve"> PAGEREF _Toc526778215 \h </w:instrText>
      </w:r>
      <w:r>
        <w:rPr>
          <w:noProof/>
        </w:rPr>
      </w:r>
      <w:r>
        <w:rPr>
          <w:noProof/>
        </w:rPr>
        <w:fldChar w:fldCharType="separate"/>
      </w:r>
      <w:r>
        <w:rPr>
          <w:noProof/>
        </w:rPr>
        <w:t>15</w:t>
      </w:r>
      <w:r>
        <w:rPr>
          <w:noProof/>
        </w:rPr>
        <w:fldChar w:fldCharType="end"/>
      </w:r>
    </w:p>
    <w:p w14:paraId="28D9EBF4" w14:textId="77777777" w:rsidR="00135FFD" w:rsidRDefault="00135FFD">
      <w:pPr>
        <w:pStyle w:val="TOC3"/>
        <w:tabs>
          <w:tab w:val="left" w:pos="1200"/>
          <w:tab w:val="right" w:leader="dot" w:pos="8630"/>
        </w:tabs>
        <w:rPr>
          <w:rFonts w:asciiTheme="minorHAnsi" w:eastAsiaTheme="minorEastAsia" w:hAnsiTheme="minorHAnsi" w:cstheme="minorBidi"/>
          <w:i w:val="0"/>
          <w:noProof/>
          <w:szCs w:val="22"/>
        </w:rPr>
      </w:pPr>
      <w:r w:rsidRPr="00366288">
        <w:rPr>
          <w:noProof/>
          <w:snapToGrid w:val="0"/>
        </w:rPr>
        <w:t>2.1.2</w:t>
      </w:r>
      <w:r>
        <w:rPr>
          <w:rFonts w:asciiTheme="minorHAnsi" w:eastAsiaTheme="minorEastAsia" w:hAnsiTheme="minorHAnsi" w:cstheme="minorBidi"/>
          <w:i w:val="0"/>
          <w:noProof/>
          <w:szCs w:val="22"/>
        </w:rPr>
        <w:tab/>
      </w:r>
      <w:r w:rsidRPr="00366288">
        <w:rPr>
          <w:noProof/>
          <w:snapToGrid w:val="0"/>
        </w:rPr>
        <w:t>ADEC Regulatory Requirements</w:t>
      </w:r>
      <w:r>
        <w:rPr>
          <w:noProof/>
        </w:rPr>
        <w:tab/>
      </w:r>
      <w:r>
        <w:rPr>
          <w:noProof/>
        </w:rPr>
        <w:fldChar w:fldCharType="begin"/>
      </w:r>
      <w:r>
        <w:rPr>
          <w:noProof/>
        </w:rPr>
        <w:instrText xml:space="preserve"> PAGEREF _Toc526778216 \h </w:instrText>
      </w:r>
      <w:r>
        <w:rPr>
          <w:noProof/>
        </w:rPr>
      </w:r>
      <w:r>
        <w:rPr>
          <w:noProof/>
        </w:rPr>
        <w:fldChar w:fldCharType="separate"/>
      </w:r>
      <w:r>
        <w:rPr>
          <w:noProof/>
        </w:rPr>
        <w:t>16</w:t>
      </w:r>
      <w:r>
        <w:rPr>
          <w:noProof/>
        </w:rPr>
        <w:fldChar w:fldCharType="end"/>
      </w:r>
    </w:p>
    <w:p w14:paraId="4B3DB121" w14:textId="77777777" w:rsidR="00135FFD" w:rsidRDefault="00135FFD">
      <w:pPr>
        <w:pStyle w:val="TOC3"/>
        <w:tabs>
          <w:tab w:val="left" w:pos="1200"/>
          <w:tab w:val="right" w:leader="dot" w:pos="8630"/>
        </w:tabs>
        <w:rPr>
          <w:rFonts w:asciiTheme="minorHAnsi" w:eastAsiaTheme="minorEastAsia" w:hAnsiTheme="minorHAnsi" w:cstheme="minorBidi"/>
          <w:i w:val="0"/>
          <w:noProof/>
          <w:szCs w:val="22"/>
        </w:rPr>
      </w:pPr>
      <w:r w:rsidRPr="00366288">
        <w:rPr>
          <w:noProof/>
          <w:snapToGrid w:val="0"/>
        </w:rPr>
        <w:t>2.1.3</w:t>
      </w:r>
      <w:r>
        <w:rPr>
          <w:rFonts w:asciiTheme="minorHAnsi" w:eastAsiaTheme="minorEastAsia" w:hAnsiTheme="minorHAnsi" w:cstheme="minorBidi"/>
          <w:i w:val="0"/>
          <w:noProof/>
          <w:szCs w:val="22"/>
        </w:rPr>
        <w:tab/>
      </w:r>
      <w:r w:rsidRPr="00366288">
        <w:rPr>
          <w:noProof/>
          <w:snapToGrid w:val="0"/>
        </w:rPr>
        <w:t>EPA Guidance on General Modeling Procedures</w:t>
      </w:r>
      <w:r>
        <w:rPr>
          <w:noProof/>
        </w:rPr>
        <w:tab/>
      </w:r>
      <w:r>
        <w:rPr>
          <w:noProof/>
        </w:rPr>
        <w:fldChar w:fldCharType="begin"/>
      </w:r>
      <w:r>
        <w:rPr>
          <w:noProof/>
        </w:rPr>
        <w:instrText xml:space="preserve"> PAGEREF _Toc526778217 \h </w:instrText>
      </w:r>
      <w:r>
        <w:rPr>
          <w:noProof/>
        </w:rPr>
      </w:r>
      <w:r>
        <w:rPr>
          <w:noProof/>
        </w:rPr>
        <w:fldChar w:fldCharType="separate"/>
      </w:r>
      <w:r>
        <w:rPr>
          <w:noProof/>
        </w:rPr>
        <w:t>17</w:t>
      </w:r>
      <w:r>
        <w:rPr>
          <w:noProof/>
        </w:rPr>
        <w:fldChar w:fldCharType="end"/>
      </w:r>
    </w:p>
    <w:p w14:paraId="18C10F64" w14:textId="77777777" w:rsidR="00135FFD" w:rsidRDefault="00135FFD">
      <w:pPr>
        <w:pStyle w:val="TOC3"/>
        <w:tabs>
          <w:tab w:val="left" w:pos="1200"/>
          <w:tab w:val="right" w:leader="dot" w:pos="8630"/>
        </w:tabs>
        <w:rPr>
          <w:rFonts w:asciiTheme="minorHAnsi" w:eastAsiaTheme="minorEastAsia" w:hAnsiTheme="minorHAnsi" w:cstheme="minorBidi"/>
          <w:i w:val="0"/>
          <w:noProof/>
          <w:szCs w:val="22"/>
        </w:rPr>
      </w:pPr>
      <w:r w:rsidRPr="00366288">
        <w:rPr>
          <w:noProof/>
          <w:snapToGrid w:val="0"/>
        </w:rPr>
        <w:t>2.1.4</w:t>
      </w:r>
      <w:r>
        <w:rPr>
          <w:rFonts w:asciiTheme="minorHAnsi" w:eastAsiaTheme="minorEastAsia" w:hAnsiTheme="minorHAnsi" w:cstheme="minorBidi"/>
          <w:i w:val="0"/>
          <w:noProof/>
          <w:szCs w:val="22"/>
        </w:rPr>
        <w:tab/>
      </w:r>
      <w:r w:rsidRPr="00366288">
        <w:rPr>
          <w:noProof/>
          <w:snapToGrid w:val="0"/>
        </w:rPr>
        <w:t>General Discussion Regarding PSD Increments</w:t>
      </w:r>
      <w:r>
        <w:rPr>
          <w:noProof/>
        </w:rPr>
        <w:tab/>
      </w:r>
      <w:r>
        <w:rPr>
          <w:noProof/>
        </w:rPr>
        <w:fldChar w:fldCharType="begin"/>
      </w:r>
      <w:r>
        <w:rPr>
          <w:noProof/>
        </w:rPr>
        <w:instrText xml:space="preserve"> PAGEREF _Toc526778218 \h </w:instrText>
      </w:r>
      <w:r>
        <w:rPr>
          <w:noProof/>
        </w:rPr>
      </w:r>
      <w:r>
        <w:rPr>
          <w:noProof/>
        </w:rPr>
        <w:fldChar w:fldCharType="separate"/>
      </w:r>
      <w:r>
        <w:rPr>
          <w:noProof/>
        </w:rPr>
        <w:t>18</w:t>
      </w:r>
      <w:r>
        <w:rPr>
          <w:noProof/>
        </w:rPr>
        <w:fldChar w:fldCharType="end"/>
      </w:r>
    </w:p>
    <w:p w14:paraId="41781EFC" w14:textId="77777777" w:rsidR="00135FFD" w:rsidRDefault="00135FFD">
      <w:pPr>
        <w:pStyle w:val="TOC4"/>
        <w:tabs>
          <w:tab w:val="left" w:pos="1680"/>
          <w:tab w:val="right" w:leader="dot" w:pos="8630"/>
        </w:tabs>
        <w:rPr>
          <w:rFonts w:asciiTheme="minorHAnsi" w:eastAsiaTheme="minorEastAsia" w:hAnsiTheme="minorHAnsi" w:cstheme="minorBidi"/>
          <w:i w:val="0"/>
          <w:noProof/>
          <w:szCs w:val="22"/>
        </w:rPr>
      </w:pPr>
      <w:r>
        <w:rPr>
          <w:noProof/>
        </w:rPr>
        <w:t>2.1.4.1</w:t>
      </w:r>
      <w:r>
        <w:rPr>
          <w:rFonts w:asciiTheme="minorHAnsi" w:eastAsiaTheme="minorEastAsia" w:hAnsiTheme="minorHAnsi" w:cstheme="minorBidi"/>
          <w:i w:val="0"/>
          <w:noProof/>
          <w:szCs w:val="22"/>
        </w:rPr>
        <w:tab/>
      </w:r>
      <w:r>
        <w:rPr>
          <w:noProof/>
        </w:rPr>
        <w:t>Baseline Concentrations, Dates and Areas</w:t>
      </w:r>
      <w:r>
        <w:rPr>
          <w:noProof/>
        </w:rPr>
        <w:tab/>
      </w:r>
      <w:r>
        <w:rPr>
          <w:noProof/>
        </w:rPr>
        <w:fldChar w:fldCharType="begin"/>
      </w:r>
      <w:r>
        <w:rPr>
          <w:noProof/>
        </w:rPr>
        <w:instrText xml:space="preserve"> PAGEREF _Toc526778219 \h </w:instrText>
      </w:r>
      <w:r>
        <w:rPr>
          <w:noProof/>
        </w:rPr>
      </w:r>
      <w:r>
        <w:rPr>
          <w:noProof/>
        </w:rPr>
        <w:fldChar w:fldCharType="separate"/>
      </w:r>
      <w:r>
        <w:rPr>
          <w:noProof/>
        </w:rPr>
        <w:t>20</w:t>
      </w:r>
      <w:r>
        <w:rPr>
          <w:noProof/>
        </w:rPr>
        <w:fldChar w:fldCharType="end"/>
      </w:r>
    </w:p>
    <w:p w14:paraId="3849711B" w14:textId="77777777" w:rsidR="00135FFD" w:rsidRDefault="00135FFD">
      <w:pPr>
        <w:pStyle w:val="TOC4"/>
        <w:tabs>
          <w:tab w:val="left" w:pos="1680"/>
          <w:tab w:val="right" w:leader="dot" w:pos="8630"/>
        </w:tabs>
        <w:rPr>
          <w:rFonts w:asciiTheme="minorHAnsi" w:eastAsiaTheme="minorEastAsia" w:hAnsiTheme="minorHAnsi" w:cstheme="minorBidi"/>
          <w:i w:val="0"/>
          <w:noProof/>
          <w:szCs w:val="22"/>
        </w:rPr>
      </w:pPr>
      <w:r>
        <w:rPr>
          <w:noProof/>
        </w:rPr>
        <w:t>2.1.4.2</w:t>
      </w:r>
      <w:r>
        <w:rPr>
          <w:rFonts w:asciiTheme="minorHAnsi" w:eastAsiaTheme="minorEastAsia" w:hAnsiTheme="minorHAnsi" w:cstheme="minorBidi"/>
          <w:i w:val="0"/>
          <w:noProof/>
          <w:szCs w:val="22"/>
        </w:rPr>
        <w:tab/>
      </w:r>
      <w:r>
        <w:rPr>
          <w:noProof/>
        </w:rPr>
        <w:t>How PSD Increments Vary by Area Classification</w:t>
      </w:r>
      <w:r>
        <w:rPr>
          <w:noProof/>
        </w:rPr>
        <w:tab/>
      </w:r>
      <w:r>
        <w:rPr>
          <w:noProof/>
        </w:rPr>
        <w:fldChar w:fldCharType="begin"/>
      </w:r>
      <w:r>
        <w:rPr>
          <w:noProof/>
        </w:rPr>
        <w:instrText xml:space="preserve"> PAGEREF _Toc526778220 \h </w:instrText>
      </w:r>
      <w:r>
        <w:rPr>
          <w:noProof/>
        </w:rPr>
      </w:r>
      <w:r>
        <w:rPr>
          <w:noProof/>
        </w:rPr>
        <w:fldChar w:fldCharType="separate"/>
      </w:r>
      <w:r>
        <w:rPr>
          <w:noProof/>
        </w:rPr>
        <w:t>21</w:t>
      </w:r>
      <w:r>
        <w:rPr>
          <w:noProof/>
        </w:rPr>
        <w:fldChar w:fldCharType="end"/>
      </w:r>
    </w:p>
    <w:p w14:paraId="7484DE30" w14:textId="77777777" w:rsidR="00135FFD" w:rsidRDefault="00135FFD">
      <w:pPr>
        <w:pStyle w:val="TOC4"/>
        <w:tabs>
          <w:tab w:val="left" w:pos="1680"/>
          <w:tab w:val="right" w:leader="dot" w:pos="8630"/>
        </w:tabs>
        <w:rPr>
          <w:rFonts w:asciiTheme="minorHAnsi" w:eastAsiaTheme="minorEastAsia" w:hAnsiTheme="minorHAnsi" w:cstheme="minorBidi"/>
          <w:i w:val="0"/>
          <w:noProof/>
          <w:szCs w:val="22"/>
        </w:rPr>
      </w:pPr>
      <w:r>
        <w:rPr>
          <w:noProof/>
        </w:rPr>
        <w:t>2.1.4.3</w:t>
      </w:r>
      <w:r>
        <w:rPr>
          <w:rFonts w:asciiTheme="minorHAnsi" w:eastAsiaTheme="minorEastAsia" w:hAnsiTheme="minorHAnsi" w:cstheme="minorBidi"/>
          <w:i w:val="0"/>
          <w:noProof/>
          <w:szCs w:val="22"/>
        </w:rPr>
        <w:tab/>
      </w:r>
      <w:r>
        <w:rPr>
          <w:noProof/>
        </w:rPr>
        <w:t>Increments with No Air Quality Standards</w:t>
      </w:r>
      <w:r>
        <w:rPr>
          <w:noProof/>
        </w:rPr>
        <w:tab/>
      </w:r>
      <w:r>
        <w:rPr>
          <w:noProof/>
        </w:rPr>
        <w:fldChar w:fldCharType="begin"/>
      </w:r>
      <w:r>
        <w:rPr>
          <w:noProof/>
        </w:rPr>
        <w:instrText xml:space="preserve"> PAGEREF _Toc526778221 \h </w:instrText>
      </w:r>
      <w:r>
        <w:rPr>
          <w:noProof/>
        </w:rPr>
      </w:r>
      <w:r>
        <w:rPr>
          <w:noProof/>
        </w:rPr>
        <w:fldChar w:fldCharType="separate"/>
      </w:r>
      <w:r>
        <w:rPr>
          <w:noProof/>
        </w:rPr>
        <w:t>22</w:t>
      </w:r>
      <w:r>
        <w:rPr>
          <w:noProof/>
        </w:rPr>
        <w:fldChar w:fldCharType="end"/>
      </w:r>
    </w:p>
    <w:p w14:paraId="284CDF49" w14:textId="77777777" w:rsidR="00135FFD" w:rsidRDefault="00135FFD">
      <w:pPr>
        <w:pStyle w:val="TOC4"/>
        <w:tabs>
          <w:tab w:val="left" w:pos="1680"/>
          <w:tab w:val="right" w:leader="dot" w:pos="8630"/>
        </w:tabs>
        <w:rPr>
          <w:rFonts w:asciiTheme="minorHAnsi" w:eastAsiaTheme="minorEastAsia" w:hAnsiTheme="minorHAnsi" w:cstheme="minorBidi"/>
          <w:i w:val="0"/>
          <w:noProof/>
          <w:szCs w:val="22"/>
        </w:rPr>
      </w:pPr>
      <w:r>
        <w:rPr>
          <w:noProof/>
        </w:rPr>
        <w:t>2.1.4.4</w:t>
      </w:r>
      <w:r>
        <w:rPr>
          <w:rFonts w:asciiTheme="minorHAnsi" w:eastAsiaTheme="minorEastAsia" w:hAnsiTheme="minorHAnsi" w:cstheme="minorBidi"/>
          <w:i w:val="0"/>
          <w:noProof/>
          <w:szCs w:val="22"/>
        </w:rPr>
        <w:tab/>
      </w:r>
      <w:r>
        <w:rPr>
          <w:noProof/>
        </w:rPr>
        <w:t>Modeling PSD Increments</w:t>
      </w:r>
      <w:r>
        <w:rPr>
          <w:noProof/>
        </w:rPr>
        <w:tab/>
      </w:r>
      <w:r>
        <w:rPr>
          <w:noProof/>
        </w:rPr>
        <w:fldChar w:fldCharType="begin"/>
      </w:r>
      <w:r>
        <w:rPr>
          <w:noProof/>
        </w:rPr>
        <w:instrText xml:space="preserve"> PAGEREF _Toc526778222 \h </w:instrText>
      </w:r>
      <w:r>
        <w:rPr>
          <w:noProof/>
        </w:rPr>
      </w:r>
      <w:r>
        <w:rPr>
          <w:noProof/>
        </w:rPr>
        <w:fldChar w:fldCharType="separate"/>
      </w:r>
      <w:r>
        <w:rPr>
          <w:noProof/>
        </w:rPr>
        <w:t>22</w:t>
      </w:r>
      <w:r>
        <w:rPr>
          <w:noProof/>
        </w:rPr>
        <w:fldChar w:fldCharType="end"/>
      </w:r>
    </w:p>
    <w:p w14:paraId="281EB323" w14:textId="77777777" w:rsidR="00135FFD" w:rsidRDefault="00135FFD">
      <w:pPr>
        <w:pStyle w:val="TOC3"/>
        <w:tabs>
          <w:tab w:val="left" w:pos="1200"/>
          <w:tab w:val="right" w:leader="dot" w:pos="8630"/>
        </w:tabs>
        <w:rPr>
          <w:rFonts w:asciiTheme="minorHAnsi" w:eastAsiaTheme="minorEastAsia" w:hAnsiTheme="minorHAnsi" w:cstheme="minorBidi"/>
          <w:i w:val="0"/>
          <w:noProof/>
          <w:szCs w:val="22"/>
        </w:rPr>
      </w:pPr>
      <w:r w:rsidRPr="00366288">
        <w:rPr>
          <w:noProof/>
          <w:snapToGrid w:val="0"/>
        </w:rPr>
        <w:t>2.1.5</w:t>
      </w:r>
      <w:r>
        <w:rPr>
          <w:rFonts w:asciiTheme="minorHAnsi" w:eastAsiaTheme="minorEastAsia" w:hAnsiTheme="minorHAnsi" w:cstheme="minorBidi"/>
          <w:i w:val="0"/>
          <w:noProof/>
          <w:szCs w:val="22"/>
        </w:rPr>
        <w:tab/>
      </w:r>
      <w:r w:rsidRPr="00366288">
        <w:rPr>
          <w:noProof/>
          <w:snapToGrid w:val="0"/>
        </w:rPr>
        <w:t>FLAG Guidance on Class I Analysis Procedures</w:t>
      </w:r>
      <w:r>
        <w:rPr>
          <w:noProof/>
        </w:rPr>
        <w:tab/>
      </w:r>
      <w:r>
        <w:rPr>
          <w:noProof/>
        </w:rPr>
        <w:fldChar w:fldCharType="begin"/>
      </w:r>
      <w:r>
        <w:rPr>
          <w:noProof/>
        </w:rPr>
        <w:instrText xml:space="preserve"> PAGEREF _Toc526778223 \h </w:instrText>
      </w:r>
      <w:r>
        <w:rPr>
          <w:noProof/>
        </w:rPr>
      </w:r>
      <w:r>
        <w:rPr>
          <w:noProof/>
        </w:rPr>
        <w:fldChar w:fldCharType="separate"/>
      </w:r>
      <w:r>
        <w:rPr>
          <w:noProof/>
        </w:rPr>
        <w:t>22</w:t>
      </w:r>
      <w:r>
        <w:rPr>
          <w:noProof/>
        </w:rPr>
        <w:fldChar w:fldCharType="end"/>
      </w:r>
    </w:p>
    <w:p w14:paraId="3CCB015C" w14:textId="77777777" w:rsidR="00135FFD" w:rsidRDefault="00135FFD">
      <w:pPr>
        <w:pStyle w:val="TOC3"/>
        <w:tabs>
          <w:tab w:val="left" w:pos="1200"/>
          <w:tab w:val="right" w:leader="dot" w:pos="8630"/>
        </w:tabs>
        <w:rPr>
          <w:rFonts w:asciiTheme="minorHAnsi" w:eastAsiaTheme="minorEastAsia" w:hAnsiTheme="minorHAnsi" w:cstheme="minorBidi"/>
          <w:i w:val="0"/>
          <w:noProof/>
          <w:szCs w:val="22"/>
        </w:rPr>
      </w:pPr>
      <w:r w:rsidRPr="00366288">
        <w:rPr>
          <w:noProof/>
          <w:snapToGrid w:val="0"/>
        </w:rPr>
        <w:t>2.1.6</w:t>
      </w:r>
      <w:r>
        <w:rPr>
          <w:rFonts w:asciiTheme="minorHAnsi" w:eastAsiaTheme="minorEastAsia" w:hAnsiTheme="minorHAnsi" w:cstheme="minorBidi"/>
          <w:i w:val="0"/>
          <w:noProof/>
          <w:szCs w:val="22"/>
        </w:rPr>
        <w:tab/>
      </w:r>
      <w:r w:rsidRPr="00366288">
        <w:rPr>
          <w:noProof/>
          <w:snapToGrid w:val="0"/>
        </w:rPr>
        <w:t>Levels of Modeling Sophistication</w:t>
      </w:r>
      <w:r>
        <w:rPr>
          <w:noProof/>
        </w:rPr>
        <w:tab/>
      </w:r>
      <w:r>
        <w:rPr>
          <w:noProof/>
        </w:rPr>
        <w:fldChar w:fldCharType="begin"/>
      </w:r>
      <w:r>
        <w:rPr>
          <w:noProof/>
        </w:rPr>
        <w:instrText xml:space="preserve"> PAGEREF _Toc526778224 \h </w:instrText>
      </w:r>
      <w:r>
        <w:rPr>
          <w:noProof/>
        </w:rPr>
      </w:r>
      <w:r>
        <w:rPr>
          <w:noProof/>
        </w:rPr>
        <w:fldChar w:fldCharType="separate"/>
      </w:r>
      <w:r>
        <w:rPr>
          <w:noProof/>
        </w:rPr>
        <w:t>24</w:t>
      </w:r>
      <w:r>
        <w:rPr>
          <w:noProof/>
        </w:rPr>
        <w:fldChar w:fldCharType="end"/>
      </w:r>
    </w:p>
    <w:p w14:paraId="52FFF060" w14:textId="77777777" w:rsidR="00135FFD" w:rsidRDefault="00135FFD">
      <w:pPr>
        <w:pStyle w:val="TOC4"/>
        <w:tabs>
          <w:tab w:val="left" w:pos="1680"/>
          <w:tab w:val="right" w:leader="dot" w:pos="8630"/>
        </w:tabs>
        <w:rPr>
          <w:rFonts w:asciiTheme="minorHAnsi" w:eastAsiaTheme="minorEastAsia" w:hAnsiTheme="minorHAnsi" w:cstheme="minorBidi"/>
          <w:i w:val="0"/>
          <w:noProof/>
          <w:szCs w:val="22"/>
        </w:rPr>
      </w:pPr>
      <w:r w:rsidRPr="00366288">
        <w:rPr>
          <w:noProof/>
          <w:snapToGrid w:val="0"/>
        </w:rPr>
        <w:t>2.1.6.1</w:t>
      </w:r>
      <w:r>
        <w:rPr>
          <w:rFonts w:asciiTheme="minorHAnsi" w:eastAsiaTheme="minorEastAsia" w:hAnsiTheme="minorHAnsi" w:cstheme="minorBidi"/>
          <w:i w:val="0"/>
          <w:noProof/>
          <w:szCs w:val="22"/>
        </w:rPr>
        <w:tab/>
      </w:r>
      <w:r w:rsidRPr="00366288">
        <w:rPr>
          <w:noProof/>
          <w:snapToGrid w:val="0"/>
        </w:rPr>
        <w:t>AERMOD</w:t>
      </w:r>
      <w:r>
        <w:rPr>
          <w:noProof/>
        </w:rPr>
        <w:tab/>
      </w:r>
      <w:r>
        <w:rPr>
          <w:noProof/>
        </w:rPr>
        <w:fldChar w:fldCharType="begin"/>
      </w:r>
      <w:r>
        <w:rPr>
          <w:noProof/>
        </w:rPr>
        <w:instrText xml:space="preserve"> PAGEREF _Toc526778225 \h </w:instrText>
      </w:r>
      <w:r>
        <w:rPr>
          <w:noProof/>
        </w:rPr>
      </w:r>
      <w:r>
        <w:rPr>
          <w:noProof/>
        </w:rPr>
        <w:fldChar w:fldCharType="separate"/>
      </w:r>
      <w:r>
        <w:rPr>
          <w:noProof/>
        </w:rPr>
        <w:t>25</w:t>
      </w:r>
      <w:r>
        <w:rPr>
          <w:noProof/>
        </w:rPr>
        <w:fldChar w:fldCharType="end"/>
      </w:r>
    </w:p>
    <w:p w14:paraId="3FB5776E" w14:textId="77777777" w:rsidR="00135FFD" w:rsidRDefault="00135FFD">
      <w:pPr>
        <w:pStyle w:val="TOC4"/>
        <w:tabs>
          <w:tab w:val="left" w:pos="1680"/>
          <w:tab w:val="right" w:leader="dot" w:pos="8630"/>
        </w:tabs>
        <w:rPr>
          <w:rFonts w:asciiTheme="minorHAnsi" w:eastAsiaTheme="minorEastAsia" w:hAnsiTheme="minorHAnsi" w:cstheme="minorBidi"/>
          <w:i w:val="0"/>
          <w:noProof/>
          <w:szCs w:val="22"/>
        </w:rPr>
      </w:pPr>
      <w:r w:rsidRPr="00366288">
        <w:rPr>
          <w:noProof/>
          <w:snapToGrid w:val="0"/>
        </w:rPr>
        <w:t>2.1.6.2</w:t>
      </w:r>
      <w:r>
        <w:rPr>
          <w:rFonts w:asciiTheme="minorHAnsi" w:eastAsiaTheme="minorEastAsia" w:hAnsiTheme="minorHAnsi" w:cstheme="minorBidi"/>
          <w:i w:val="0"/>
          <w:noProof/>
          <w:szCs w:val="22"/>
        </w:rPr>
        <w:tab/>
      </w:r>
      <w:r w:rsidRPr="00366288">
        <w:rPr>
          <w:noProof/>
          <w:snapToGrid w:val="0"/>
        </w:rPr>
        <w:t>OCD</w:t>
      </w:r>
      <w:r>
        <w:rPr>
          <w:noProof/>
        </w:rPr>
        <w:tab/>
      </w:r>
      <w:r>
        <w:rPr>
          <w:noProof/>
        </w:rPr>
        <w:fldChar w:fldCharType="begin"/>
      </w:r>
      <w:r>
        <w:rPr>
          <w:noProof/>
        </w:rPr>
        <w:instrText xml:space="preserve"> PAGEREF _Toc526778226 \h </w:instrText>
      </w:r>
      <w:r>
        <w:rPr>
          <w:noProof/>
        </w:rPr>
      </w:r>
      <w:r>
        <w:rPr>
          <w:noProof/>
        </w:rPr>
        <w:fldChar w:fldCharType="separate"/>
      </w:r>
      <w:r>
        <w:rPr>
          <w:noProof/>
        </w:rPr>
        <w:t>25</w:t>
      </w:r>
      <w:r>
        <w:rPr>
          <w:noProof/>
        </w:rPr>
        <w:fldChar w:fldCharType="end"/>
      </w:r>
    </w:p>
    <w:p w14:paraId="2FB387A9" w14:textId="77777777" w:rsidR="00135FFD" w:rsidRDefault="00135FFD">
      <w:pPr>
        <w:pStyle w:val="TOC4"/>
        <w:tabs>
          <w:tab w:val="left" w:pos="1680"/>
          <w:tab w:val="right" w:leader="dot" w:pos="8630"/>
        </w:tabs>
        <w:rPr>
          <w:rFonts w:asciiTheme="minorHAnsi" w:eastAsiaTheme="minorEastAsia" w:hAnsiTheme="minorHAnsi" w:cstheme="minorBidi"/>
          <w:i w:val="0"/>
          <w:noProof/>
          <w:szCs w:val="22"/>
        </w:rPr>
      </w:pPr>
      <w:r w:rsidRPr="00366288">
        <w:rPr>
          <w:noProof/>
          <w:snapToGrid w:val="0"/>
        </w:rPr>
        <w:t>2.1.6.3</w:t>
      </w:r>
      <w:r>
        <w:rPr>
          <w:rFonts w:asciiTheme="minorHAnsi" w:eastAsiaTheme="minorEastAsia" w:hAnsiTheme="minorHAnsi" w:cstheme="minorBidi"/>
          <w:i w:val="0"/>
          <w:noProof/>
          <w:szCs w:val="22"/>
        </w:rPr>
        <w:tab/>
      </w:r>
      <w:r w:rsidRPr="00366288">
        <w:rPr>
          <w:noProof/>
          <w:snapToGrid w:val="0"/>
        </w:rPr>
        <w:t>VISCREEN</w:t>
      </w:r>
      <w:r>
        <w:rPr>
          <w:noProof/>
        </w:rPr>
        <w:tab/>
      </w:r>
      <w:r>
        <w:rPr>
          <w:noProof/>
        </w:rPr>
        <w:fldChar w:fldCharType="begin"/>
      </w:r>
      <w:r>
        <w:rPr>
          <w:noProof/>
        </w:rPr>
        <w:instrText xml:space="preserve"> PAGEREF _Toc526778227 \h </w:instrText>
      </w:r>
      <w:r>
        <w:rPr>
          <w:noProof/>
        </w:rPr>
      </w:r>
      <w:r>
        <w:rPr>
          <w:noProof/>
        </w:rPr>
        <w:fldChar w:fldCharType="separate"/>
      </w:r>
      <w:r>
        <w:rPr>
          <w:noProof/>
        </w:rPr>
        <w:t>26</w:t>
      </w:r>
      <w:r>
        <w:rPr>
          <w:noProof/>
        </w:rPr>
        <w:fldChar w:fldCharType="end"/>
      </w:r>
    </w:p>
    <w:p w14:paraId="156829ED" w14:textId="77777777" w:rsidR="00135FFD" w:rsidRDefault="00135FFD">
      <w:pPr>
        <w:pStyle w:val="TOC4"/>
        <w:tabs>
          <w:tab w:val="left" w:pos="1680"/>
          <w:tab w:val="right" w:leader="dot" w:pos="8630"/>
        </w:tabs>
        <w:rPr>
          <w:rFonts w:asciiTheme="minorHAnsi" w:eastAsiaTheme="minorEastAsia" w:hAnsiTheme="minorHAnsi" w:cstheme="minorBidi"/>
          <w:i w:val="0"/>
          <w:noProof/>
          <w:szCs w:val="22"/>
        </w:rPr>
      </w:pPr>
      <w:r>
        <w:rPr>
          <w:noProof/>
        </w:rPr>
        <w:t>2.1.6.4</w:t>
      </w:r>
      <w:r>
        <w:rPr>
          <w:rFonts w:asciiTheme="minorHAnsi" w:eastAsiaTheme="minorEastAsia" w:hAnsiTheme="minorHAnsi" w:cstheme="minorBidi"/>
          <w:i w:val="0"/>
          <w:noProof/>
          <w:szCs w:val="22"/>
        </w:rPr>
        <w:tab/>
      </w:r>
      <w:r>
        <w:rPr>
          <w:noProof/>
        </w:rPr>
        <w:t>CALPUFF</w:t>
      </w:r>
      <w:r>
        <w:rPr>
          <w:noProof/>
        </w:rPr>
        <w:tab/>
      </w:r>
      <w:r>
        <w:rPr>
          <w:noProof/>
        </w:rPr>
        <w:fldChar w:fldCharType="begin"/>
      </w:r>
      <w:r>
        <w:rPr>
          <w:noProof/>
        </w:rPr>
        <w:instrText xml:space="preserve"> PAGEREF _Toc526778228 \h </w:instrText>
      </w:r>
      <w:r>
        <w:rPr>
          <w:noProof/>
        </w:rPr>
      </w:r>
      <w:r>
        <w:rPr>
          <w:noProof/>
        </w:rPr>
        <w:fldChar w:fldCharType="separate"/>
      </w:r>
      <w:r>
        <w:rPr>
          <w:noProof/>
        </w:rPr>
        <w:t>26</w:t>
      </w:r>
      <w:r>
        <w:rPr>
          <w:noProof/>
        </w:rPr>
        <w:fldChar w:fldCharType="end"/>
      </w:r>
    </w:p>
    <w:p w14:paraId="581D202B" w14:textId="77777777" w:rsidR="00135FFD" w:rsidRDefault="00135FFD">
      <w:pPr>
        <w:pStyle w:val="TOC2"/>
        <w:tabs>
          <w:tab w:val="left" w:pos="960"/>
          <w:tab w:val="right" w:leader="dot" w:pos="8630"/>
        </w:tabs>
        <w:rPr>
          <w:rFonts w:asciiTheme="minorHAnsi" w:eastAsiaTheme="minorEastAsia" w:hAnsiTheme="minorHAnsi" w:cstheme="minorBidi"/>
          <w:smallCaps w:val="0"/>
          <w:noProof/>
          <w:szCs w:val="22"/>
        </w:rPr>
      </w:pPr>
      <w:r>
        <w:rPr>
          <w:noProof/>
        </w:rPr>
        <w:t>2.2</w:t>
      </w:r>
      <w:r>
        <w:rPr>
          <w:rFonts w:asciiTheme="minorHAnsi" w:eastAsiaTheme="minorEastAsia" w:hAnsiTheme="minorHAnsi" w:cstheme="minorBidi"/>
          <w:smallCaps w:val="0"/>
          <w:noProof/>
          <w:szCs w:val="22"/>
        </w:rPr>
        <w:tab/>
      </w:r>
      <w:r>
        <w:rPr>
          <w:noProof/>
        </w:rPr>
        <w:t>General Procedures for the Modeling Review</w:t>
      </w:r>
      <w:r>
        <w:rPr>
          <w:noProof/>
        </w:rPr>
        <w:tab/>
      </w:r>
      <w:r>
        <w:rPr>
          <w:noProof/>
        </w:rPr>
        <w:fldChar w:fldCharType="begin"/>
      </w:r>
      <w:r>
        <w:rPr>
          <w:noProof/>
        </w:rPr>
        <w:instrText xml:space="preserve"> PAGEREF _Toc526778229 \h </w:instrText>
      </w:r>
      <w:r>
        <w:rPr>
          <w:noProof/>
        </w:rPr>
      </w:r>
      <w:r>
        <w:rPr>
          <w:noProof/>
        </w:rPr>
        <w:fldChar w:fldCharType="separate"/>
      </w:r>
      <w:r>
        <w:rPr>
          <w:noProof/>
        </w:rPr>
        <w:t>29</w:t>
      </w:r>
      <w:r>
        <w:rPr>
          <w:noProof/>
        </w:rPr>
        <w:fldChar w:fldCharType="end"/>
      </w:r>
    </w:p>
    <w:p w14:paraId="7067FEDD" w14:textId="77777777" w:rsidR="00135FFD" w:rsidRDefault="00135FFD">
      <w:pPr>
        <w:pStyle w:val="TOC3"/>
        <w:tabs>
          <w:tab w:val="left" w:pos="1200"/>
          <w:tab w:val="right" w:leader="dot" w:pos="8630"/>
        </w:tabs>
        <w:rPr>
          <w:rFonts w:asciiTheme="minorHAnsi" w:eastAsiaTheme="minorEastAsia" w:hAnsiTheme="minorHAnsi" w:cstheme="minorBidi"/>
          <w:i w:val="0"/>
          <w:noProof/>
          <w:szCs w:val="22"/>
        </w:rPr>
      </w:pPr>
      <w:r w:rsidRPr="00366288">
        <w:rPr>
          <w:noProof/>
          <w:snapToGrid w:val="0"/>
        </w:rPr>
        <w:t>2.2.1</w:t>
      </w:r>
      <w:r>
        <w:rPr>
          <w:rFonts w:asciiTheme="minorHAnsi" w:eastAsiaTheme="minorEastAsia" w:hAnsiTheme="minorHAnsi" w:cstheme="minorBidi"/>
          <w:i w:val="0"/>
          <w:noProof/>
          <w:szCs w:val="22"/>
        </w:rPr>
        <w:tab/>
      </w:r>
      <w:r w:rsidRPr="00366288">
        <w:rPr>
          <w:noProof/>
          <w:snapToGrid w:val="0"/>
        </w:rPr>
        <w:t>Completeness and Technical Review Phase</w:t>
      </w:r>
      <w:r>
        <w:rPr>
          <w:noProof/>
        </w:rPr>
        <w:tab/>
      </w:r>
      <w:r>
        <w:rPr>
          <w:noProof/>
        </w:rPr>
        <w:fldChar w:fldCharType="begin"/>
      </w:r>
      <w:r>
        <w:rPr>
          <w:noProof/>
        </w:rPr>
        <w:instrText xml:space="preserve"> PAGEREF _Toc526778230 \h </w:instrText>
      </w:r>
      <w:r>
        <w:rPr>
          <w:noProof/>
        </w:rPr>
      </w:r>
      <w:r>
        <w:rPr>
          <w:noProof/>
        </w:rPr>
        <w:fldChar w:fldCharType="separate"/>
      </w:r>
      <w:r>
        <w:rPr>
          <w:noProof/>
        </w:rPr>
        <w:t>33</w:t>
      </w:r>
      <w:r>
        <w:rPr>
          <w:noProof/>
        </w:rPr>
        <w:fldChar w:fldCharType="end"/>
      </w:r>
    </w:p>
    <w:p w14:paraId="60A95E0B" w14:textId="77777777" w:rsidR="00135FFD" w:rsidRDefault="00135FFD">
      <w:pPr>
        <w:pStyle w:val="TOC3"/>
        <w:tabs>
          <w:tab w:val="left" w:pos="1200"/>
          <w:tab w:val="right" w:leader="dot" w:pos="8630"/>
        </w:tabs>
        <w:rPr>
          <w:rFonts w:asciiTheme="minorHAnsi" w:eastAsiaTheme="minorEastAsia" w:hAnsiTheme="minorHAnsi" w:cstheme="minorBidi"/>
          <w:i w:val="0"/>
          <w:noProof/>
          <w:szCs w:val="22"/>
        </w:rPr>
      </w:pPr>
      <w:r w:rsidRPr="00366288">
        <w:rPr>
          <w:noProof/>
          <w:snapToGrid w:val="0"/>
        </w:rPr>
        <w:t>2.2.2</w:t>
      </w:r>
      <w:r>
        <w:rPr>
          <w:rFonts w:asciiTheme="minorHAnsi" w:eastAsiaTheme="minorEastAsia" w:hAnsiTheme="minorHAnsi" w:cstheme="minorBidi"/>
          <w:i w:val="0"/>
          <w:noProof/>
          <w:szCs w:val="22"/>
        </w:rPr>
        <w:tab/>
      </w:r>
      <w:r w:rsidRPr="00366288">
        <w:rPr>
          <w:noProof/>
          <w:snapToGrid w:val="0"/>
        </w:rPr>
        <w:t>Preparation of the Modeling Review</w:t>
      </w:r>
      <w:r>
        <w:rPr>
          <w:noProof/>
        </w:rPr>
        <w:tab/>
      </w:r>
      <w:r>
        <w:rPr>
          <w:noProof/>
        </w:rPr>
        <w:fldChar w:fldCharType="begin"/>
      </w:r>
      <w:r>
        <w:rPr>
          <w:noProof/>
        </w:rPr>
        <w:instrText xml:space="preserve"> PAGEREF _Toc526778231 \h </w:instrText>
      </w:r>
      <w:r>
        <w:rPr>
          <w:noProof/>
        </w:rPr>
      </w:r>
      <w:r>
        <w:rPr>
          <w:noProof/>
        </w:rPr>
        <w:fldChar w:fldCharType="separate"/>
      </w:r>
      <w:r>
        <w:rPr>
          <w:noProof/>
        </w:rPr>
        <w:t>34</w:t>
      </w:r>
      <w:r>
        <w:rPr>
          <w:noProof/>
        </w:rPr>
        <w:fldChar w:fldCharType="end"/>
      </w:r>
    </w:p>
    <w:p w14:paraId="5C89AC47" w14:textId="77777777" w:rsidR="00135FFD" w:rsidRDefault="00135FFD">
      <w:pPr>
        <w:pStyle w:val="TOC3"/>
        <w:tabs>
          <w:tab w:val="left" w:pos="1200"/>
          <w:tab w:val="right" w:leader="dot" w:pos="8630"/>
        </w:tabs>
        <w:rPr>
          <w:rFonts w:asciiTheme="minorHAnsi" w:eastAsiaTheme="minorEastAsia" w:hAnsiTheme="minorHAnsi" w:cstheme="minorBidi"/>
          <w:i w:val="0"/>
          <w:noProof/>
          <w:szCs w:val="22"/>
        </w:rPr>
      </w:pPr>
      <w:r w:rsidRPr="00366288">
        <w:rPr>
          <w:noProof/>
          <w:snapToGrid w:val="0"/>
        </w:rPr>
        <w:t>2.2.3</w:t>
      </w:r>
      <w:r>
        <w:rPr>
          <w:rFonts w:asciiTheme="minorHAnsi" w:eastAsiaTheme="minorEastAsia" w:hAnsiTheme="minorHAnsi" w:cstheme="minorBidi"/>
          <w:i w:val="0"/>
          <w:noProof/>
          <w:szCs w:val="22"/>
        </w:rPr>
        <w:tab/>
      </w:r>
      <w:r w:rsidRPr="00366288">
        <w:rPr>
          <w:noProof/>
          <w:snapToGrid w:val="0"/>
        </w:rPr>
        <w:t>Coordination of Modeling Reviewer with Permit Engineer</w:t>
      </w:r>
      <w:r>
        <w:rPr>
          <w:noProof/>
        </w:rPr>
        <w:tab/>
      </w:r>
      <w:r>
        <w:rPr>
          <w:noProof/>
        </w:rPr>
        <w:fldChar w:fldCharType="begin"/>
      </w:r>
      <w:r>
        <w:rPr>
          <w:noProof/>
        </w:rPr>
        <w:instrText xml:space="preserve"> PAGEREF _Toc526778232 \h </w:instrText>
      </w:r>
      <w:r>
        <w:rPr>
          <w:noProof/>
        </w:rPr>
      </w:r>
      <w:r>
        <w:rPr>
          <w:noProof/>
        </w:rPr>
        <w:fldChar w:fldCharType="separate"/>
      </w:r>
      <w:r>
        <w:rPr>
          <w:noProof/>
        </w:rPr>
        <w:t>35</w:t>
      </w:r>
      <w:r>
        <w:rPr>
          <w:noProof/>
        </w:rPr>
        <w:fldChar w:fldCharType="end"/>
      </w:r>
    </w:p>
    <w:p w14:paraId="28A3094B" w14:textId="77777777" w:rsidR="00135FFD" w:rsidRDefault="00135FFD">
      <w:pPr>
        <w:pStyle w:val="TOC2"/>
        <w:tabs>
          <w:tab w:val="left" w:pos="960"/>
          <w:tab w:val="right" w:leader="dot" w:pos="8630"/>
        </w:tabs>
        <w:rPr>
          <w:rFonts w:asciiTheme="minorHAnsi" w:eastAsiaTheme="minorEastAsia" w:hAnsiTheme="minorHAnsi" w:cstheme="minorBidi"/>
          <w:smallCaps w:val="0"/>
          <w:noProof/>
          <w:szCs w:val="22"/>
        </w:rPr>
      </w:pPr>
      <w:r w:rsidRPr="00366288">
        <w:rPr>
          <w:noProof/>
          <w:snapToGrid w:val="0"/>
        </w:rPr>
        <w:t>2.3</w:t>
      </w:r>
      <w:r>
        <w:rPr>
          <w:rFonts w:asciiTheme="minorHAnsi" w:eastAsiaTheme="minorEastAsia" w:hAnsiTheme="minorHAnsi" w:cstheme="minorBidi"/>
          <w:smallCaps w:val="0"/>
          <w:noProof/>
          <w:szCs w:val="22"/>
        </w:rPr>
        <w:tab/>
      </w:r>
      <w:r w:rsidRPr="00366288">
        <w:rPr>
          <w:noProof/>
          <w:snapToGrid w:val="0"/>
        </w:rPr>
        <w:t>Project Information</w:t>
      </w:r>
      <w:r>
        <w:rPr>
          <w:noProof/>
        </w:rPr>
        <w:tab/>
      </w:r>
      <w:r>
        <w:rPr>
          <w:noProof/>
        </w:rPr>
        <w:fldChar w:fldCharType="begin"/>
      </w:r>
      <w:r>
        <w:rPr>
          <w:noProof/>
        </w:rPr>
        <w:instrText xml:space="preserve"> PAGEREF _Toc526778233 \h </w:instrText>
      </w:r>
      <w:r>
        <w:rPr>
          <w:noProof/>
        </w:rPr>
      </w:r>
      <w:r>
        <w:rPr>
          <w:noProof/>
        </w:rPr>
        <w:fldChar w:fldCharType="separate"/>
      </w:r>
      <w:r>
        <w:rPr>
          <w:noProof/>
        </w:rPr>
        <w:t>37</w:t>
      </w:r>
      <w:r>
        <w:rPr>
          <w:noProof/>
        </w:rPr>
        <w:fldChar w:fldCharType="end"/>
      </w:r>
    </w:p>
    <w:p w14:paraId="11A8527F" w14:textId="77777777" w:rsidR="00135FFD" w:rsidRDefault="00135FFD">
      <w:pPr>
        <w:pStyle w:val="TOC3"/>
        <w:tabs>
          <w:tab w:val="left" w:pos="1200"/>
          <w:tab w:val="right" w:leader="dot" w:pos="8630"/>
        </w:tabs>
        <w:rPr>
          <w:rFonts w:asciiTheme="minorHAnsi" w:eastAsiaTheme="minorEastAsia" w:hAnsiTheme="minorHAnsi" w:cstheme="minorBidi"/>
          <w:i w:val="0"/>
          <w:noProof/>
          <w:szCs w:val="22"/>
        </w:rPr>
      </w:pPr>
      <w:r w:rsidRPr="00366288">
        <w:rPr>
          <w:noProof/>
          <w:snapToGrid w:val="0"/>
        </w:rPr>
        <w:t>2.3.1</w:t>
      </w:r>
      <w:r>
        <w:rPr>
          <w:rFonts w:asciiTheme="minorHAnsi" w:eastAsiaTheme="minorEastAsia" w:hAnsiTheme="minorHAnsi" w:cstheme="minorBidi"/>
          <w:i w:val="0"/>
          <w:noProof/>
          <w:szCs w:val="22"/>
        </w:rPr>
        <w:tab/>
      </w:r>
      <w:r w:rsidRPr="00366288">
        <w:rPr>
          <w:noProof/>
          <w:snapToGrid w:val="0"/>
        </w:rPr>
        <w:t>Project Location Map, Topographical Data, and Land Use Analysis</w:t>
      </w:r>
      <w:r>
        <w:rPr>
          <w:noProof/>
        </w:rPr>
        <w:tab/>
      </w:r>
      <w:r>
        <w:rPr>
          <w:noProof/>
        </w:rPr>
        <w:fldChar w:fldCharType="begin"/>
      </w:r>
      <w:r>
        <w:rPr>
          <w:noProof/>
        </w:rPr>
        <w:instrText xml:space="preserve"> PAGEREF _Toc526778234 \h </w:instrText>
      </w:r>
      <w:r>
        <w:rPr>
          <w:noProof/>
        </w:rPr>
      </w:r>
      <w:r>
        <w:rPr>
          <w:noProof/>
        </w:rPr>
        <w:fldChar w:fldCharType="separate"/>
      </w:r>
      <w:r>
        <w:rPr>
          <w:noProof/>
        </w:rPr>
        <w:t>37</w:t>
      </w:r>
      <w:r>
        <w:rPr>
          <w:noProof/>
        </w:rPr>
        <w:fldChar w:fldCharType="end"/>
      </w:r>
    </w:p>
    <w:p w14:paraId="01719A39" w14:textId="77777777" w:rsidR="00135FFD" w:rsidRDefault="00135FFD">
      <w:pPr>
        <w:pStyle w:val="TOC3"/>
        <w:tabs>
          <w:tab w:val="left" w:pos="1200"/>
          <w:tab w:val="right" w:leader="dot" w:pos="8630"/>
        </w:tabs>
        <w:rPr>
          <w:rFonts w:asciiTheme="minorHAnsi" w:eastAsiaTheme="minorEastAsia" w:hAnsiTheme="minorHAnsi" w:cstheme="minorBidi"/>
          <w:i w:val="0"/>
          <w:noProof/>
          <w:szCs w:val="22"/>
        </w:rPr>
      </w:pPr>
      <w:r w:rsidRPr="00366288">
        <w:rPr>
          <w:noProof/>
          <w:snapToGrid w:val="0"/>
        </w:rPr>
        <w:t>2.3.2</w:t>
      </w:r>
      <w:r>
        <w:rPr>
          <w:rFonts w:asciiTheme="minorHAnsi" w:eastAsiaTheme="minorEastAsia" w:hAnsiTheme="minorHAnsi" w:cstheme="minorBidi"/>
          <w:i w:val="0"/>
          <w:noProof/>
          <w:szCs w:val="22"/>
        </w:rPr>
        <w:tab/>
      </w:r>
      <w:r w:rsidRPr="00366288">
        <w:rPr>
          <w:noProof/>
          <w:snapToGrid w:val="0"/>
        </w:rPr>
        <w:t>Layout of EUs and Structures</w:t>
      </w:r>
      <w:r>
        <w:rPr>
          <w:noProof/>
        </w:rPr>
        <w:tab/>
      </w:r>
      <w:r>
        <w:rPr>
          <w:noProof/>
        </w:rPr>
        <w:fldChar w:fldCharType="begin"/>
      </w:r>
      <w:r>
        <w:rPr>
          <w:noProof/>
        </w:rPr>
        <w:instrText xml:space="preserve"> PAGEREF _Toc526778235 \h </w:instrText>
      </w:r>
      <w:r>
        <w:rPr>
          <w:noProof/>
        </w:rPr>
      </w:r>
      <w:r>
        <w:rPr>
          <w:noProof/>
        </w:rPr>
        <w:fldChar w:fldCharType="separate"/>
      </w:r>
      <w:r>
        <w:rPr>
          <w:noProof/>
        </w:rPr>
        <w:t>37</w:t>
      </w:r>
      <w:r>
        <w:rPr>
          <w:noProof/>
        </w:rPr>
        <w:fldChar w:fldCharType="end"/>
      </w:r>
    </w:p>
    <w:p w14:paraId="7E362624" w14:textId="77777777" w:rsidR="00135FFD" w:rsidRDefault="00135FFD">
      <w:pPr>
        <w:pStyle w:val="TOC3"/>
        <w:tabs>
          <w:tab w:val="left" w:pos="1200"/>
          <w:tab w:val="right" w:leader="dot" w:pos="8630"/>
        </w:tabs>
        <w:rPr>
          <w:rFonts w:asciiTheme="minorHAnsi" w:eastAsiaTheme="minorEastAsia" w:hAnsiTheme="minorHAnsi" w:cstheme="minorBidi"/>
          <w:i w:val="0"/>
          <w:noProof/>
          <w:szCs w:val="22"/>
        </w:rPr>
      </w:pPr>
      <w:r w:rsidRPr="00366288">
        <w:rPr>
          <w:noProof/>
          <w:snapToGrid w:val="0"/>
        </w:rPr>
        <w:t>2.3.3</w:t>
      </w:r>
      <w:r>
        <w:rPr>
          <w:rFonts w:asciiTheme="minorHAnsi" w:eastAsiaTheme="minorEastAsia" w:hAnsiTheme="minorHAnsi" w:cstheme="minorBidi"/>
          <w:i w:val="0"/>
          <w:noProof/>
          <w:szCs w:val="22"/>
        </w:rPr>
        <w:tab/>
      </w:r>
      <w:r w:rsidRPr="00366288">
        <w:rPr>
          <w:noProof/>
          <w:snapToGrid w:val="0"/>
        </w:rPr>
        <w:t>Location of Fence Line, Property, and Ambient Air Boundaries</w:t>
      </w:r>
      <w:r>
        <w:rPr>
          <w:noProof/>
        </w:rPr>
        <w:tab/>
      </w:r>
      <w:r>
        <w:rPr>
          <w:noProof/>
        </w:rPr>
        <w:fldChar w:fldCharType="begin"/>
      </w:r>
      <w:r>
        <w:rPr>
          <w:noProof/>
        </w:rPr>
        <w:instrText xml:space="preserve"> PAGEREF _Toc526778236 \h </w:instrText>
      </w:r>
      <w:r>
        <w:rPr>
          <w:noProof/>
        </w:rPr>
      </w:r>
      <w:r>
        <w:rPr>
          <w:noProof/>
        </w:rPr>
        <w:fldChar w:fldCharType="separate"/>
      </w:r>
      <w:r>
        <w:rPr>
          <w:noProof/>
        </w:rPr>
        <w:t>38</w:t>
      </w:r>
      <w:r>
        <w:rPr>
          <w:noProof/>
        </w:rPr>
        <w:fldChar w:fldCharType="end"/>
      </w:r>
    </w:p>
    <w:p w14:paraId="7E621E13" w14:textId="77777777" w:rsidR="00135FFD" w:rsidRDefault="00135FFD">
      <w:pPr>
        <w:pStyle w:val="TOC2"/>
        <w:tabs>
          <w:tab w:val="left" w:pos="960"/>
          <w:tab w:val="right" w:leader="dot" w:pos="8630"/>
        </w:tabs>
        <w:rPr>
          <w:rFonts w:asciiTheme="minorHAnsi" w:eastAsiaTheme="minorEastAsia" w:hAnsiTheme="minorHAnsi" w:cstheme="minorBidi"/>
          <w:smallCaps w:val="0"/>
          <w:noProof/>
          <w:szCs w:val="22"/>
        </w:rPr>
      </w:pPr>
      <w:r>
        <w:rPr>
          <w:noProof/>
        </w:rPr>
        <w:t>2.4</w:t>
      </w:r>
      <w:r>
        <w:rPr>
          <w:rFonts w:asciiTheme="minorHAnsi" w:eastAsiaTheme="minorEastAsia" w:hAnsiTheme="minorHAnsi" w:cstheme="minorBidi"/>
          <w:smallCaps w:val="0"/>
          <w:noProof/>
          <w:szCs w:val="22"/>
        </w:rPr>
        <w:tab/>
      </w:r>
      <w:r>
        <w:rPr>
          <w:noProof/>
        </w:rPr>
        <w:t>Pre-construction Monitoring (PSD Requirement)</w:t>
      </w:r>
      <w:r>
        <w:rPr>
          <w:noProof/>
        </w:rPr>
        <w:tab/>
      </w:r>
      <w:r>
        <w:rPr>
          <w:noProof/>
        </w:rPr>
        <w:fldChar w:fldCharType="begin"/>
      </w:r>
      <w:r>
        <w:rPr>
          <w:noProof/>
        </w:rPr>
        <w:instrText xml:space="preserve"> PAGEREF _Toc526778237 \h </w:instrText>
      </w:r>
      <w:r>
        <w:rPr>
          <w:noProof/>
        </w:rPr>
      </w:r>
      <w:r>
        <w:rPr>
          <w:noProof/>
        </w:rPr>
        <w:fldChar w:fldCharType="separate"/>
      </w:r>
      <w:r>
        <w:rPr>
          <w:noProof/>
        </w:rPr>
        <w:t>39</w:t>
      </w:r>
      <w:r>
        <w:rPr>
          <w:noProof/>
        </w:rPr>
        <w:fldChar w:fldCharType="end"/>
      </w:r>
    </w:p>
    <w:p w14:paraId="1528B2F8" w14:textId="77777777" w:rsidR="00135FFD" w:rsidRDefault="00135FFD">
      <w:pPr>
        <w:pStyle w:val="TOC3"/>
        <w:tabs>
          <w:tab w:val="left" w:pos="1200"/>
          <w:tab w:val="right" w:leader="dot" w:pos="8630"/>
        </w:tabs>
        <w:rPr>
          <w:rFonts w:asciiTheme="minorHAnsi" w:eastAsiaTheme="minorEastAsia" w:hAnsiTheme="minorHAnsi" w:cstheme="minorBidi"/>
          <w:i w:val="0"/>
          <w:noProof/>
          <w:szCs w:val="22"/>
        </w:rPr>
      </w:pPr>
      <w:r w:rsidRPr="00366288">
        <w:rPr>
          <w:noProof/>
          <w:snapToGrid w:val="0"/>
        </w:rPr>
        <w:t>2.4.1</w:t>
      </w:r>
      <w:r>
        <w:rPr>
          <w:rFonts w:asciiTheme="minorHAnsi" w:eastAsiaTheme="minorEastAsia" w:hAnsiTheme="minorHAnsi" w:cstheme="minorBidi"/>
          <w:i w:val="0"/>
          <w:noProof/>
          <w:szCs w:val="22"/>
        </w:rPr>
        <w:tab/>
      </w:r>
      <w:r w:rsidRPr="00366288">
        <w:rPr>
          <w:noProof/>
          <w:snapToGrid w:val="0"/>
        </w:rPr>
        <w:t>Additional Considerations Regarding Pre-Construction Data</w:t>
      </w:r>
      <w:r>
        <w:rPr>
          <w:noProof/>
        </w:rPr>
        <w:tab/>
      </w:r>
      <w:r>
        <w:rPr>
          <w:noProof/>
        </w:rPr>
        <w:fldChar w:fldCharType="begin"/>
      </w:r>
      <w:r>
        <w:rPr>
          <w:noProof/>
        </w:rPr>
        <w:instrText xml:space="preserve"> PAGEREF _Toc526778238 \h </w:instrText>
      </w:r>
      <w:r>
        <w:rPr>
          <w:noProof/>
        </w:rPr>
      </w:r>
      <w:r>
        <w:rPr>
          <w:noProof/>
        </w:rPr>
        <w:fldChar w:fldCharType="separate"/>
      </w:r>
      <w:r>
        <w:rPr>
          <w:noProof/>
        </w:rPr>
        <w:t>40</w:t>
      </w:r>
      <w:r>
        <w:rPr>
          <w:noProof/>
        </w:rPr>
        <w:fldChar w:fldCharType="end"/>
      </w:r>
    </w:p>
    <w:p w14:paraId="55669581" w14:textId="77777777" w:rsidR="00135FFD" w:rsidRDefault="00135FFD">
      <w:pPr>
        <w:pStyle w:val="TOC3"/>
        <w:tabs>
          <w:tab w:val="left" w:pos="1200"/>
          <w:tab w:val="right" w:leader="dot" w:pos="8630"/>
        </w:tabs>
        <w:rPr>
          <w:rFonts w:asciiTheme="minorHAnsi" w:eastAsiaTheme="minorEastAsia" w:hAnsiTheme="minorHAnsi" w:cstheme="minorBidi"/>
          <w:i w:val="0"/>
          <w:noProof/>
          <w:szCs w:val="22"/>
        </w:rPr>
      </w:pPr>
      <w:r w:rsidRPr="00366288">
        <w:rPr>
          <w:noProof/>
          <w:snapToGrid w:val="0"/>
        </w:rPr>
        <w:t>2.4.2</w:t>
      </w:r>
      <w:r>
        <w:rPr>
          <w:rFonts w:asciiTheme="minorHAnsi" w:eastAsiaTheme="minorEastAsia" w:hAnsiTheme="minorHAnsi" w:cstheme="minorBidi"/>
          <w:i w:val="0"/>
          <w:noProof/>
          <w:szCs w:val="22"/>
        </w:rPr>
        <w:tab/>
      </w:r>
      <w:r w:rsidRPr="00366288">
        <w:rPr>
          <w:noProof/>
          <w:snapToGrid w:val="0"/>
        </w:rPr>
        <w:t>Comparison of Modeled Impacts to the SMC</w:t>
      </w:r>
      <w:r>
        <w:rPr>
          <w:noProof/>
        </w:rPr>
        <w:tab/>
      </w:r>
      <w:r>
        <w:rPr>
          <w:noProof/>
        </w:rPr>
        <w:fldChar w:fldCharType="begin"/>
      </w:r>
      <w:r>
        <w:rPr>
          <w:noProof/>
        </w:rPr>
        <w:instrText xml:space="preserve"> PAGEREF _Toc526778239 \h </w:instrText>
      </w:r>
      <w:r>
        <w:rPr>
          <w:noProof/>
        </w:rPr>
      </w:r>
      <w:r>
        <w:rPr>
          <w:noProof/>
        </w:rPr>
        <w:fldChar w:fldCharType="separate"/>
      </w:r>
      <w:r>
        <w:rPr>
          <w:noProof/>
        </w:rPr>
        <w:t>43</w:t>
      </w:r>
      <w:r>
        <w:rPr>
          <w:noProof/>
        </w:rPr>
        <w:fldChar w:fldCharType="end"/>
      </w:r>
    </w:p>
    <w:p w14:paraId="5B8265A8" w14:textId="77777777" w:rsidR="00135FFD" w:rsidRDefault="00135FFD">
      <w:pPr>
        <w:pStyle w:val="TOC2"/>
        <w:tabs>
          <w:tab w:val="left" w:pos="960"/>
          <w:tab w:val="right" w:leader="dot" w:pos="8630"/>
        </w:tabs>
        <w:rPr>
          <w:rFonts w:asciiTheme="minorHAnsi" w:eastAsiaTheme="minorEastAsia" w:hAnsiTheme="minorHAnsi" w:cstheme="minorBidi"/>
          <w:smallCaps w:val="0"/>
          <w:noProof/>
          <w:szCs w:val="22"/>
        </w:rPr>
      </w:pPr>
      <w:r w:rsidRPr="00366288">
        <w:rPr>
          <w:noProof/>
          <w:snapToGrid w:val="0"/>
        </w:rPr>
        <w:t>2.5</w:t>
      </w:r>
      <w:r>
        <w:rPr>
          <w:rFonts w:asciiTheme="minorHAnsi" w:eastAsiaTheme="minorEastAsia" w:hAnsiTheme="minorHAnsi" w:cstheme="minorBidi"/>
          <w:smallCaps w:val="0"/>
          <w:noProof/>
          <w:szCs w:val="22"/>
        </w:rPr>
        <w:tab/>
      </w:r>
      <w:r w:rsidRPr="00366288">
        <w:rPr>
          <w:noProof/>
          <w:snapToGrid w:val="0"/>
        </w:rPr>
        <w:t>Model Selection</w:t>
      </w:r>
      <w:r>
        <w:rPr>
          <w:noProof/>
        </w:rPr>
        <w:tab/>
      </w:r>
      <w:r>
        <w:rPr>
          <w:noProof/>
        </w:rPr>
        <w:fldChar w:fldCharType="begin"/>
      </w:r>
      <w:r>
        <w:rPr>
          <w:noProof/>
        </w:rPr>
        <w:instrText xml:space="preserve"> PAGEREF _Toc526778240 \h </w:instrText>
      </w:r>
      <w:r>
        <w:rPr>
          <w:noProof/>
        </w:rPr>
      </w:r>
      <w:r>
        <w:rPr>
          <w:noProof/>
        </w:rPr>
        <w:fldChar w:fldCharType="separate"/>
      </w:r>
      <w:r>
        <w:rPr>
          <w:noProof/>
        </w:rPr>
        <w:t>45</w:t>
      </w:r>
      <w:r>
        <w:rPr>
          <w:noProof/>
        </w:rPr>
        <w:fldChar w:fldCharType="end"/>
      </w:r>
    </w:p>
    <w:p w14:paraId="3482B82C" w14:textId="77777777" w:rsidR="00135FFD" w:rsidRDefault="00135FFD">
      <w:pPr>
        <w:pStyle w:val="TOC3"/>
        <w:tabs>
          <w:tab w:val="left" w:pos="1200"/>
          <w:tab w:val="right" w:leader="dot" w:pos="8630"/>
        </w:tabs>
        <w:rPr>
          <w:rFonts w:asciiTheme="minorHAnsi" w:eastAsiaTheme="minorEastAsia" w:hAnsiTheme="minorHAnsi" w:cstheme="minorBidi"/>
          <w:i w:val="0"/>
          <w:noProof/>
          <w:szCs w:val="22"/>
        </w:rPr>
      </w:pPr>
      <w:r>
        <w:rPr>
          <w:noProof/>
        </w:rPr>
        <w:t>2.5.1</w:t>
      </w:r>
      <w:r>
        <w:rPr>
          <w:rFonts w:asciiTheme="minorHAnsi" w:eastAsiaTheme="minorEastAsia" w:hAnsiTheme="minorHAnsi" w:cstheme="minorBidi"/>
          <w:i w:val="0"/>
          <w:noProof/>
          <w:szCs w:val="22"/>
        </w:rPr>
        <w:tab/>
      </w:r>
      <w:r>
        <w:rPr>
          <w:noProof/>
        </w:rPr>
        <w:t>Model Setup and Use of Regulatory Default Options</w:t>
      </w:r>
      <w:r>
        <w:rPr>
          <w:noProof/>
        </w:rPr>
        <w:tab/>
      </w:r>
      <w:r>
        <w:rPr>
          <w:noProof/>
        </w:rPr>
        <w:fldChar w:fldCharType="begin"/>
      </w:r>
      <w:r>
        <w:rPr>
          <w:noProof/>
        </w:rPr>
        <w:instrText xml:space="preserve"> PAGEREF _Toc526778241 \h </w:instrText>
      </w:r>
      <w:r>
        <w:rPr>
          <w:noProof/>
        </w:rPr>
      </w:r>
      <w:r>
        <w:rPr>
          <w:noProof/>
        </w:rPr>
        <w:fldChar w:fldCharType="separate"/>
      </w:r>
      <w:r>
        <w:rPr>
          <w:noProof/>
        </w:rPr>
        <w:t>45</w:t>
      </w:r>
      <w:r>
        <w:rPr>
          <w:noProof/>
        </w:rPr>
        <w:fldChar w:fldCharType="end"/>
      </w:r>
    </w:p>
    <w:p w14:paraId="15E0372B" w14:textId="77777777" w:rsidR="00135FFD" w:rsidRDefault="00135FFD">
      <w:pPr>
        <w:pStyle w:val="TOC3"/>
        <w:tabs>
          <w:tab w:val="left" w:pos="1200"/>
          <w:tab w:val="right" w:leader="dot" w:pos="8630"/>
        </w:tabs>
        <w:rPr>
          <w:rFonts w:asciiTheme="minorHAnsi" w:eastAsiaTheme="minorEastAsia" w:hAnsiTheme="minorHAnsi" w:cstheme="minorBidi"/>
          <w:i w:val="0"/>
          <w:noProof/>
          <w:szCs w:val="22"/>
        </w:rPr>
      </w:pPr>
      <w:r w:rsidRPr="00366288">
        <w:rPr>
          <w:noProof/>
          <w:snapToGrid w:val="0"/>
        </w:rPr>
        <w:t>2.5.2</w:t>
      </w:r>
      <w:r>
        <w:rPr>
          <w:rFonts w:asciiTheme="minorHAnsi" w:eastAsiaTheme="minorEastAsia" w:hAnsiTheme="minorHAnsi" w:cstheme="minorBidi"/>
          <w:i w:val="0"/>
          <w:noProof/>
          <w:szCs w:val="22"/>
        </w:rPr>
        <w:tab/>
      </w:r>
      <w:r w:rsidRPr="00366288">
        <w:rPr>
          <w:noProof/>
          <w:snapToGrid w:val="0"/>
        </w:rPr>
        <w:t>Selection of Dispersion Coefficients (urban/rural)</w:t>
      </w:r>
      <w:r>
        <w:rPr>
          <w:noProof/>
        </w:rPr>
        <w:tab/>
      </w:r>
      <w:r>
        <w:rPr>
          <w:noProof/>
        </w:rPr>
        <w:fldChar w:fldCharType="begin"/>
      </w:r>
      <w:r>
        <w:rPr>
          <w:noProof/>
        </w:rPr>
        <w:instrText xml:space="preserve"> PAGEREF _Toc526778242 \h </w:instrText>
      </w:r>
      <w:r>
        <w:rPr>
          <w:noProof/>
        </w:rPr>
      </w:r>
      <w:r>
        <w:rPr>
          <w:noProof/>
        </w:rPr>
        <w:fldChar w:fldCharType="separate"/>
      </w:r>
      <w:r>
        <w:rPr>
          <w:noProof/>
        </w:rPr>
        <w:t>45</w:t>
      </w:r>
      <w:r>
        <w:rPr>
          <w:noProof/>
        </w:rPr>
        <w:fldChar w:fldCharType="end"/>
      </w:r>
    </w:p>
    <w:p w14:paraId="55B13586" w14:textId="77777777" w:rsidR="00135FFD" w:rsidRDefault="00135FFD">
      <w:pPr>
        <w:pStyle w:val="TOC3"/>
        <w:tabs>
          <w:tab w:val="left" w:pos="1200"/>
          <w:tab w:val="right" w:leader="dot" w:pos="8630"/>
        </w:tabs>
        <w:rPr>
          <w:rFonts w:asciiTheme="minorHAnsi" w:eastAsiaTheme="minorEastAsia" w:hAnsiTheme="minorHAnsi" w:cstheme="minorBidi"/>
          <w:i w:val="0"/>
          <w:noProof/>
          <w:szCs w:val="22"/>
        </w:rPr>
      </w:pPr>
      <w:r w:rsidRPr="00366288">
        <w:rPr>
          <w:noProof/>
          <w:snapToGrid w:val="0"/>
        </w:rPr>
        <w:lastRenderedPageBreak/>
        <w:t>2.5.3</w:t>
      </w:r>
      <w:r>
        <w:rPr>
          <w:rFonts w:asciiTheme="minorHAnsi" w:eastAsiaTheme="minorEastAsia" w:hAnsiTheme="minorHAnsi" w:cstheme="minorBidi"/>
          <w:i w:val="0"/>
          <w:noProof/>
          <w:szCs w:val="22"/>
        </w:rPr>
        <w:tab/>
      </w:r>
      <w:r w:rsidRPr="00366288">
        <w:rPr>
          <w:noProof/>
          <w:snapToGrid w:val="0"/>
        </w:rPr>
        <w:t>Averaging Periods</w:t>
      </w:r>
      <w:r>
        <w:rPr>
          <w:noProof/>
        </w:rPr>
        <w:tab/>
      </w:r>
      <w:r>
        <w:rPr>
          <w:noProof/>
        </w:rPr>
        <w:fldChar w:fldCharType="begin"/>
      </w:r>
      <w:r>
        <w:rPr>
          <w:noProof/>
        </w:rPr>
        <w:instrText xml:space="preserve"> PAGEREF _Toc526778243 \h </w:instrText>
      </w:r>
      <w:r>
        <w:rPr>
          <w:noProof/>
        </w:rPr>
      </w:r>
      <w:r>
        <w:rPr>
          <w:noProof/>
        </w:rPr>
        <w:fldChar w:fldCharType="separate"/>
      </w:r>
      <w:r>
        <w:rPr>
          <w:noProof/>
        </w:rPr>
        <w:t>46</w:t>
      </w:r>
      <w:r>
        <w:rPr>
          <w:noProof/>
        </w:rPr>
        <w:fldChar w:fldCharType="end"/>
      </w:r>
    </w:p>
    <w:p w14:paraId="0A5F4BC5" w14:textId="77777777" w:rsidR="00135FFD" w:rsidRDefault="00135FFD">
      <w:pPr>
        <w:pStyle w:val="TOC3"/>
        <w:tabs>
          <w:tab w:val="left" w:pos="1200"/>
          <w:tab w:val="right" w:leader="dot" w:pos="8630"/>
        </w:tabs>
        <w:rPr>
          <w:rFonts w:asciiTheme="minorHAnsi" w:eastAsiaTheme="minorEastAsia" w:hAnsiTheme="minorHAnsi" w:cstheme="minorBidi"/>
          <w:i w:val="0"/>
          <w:noProof/>
          <w:szCs w:val="22"/>
        </w:rPr>
      </w:pPr>
      <w:r w:rsidRPr="00366288">
        <w:rPr>
          <w:noProof/>
          <w:snapToGrid w:val="0"/>
        </w:rPr>
        <w:t>2.5.4</w:t>
      </w:r>
      <w:r>
        <w:rPr>
          <w:rFonts w:asciiTheme="minorHAnsi" w:eastAsiaTheme="minorEastAsia" w:hAnsiTheme="minorHAnsi" w:cstheme="minorBidi"/>
          <w:i w:val="0"/>
          <w:noProof/>
          <w:szCs w:val="22"/>
        </w:rPr>
        <w:tab/>
      </w:r>
      <w:r w:rsidRPr="00366288">
        <w:rPr>
          <w:noProof/>
          <w:snapToGrid w:val="0"/>
        </w:rPr>
        <w:t>Geographical Projection Information</w:t>
      </w:r>
      <w:r>
        <w:rPr>
          <w:noProof/>
        </w:rPr>
        <w:tab/>
      </w:r>
      <w:r>
        <w:rPr>
          <w:noProof/>
        </w:rPr>
        <w:fldChar w:fldCharType="begin"/>
      </w:r>
      <w:r>
        <w:rPr>
          <w:noProof/>
        </w:rPr>
        <w:instrText xml:space="preserve"> PAGEREF _Toc526778244 \h </w:instrText>
      </w:r>
      <w:r>
        <w:rPr>
          <w:noProof/>
        </w:rPr>
      </w:r>
      <w:r>
        <w:rPr>
          <w:noProof/>
        </w:rPr>
        <w:fldChar w:fldCharType="separate"/>
      </w:r>
      <w:r>
        <w:rPr>
          <w:noProof/>
        </w:rPr>
        <w:t>47</w:t>
      </w:r>
      <w:r>
        <w:rPr>
          <w:noProof/>
        </w:rPr>
        <w:fldChar w:fldCharType="end"/>
      </w:r>
    </w:p>
    <w:p w14:paraId="04EA823C" w14:textId="77777777" w:rsidR="00135FFD" w:rsidRDefault="00135FFD">
      <w:pPr>
        <w:pStyle w:val="TOC3"/>
        <w:tabs>
          <w:tab w:val="left" w:pos="1200"/>
          <w:tab w:val="right" w:leader="dot" w:pos="8630"/>
        </w:tabs>
        <w:rPr>
          <w:rFonts w:asciiTheme="minorHAnsi" w:eastAsiaTheme="minorEastAsia" w:hAnsiTheme="minorHAnsi" w:cstheme="minorBidi"/>
          <w:i w:val="0"/>
          <w:noProof/>
          <w:szCs w:val="22"/>
        </w:rPr>
      </w:pPr>
      <w:r w:rsidRPr="00366288">
        <w:rPr>
          <w:noProof/>
          <w:snapToGrid w:val="0"/>
        </w:rPr>
        <w:t>2.5.5</w:t>
      </w:r>
      <w:r>
        <w:rPr>
          <w:rFonts w:asciiTheme="minorHAnsi" w:eastAsiaTheme="minorEastAsia" w:hAnsiTheme="minorHAnsi" w:cstheme="minorBidi"/>
          <w:i w:val="0"/>
          <w:noProof/>
          <w:szCs w:val="22"/>
        </w:rPr>
        <w:tab/>
      </w:r>
      <w:r w:rsidRPr="00366288">
        <w:rPr>
          <w:noProof/>
          <w:snapToGrid w:val="0"/>
        </w:rPr>
        <w:t>Coordinate Systems</w:t>
      </w:r>
      <w:r>
        <w:rPr>
          <w:noProof/>
        </w:rPr>
        <w:tab/>
      </w:r>
      <w:r>
        <w:rPr>
          <w:noProof/>
        </w:rPr>
        <w:fldChar w:fldCharType="begin"/>
      </w:r>
      <w:r>
        <w:rPr>
          <w:noProof/>
        </w:rPr>
        <w:instrText xml:space="preserve"> PAGEREF _Toc526778245 \h </w:instrText>
      </w:r>
      <w:r>
        <w:rPr>
          <w:noProof/>
        </w:rPr>
      </w:r>
      <w:r>
        <w:rPr>
          <w:noProof/>
        </w:rPr>
        <w:fldChar w:fldCharType="separate"/>
      </w:r>
      <w:r>
        <w:rPr>
          <w:noProof/>
        </w:rPr>
        <w:t>47</w:t>
      </w:r>
      <w:r>
        <w:rPr>
          <w:noProof/>
        </w:rPr>
        <w:fldChar w:fldCharType="end"/>
      </w:r>
    </w:p>
    <w:p w14:paraId="3392FE15" w14:textId="77777777" w:rsidR="00135FFD" w:rsidRDefault="00135FFD">
      <w:pPr>
        <w:pStyle w:val="TOC2"/>
        <w:tabs>
          <w:tab w:val="left" w:pos="960"/>
          <w:tab w:val="right" w:leader="dot" w:pos="8630"/>
        </w:tabs>
        <w:rPr>
          <w:rFonts w:asciiTheme="minorHAnsi" w:eastAsiaTheme="minorEastAsia" w:hAnsiTheme="minorHAnsi" w:cstheme="minorBidi"/>
          <w:smallCaps w:val="0"/>
          <w:noProof/>
          <w:szCs w:val="22"/>
        </w:rPr>
      </w:pPr>
      <w:r w:rsidRPr="00366288">
        <w:rPr>
          <w:noProof/>
          <w:snapToGrid w:val="0"/>
        </w:rPr>
        <w:t>2.6</w:t>
      </w:r>
      <w:r>
        <w:rPr>
          <w:rFonts w:asciiTheme="minorHAnsi" w:eastAsiaTheme="minorEastAsia" w:hAnsiTheme="minorHAnsi" w:cstheme="minorBidi"/>
          <w:smallCaps w:val="0"/>
          <w:noProof/>
          <w:szCs w:val="22"/>
        </w:rPr>
        <w:tab/>
      </w:r>
      <w:r w:rsidRPr="00366288">
        <w:rPr>
          <w:noProof/>
          <w:snapToGrid w:val="0"/>
        </w:rPr>
        <w:t>Meteorological Data</w:t>
      </w:r>
      <w:r>
        <w:rPr>
          <w:noProof/>
        </w:rPr>
        <w:tab/>
      </w:r>
      <w:r>
        <w:rPr>
          <w:noProof/>
        </w:rPr>
        <w:fldChar w:fldCharType="begin"/>
      </w:r>
      <w:r>
        <w:rPr>
          <w:noProof/>
        </w:rPr>
        <w:instrText xml:space="preserve"> PAGEREF _Toc526778246 \h </w:instrText>
      </w:r>
      <w:r>
        <w:rPr>
          <w:noProof/>
        </w:rPr>
      </w:r>
      <w:r>
        <w:rPr>
          <w:noProof/>
        </w:rPr>
        <w:fldChar w:fldCharType="separate"/>
      </w:r>
      <w:r>
        <w:rPr>
          <w:noProof/>
        </w:rPr>
        <w:t>49</w:t>
      </w:r>
      <w:r>
        <w:rPr>
          <w:noProof/>
        </w:rPr>
        <w:fldChar w:fldCharType="end"/>
      </w:r>
    </w:p>
    <w:p w14:paraId="292A2DA4" w14:textId="77777777" w:rsidR="00135FFD" w:rsidRDefault="00135FFD">
      <w:pPr>
        <w:pStyle w:val="TOC3"/>
        <w:tabs>
          <w:tab w:val="left" w:pos="1200"/>
          <w:tab w:val="right" w:leader="dot" w:pos="8630"/>
        </w:tabs>
        <w:rPr>
          <w:rFonts w:asciiTheme="minorHAnsi" w:eastAsiaTheme="minorEastAsia" w:hAnsiTheme="minorHAnsi" w:cstheme="minorBidi"/>
          <w:i w:val="0"/>
          <w:noProof/>
          <w:szCs w:val="22"/>
        </w:rPr>
      </w:pPr>
      <w:r w:rsidRPr="00366288">
        <w:rPr>
          <w:noProof/>
          <w:snapToGrid w:val="0"/>
        </w:rPr>
        <w:t>2.6.1</w:t>
      </w:r>
      <w:r>
        <w:rPr>
          <w:rFonts w:asciiTheme="minorHAnsi" w:eastAsiaTheme="minorEastAsia" w:hAnsiTheme="minorHAnsi" w:cstheme="minorBidi"/>
          <w:i w:val="0"/>
          <w:noProof/>
          <w:szCs w:val="22"/>
        </w:rPr>
        <w:tab/>
      </w:r>
      <w:r w:rsidRPr="00366288">
        <w:rPr>
          <w:noProof/>
          <w:snapToGrid w:val="0"/>
        </w:rPr>
        <w:t>What is Representative Meteorological Data?</w:t>
      </w:r>
      <w:r>
        <w:rPr>
          <w:noProof/>
        </w:rPr>
        <w:tab/>
      </w:r>
      <w:r>
        <w:rPr>
          <w:noProof/>
        </w:rPr>
        <w:fldChar w:fldCharType="begin"/>
      </w:r>
      <w:r>
        <w:rPr>
          <w:noProof/>
        </w:rPr>
        <w:instrText xml:space="preserve"> PAGEREF _Toc526778247 \h </w:instrText>
      </w:r>
      <w:r>
        <w:rPr>
          <w:noProof/>
        </w:rPr>
      </w:r>
      <w:r>
        <w:rPr>
          <w:noProof/>
        </w:rPr>
        <w:fldChar w:fldCharType="separate"/>
      </w:r>
      <w:r>
        <w:rPr>
          <w:noProof/>
        </w:rPr>
        <w:t>49</w:t>
      </w:r>
      <w:r>
        <w:rPr>
          <w:noProof/>
        </w:rPr>
        <w:fldChar w:fldCharType="end"/>
      </w:r>
    </w:p>
    <w:p w14:paraId="5225C764" w14:textId="77777777" w:rsidR="00135FFD" w:rsidRDefault="00135FFD">
      <w:pPr>
        <w:pStyle w:val="TOC4"/>
        <w:tabs>
          <w:tab w:val="left" w:pos="1680"/>
          <w:tab w:val="right" w:leader="dot" w:pos="8630"/>
        </w:tabs>
        <w:rPr>
          <w:rFonts w:asciiTheme="minorHAnsi" w:eastAsiaTheme="minorEastAsia" w:hAnsiTheme="minorHAnsi" w:cstheme="minorBidi"/>
          <w:i w:val="0"/>
          <w:noProof/>
          <w:szCs w:val="22"/>
        </w:rPr>
      </w:pPr>
      <w:r w:rsidRPr="00366288">
        <w:rPr>
          <w:noProof/>
          <w:snapToGrid w:val="0"/>
        </w:rPr>
        <w:t>2.6.1.1</w:t>
      </w:r>
      <w:r>
        <w:rPr>
          <w:rFonts w:asciiTheme="minorHAnsi" w:eastAsiaTheme="minorEastAsia" w:hAnsiTheme="minorHAnsi" w:cstheme="minorBidi"/>
          <w:i w:val="0"/>
          <w:noProof/>
          <w:szCs w:val="22"/>
        </w:rPr>
        <w:tab/>
      </w:r>
      <w:r w:rsidRPr="00366288">
        <w:rPr>
          <w:noProof/>
          <w:snapToGrid w:val="0"/>
        </w:rPr>
        <w:t>Tower Measurements</w:t>
      </w:r>
      <w:r>
        <w:rPr>
          <w:noProof/>
        </w:rPr>
        <w:tab/>
      </w:r>
      <w:r>
        <w:rPr>
          <w:noProof/>
        </w:rPr>
        <w:fldChar w:fldCharType="begin"/>
      </w:r>
      <w:r>
        <w:rPr>
          <w:noProof/>
        </w:rPr>
        <w:instrText xml:space="preserve"> PAGEREF _Toc526778248 \h </w:instrText>
      </w:r>
      <w:r>
        <w:rPr>
          <w:noProof/>
        </w:rPr>
      </w:r>
      <w:r>
        <w:rPr>
          <w:noProof/>
        </w:rPr>
        <w:fldChar w:fldCharType="separate"/>
      </w:r>
      <w:r>
        <w:rPr>
          <w:noProof/>
        </w:rPr>
        <w:t>50</w:t>
      </w:r>
      <w:r>
        <w:rPr>
          <w:noProof/>
        </w:rPr>
        <w:fldChar w:fldCharType="end"/>
      </w:r>
    </w:p>
    <w:p w14:paraId="0E5F26DD" w14:textId="77777777" w:rsidR="00135FFD" w:rsidRDefault="00135FFD">
      <w:pPr>
        <w:pStyle w:val="TOC4"/>
        <w:tabs>
          <w:tab w:val="left" w:pos="1680"/>
          <w:tab w:val="right" w:leader="dot" w:pos="8630"/>
        </w:tabs>
        <w:rPr>
          <w:rFonts w:asciiTheme="minorHAnsi" w:eastAsiaTheme="minorEastAsia" w:hAnsiTheme="minorHAnsi" w:cstheme="minorBidi"/>
          <w:i w:val="0"/>
          <w:noProof/>
          <w:szCs w:val="22"/>
        </w:rPr>
      </w:pPr>
      <w:r w:rsidRPr="00366288">
        <w:rPr>
          <w:noProof/>
          <w:snapToGrid w:val="0"/>
        </w:rPr>
        <w:t>2.6.1.2</w:t>
      </w:r>
      <w:r>
        <w:rPr>
          <w:rFonts w:asciiTheme="minorHAnsi" w:eastAsiaTheme="minorEastAsia" w:hAnsiTheme="minorHAnsi" w:cstheme="minorBidi"/>
          <w:i w:val="0"/>
          <w:noProof/>
          <w:szCs w:val="22"/>
        </w:rPr>
        <w:tab/>
      </w:r>
      <w:r w:rsidRPr="00366288">
        <w:rPr>
          <w:noProof/>
          <w:snapToGrid w:val="0"/>
        </w:rPr>
        <w:t>Prognostic Meteorological Data</w:t>
      </w:r>
      <w:r>
        <w:rPr>
          <w:noProof/>
        </w:rPr>
        <w:tab/>
      </w:r>
      <w:r>
        <w:rPr>
          <w:noProof/>
        </w:rPr>
        <w:fldChar w:fldCharType="begin"/>
      </w:r>
      <w:r>
        <w:rPr>
          <w:noProof/>
        </w:rPr>
        <w:instrText xml:space="preserve"> PAGEREF _Toc526778249 \h </w:instrText>
      </w:r>
      <w:r>
        <w:rPr>
          <w:noProof/>
        </w:rPr>
      </w:r>
      <w:r>
        <w:rPr>
          <w:noProof/>
        </w:rPr>
        <w:fldChar w:fldCharType="separate"/>
      </w:r>
      <w:r>
        <w:rPr>
          <w:noProof/>
        </w:rPr>
        <w:t>51</w:t>
      </w:r>
      <w:r>
        <w:rPr>
          <w:noProof/>
        </w:rPr>
        <w:fldChar w:fldCharType="end"/>
      </w:r>
    </w:p>
    <w:p w14:paraId="7362B676" w14:textId="77777777" w:rsidR="00135FFD" w:rsidRDefault="00135FFD">
      <w:pPr>
        <w:pStyle w:val="TOC3"/>
        <w:tabs>
          <w:tab w:val="left" w:pos="1200"/>
          <w:tab w:val="right" w:leader="dot" w:pos="8630"/>
        </w:tabs>
        <w:rPr>
          <w:rFonts w:asciiTheme="minorHAnsi" w:eastAsiaTheme="minorEastAsia" w:hAnsiTheme="minorHAnsi" w:cstheme="minorBidi"/>
          <w:i w:val="0"/>
          <w:noProof/>
          <w:szCs w:val="22"/>
        </w:rPr>
      </w:pPr>
      <w:r w:rsidRPr="00366288">
        <w:rPr>
          <w:noProof/>
          <w:snapToGrid w:val="0"/>
        </w:rPr>
        <w:t>2.6.2</w:t>
      </w:r>
      <w:r>
        <w:rPr>
          <w:rFonts w:asciiTheme="minorHAnsi" w:eastAsiaTheme="minorEastAsia" w:hAnsiTheme="minorHAnsi" w:cstheme="minorBidi"/>
          <w:i w:val="0"/>
          <w:noProof/>
          <w:szCs w:val="22"/>
        </w:rPr>
        <w:tab/>
      </w:r>
      <w:r w:rsidRPr="00366288">
        <w:rPr>
          <w:noProof/>
          <w:snapToGrid w:val="0"/>
        </w:rPr>
        <w:t>Length of Data Record</w:t>
      </w:r>
      <w:r>
        <w:rPr>
          <w:noProof/>
        </w:rPr>
        <w:tab/>
      </w:r>
      <w:r>
        <w:rPr>
          <w:noProof/>
        </w:rPr>
        <w:fldChar w:fldCharType="begin"/>
      </w:r>
      <w:r>
        <w:rPr>
          <w:noProof/>
        </w:rPr>
        <w:instrText xml:space="preserve"> PAGEREF _Toc526778250 \h </w:instrText>
      </w:r>
      <w:r>
        <w:rPr>
          <w:noProof/>
        </w:rPr>
      </w:r>
      <w:r>
        <w:rPr>
          <w:noProof/>
        </w:rPr>
        <w:fldChar w:fldCharType="separate"/>
      </w:r>
      <w:r>
        <w:rPr>
          <w:noProof/>
        </w:rPr>
        <w:t>53</w:t>
      </w:r>
      <w:r>
        <w:rPr>
          <w:noProof/>
        </w:rPr>
        <w:fldChar w:fldCharType="end"/>
      </w:r>
    </w:p>
    <w:p w14:paraId="2CFEC654" w14:textId="77777777" w:rsidR="00135FFD" w:rsidRDefault="00135FFD">
      <w:pPr>
        <w:pStyle w:val="TOC3"/>
        <w:tabs>
          <w:tab w:val="left" w:pos="1200"/>
          <w:tab w:val="right" w:leader="dot" w:pos="8630"/>
        </w:tabs>
        <w:rPr>
          <w:rFonts w:asciiTheme="minorHAnsi" w:eastAsiaTheme="minorEastAsia" w:hAnsiTheme="minorHAnsi" w:cstheme="minorBidi"/>
          <w:i w:val="0"/>
          <w:noProof/>
          <w:szCs w:val="22"/>
        </w:rPr>
      </w:pPr>
      <w:r w:rsidRPr="00366288">
        <w:rPr>
          <w:noProof/>
          <w:snapToGrid w:val="0"/>
        </w:rPr>
        <w:t>2.6.3</w:t>
      </w:r>
      <w:r>
        <w:rPr>
          <w:rFonts w:asciiTheme="minorHAnsi" w:eastAsiaTheme="minorEastAsia" w:hAnsiTheme="minorHAnsi" w:cstheme="minorBidi"/>
          <w:i w:val="0"/>
          <w:noProof/>
          <w:szCs w:val="22"/>
        </w:rPr>
        <w:tab/>
      </w:r>
      <w:r w:rsidRPr="00366288">
        <w:rPr>
          <w:noProof/>
          <w:snapToGrid w:val="0"/>
        </w:rPr>
        <w:t>Quality Assurance Requirements for Meteorological Data</w:t>
      </w:r>
      <w:r>
        <w:rPr>
          <w:noProof/>
        </w:rPr>
        <w:tab/>
      </w:r>
      <w:r>
        <w:rPr>
          <w:noProof/>
        </w:rPr>
        <w:fldChar w:fldCharType="begin"/>
      </w:r>
      <w:r>
        <w:rPr>
          <w:noProof/>
        </w:rPr>
        <w:instrText xml:space="preserve"> PAGEREF _Toc526778251 \h </w:instrText>
      </w:r>
      <w:r>
        <w:rPr>
          <w:noProof/>
        </w:rPr>
      </w:r>
      <w:r>
        <w:rPr>
          <w:noProof/>
        </w:rPr>
        <w:fldChar w:fldCharType="separate"/>
      </w:r>
      <w:r>
        <w:rPr>
          <w:noProof/>
        </w:rPr>
        <w:t>53</w:t>
      </w:r>
      <w:r>
        <w:rPr>
          <w:noProof/>
        </w:rPr>
        <w:fldChar w:fldCharType="end"/>
      </w:r>
    </w:p>
    <w:p w14:paraId="450B48ED" w14:textId="77777777" w:rsidR="00135FFD" w:rsidRDefault="00135FFD">
      <w:pPr>
        <w:pStyle w:val="TOC4"/>
        <w:tabs>
          <w:tab w:val="left" w:pos="1680"/>
          <w:tab w:val="right" w:leader="dot" w:pos="8630"/>
        </w:tabs>
        <w:rPr>
          <w:rFonts w:asciiTheme="minorHAnsi" w:eastAsiaTheme="minorEastAsia" w:hAnsiTheme="minorHAnsi" w:cstheme="minorBidi"/>
          <w:i w:val="0"/>
          <w:noProof/>
          <w:szCs w:val="22"/>
        </w:rPr>
      </w:pPr>
      <w:r w:rsidRPr="00366288">
        <w:rPr>
          <w:noProof/>
          <w:snapToGrid w:val="0"/>
        </w:rPr>
        <w:t>2.6.3.1</w:t>
      </w:r>
      <w:r>
        <w:rPr>
          <w:rFonts w:asciiTheme="minorHAnsi" w:eastAsiaTheme="minorEastAsia" w:hAnsiTheme="minorHAnsi" w:cstheme="minorBidi"/>
          <w:i w:val="0"/>
          <w:noProof/>
          <w:szCs w:val="22"/>
        </w:rPr>
        <w:tab/>
      </w:r>
      <w:r w:rsidRPr="00366288">
        <w:rPr>
          <w:noProof/>
          <w:snapToGrid w:val="0"/>
        </w:rPr>
        <w:t>Site-Specific Meteorological Data</w:t>
      </w:r>
      <w:r>
        <w:rPr>
          <w:noProof/>
        </w:rPr>
        <w:tab/>
      </w:r>
      <w:r>
        <w:rPr>
          <w:noProof/>
        </w:rPr>
        <w:fldChar w:fldCharType="begin"/>
      </w:r>
      <w:r>
        <w:rPr>
          <w:noProof/>
        </w:rPr>
        <w:instrText xml:space="preserve"> PAGEREF _Toc526778252 \h </w:instrText>
      </w:r>
      <w:r>
        <w:rPr>
          <w:noProof/>
        </w:rPr>
      </w:r>
      <w:r>
        <w:rPr>
          <w:noProof/>
        </w:rPr>
        <w:fldChar w:fldCharType="separate"/>
      </w:r>
      <w:r>
        <w:rPr>
          <w:noProof/>
        </w:rPr>
        <w:t>54</w:t>
      </w:r>
      <w:r>
        <w:rPr>
          <w:noProof/>
        </w:rPr>
        <w:fldChar w:fldCharType="end"/>
      </w:r>
    </w:p>
    <w:p w14:paraId="5CF97FB7" w14:textId="77777777" w:rsidR="00135FFD" w:rsidRDefault="00135FFD">
      <w:pPr>
        <w:pStyle w:val="TOC4"/>
        <w:tabs>
          <w:tab w:val="left" w:pos="1680"/>
          <w:tab w:val="right" w:leader="dot" w:pos="8630"/>
        </w:tabs>
        <w:rPr>
          <w:rFonts w:asciiTheme="minorHAnsi" w:eastAsiaTheme="minorEastAsia" w:hAnsiTheme="minorHAnsi" w:cstheme="minorBidi"/>
          <w:i w:val="0"/>
          <w:noProof/>
          <w:szCs w:val="22"/>
        </w:rPr>
      </w:pPr>
      <w:r w:rsidRPr="00366288">
        <w:rPr>
          <w:noProof/>
          <w:snapToGrid w:val="0"/>
        </w:rPr>
        <w:t>2.6.3.2</w:t>
      </w:r>
      <w:r>
        <w:rPr>
          <w:rFonts w:asciiTheme="minorHAnsi" w:eastAsiaTheme="minorEastAsia" w:hAnsiTheme="minorHAnsi" w:cstheme="minorBidi"/>
          <w:i w:val="0"/>
          <w:noProof/>
          <w:szCs w:val="22"/>
        </w:rPr>
        <w:tab/>
      </w:r>
      <w:r w:rsidRPr="00366288">
        <w:rPr>
          <w:noProof/>
          <w:snapToGrid w:val="0"/>
        </w:rPr>
        <w:t>Prognostic Meteorological Data</w:t>
      </w:r>
      <w:r>
        <w:rPr>
          <w:noProof/>
        </w:rPr>
        <w:tab/>
      </w:r>
      <w:r>
        <w:rPr>
          <w:noProof/>
        </w:rPr>
        <w:fldChar w:fldCharType="begin"/>
      </w:r>
      <w:r>
        <w:rPr>
          <w:noProof/>
        </w:rPr>
        <w:instrText xml:space="preserve"> PAGEREF _Toc526778253 \h </w:instrText>
      </w:r>
      <w:r>
        <w:rPr>
          <w:noProof/>
        </w:rPr>
      </w:r>
      <w:r>
        <w:rPr>
          <w:noProof/>
        </w:rPr>
        <w:fldChar w:fldCharType="separate"/>
      </w:r>
      <w:r>
        <w:rPr>
          <w:noProof/>
        </w:rPr>
        <w:t>55</w:t>
      </w:r>
      <w:r>
        <w:rPr>
          <w:noProof/>
        </w:rPr>
        <w:fldChar w:fldCharType="end"/>
      </w:r>
    </w:p>
    <w:p w14:paraId="6AA58497" w14:textId="77777777" w:rsidR="00135FFD" w:rsidRDefault="00135FFD">
      <w:pPr>
        <w:pStyle w:val="TOC3"/>
        <w:tabs>
          <w:tab w:val="left" w:pos="1200"/>
          <w:tab w:val="right" w:leader="dot" w:pos="8630"/>
        </w:tabs>
        <w:rPr>
          <w:rFonts w:asciiTheme="minorHAnsi" w:eastAsiaTheme="minorEastAsia" w:hAnsiTheme="minorHAnsi" w:cstheme="minorBidi"/>
          <w:i w:val="0"/>
          <w:noProof/>
          <w:szCs w:val="22"/>
        </w:rPr>
      </w:pPr>
      <w:r w:rsidRPr="00366288">
        <w:rPr>
          <w:noProof/>
          <w:snapToGrid w:val="0"/>
        </w:rPr>
        <w:t>2.6.4</w:t>
      </w:r>
      <w:r>
        <w:rPr>
          <w:rFonts w:asciiTheme="minorHAnsi" w:eastAsiaTheme="minorEastAsia" w:hAnsiTheme="minorHAnsi" w:cstheme="minorBidi"/>
          <w:i w:val="0"/>
          <w:noProof/>
          <w:szCs w:val="22"/>
        </w:rPr>
        <w:tab/>
      </w:r>
      <w:r w:rsidRPr="00366288">
        <w:rPr>
          <w:noProof/>
          <w:snapToGrid w:val="0"/>
        </w:rPr>
        <w:t>Meteorological Data Processing and Use w/in the AERMOD System</w:t>
      </w:r>
      <w:r>
        <w:rPr>
          <w:noProof/>
        </w:rPr>
        <w:tab/>
      </w:r>
      <w:r>
        <w:rPr>
          <w:noProof/>
        </w:rPr>
        <w:fldChar w:fldCharType="begin"/>
      </w:r>
      <w:r>
        <w:rPr>
          <w:noProof/>
        </w:rPr>
        <w:instrText xml:space="preserve"> PAGEREF _Toc526778254 \h </w:instrText>
      </w:r>
      <w:r>
        <w:rPr>
          <w:noProof/>
        </w:rPr>
      </w:r>
      <w:r>
        <w:rPr>
          <w:noProof/>
        </w:rPr>
        <w:fldChar w:fldCharType="separate"/>
      </w:r>
      <w:r>
        <w:rPr>
          <w:noProof/>
        </w:rPr>
        <w:t>55</w:t>
      </w:r>
      <w:r>
        <w:rPr>
          <w:noProof/>
        </w:rPr>
        <w:fldChar w:fldCharType="end"/>
      </w:r>
    </w:p>
    <w:p w14:paraId="6ADC9162" w14:textId="77777777" w:rsidR="00135FFD" w:rsidRDefault="00135FFD">
      <w:pPr>
        <w:pStyle w:val="TOC4"/>
        <w:tabs>
          <w:tab w:val="left" w:pos="1680"/>
          <w:tab w:val="right" w:leader="dot" w:pos="8630"/>
        </w:tabs>
        <w:rPr>
          <w:rFonts w:asciiTheme="minorHAnsi" w:eastAsiaTheme="minorEastAsia" w:hAnsiTheme="minorHAnsi" w:cstheme="minorBidi"/>
          <w:i w:val="0"/>
          <w:noProof/>
          <w:szCs w:val="22"/>
        </w:rPr>
      </w:pPr>
      <w:r w:rsidRPr="00366288">
        <w:rPr>
          <w:noProof/>
          <w:snapToGrid w:val="0"/>
        </w:rPr>
        <w:t>2.6.4.1</w:t>
      </w:r>
      <w:r>
        <w:rPr>
          <w:rFonts w:asciiTheme="minorHAnsi" w:eastAsiaTheme="minorEastAsia" w:hAnsiTheme="minorHAnsi" w:cstheme="minorBidi"/>
          <w:i w:val="0"/>
          <w:noProof/>
          <w:szCs w:val="22"/>
        </w:rPr>
        <w:tab/>
      </w:r>
      <w:r w:rsidRPr="00366288">
        <w:rPr>
          <w:noProof/>
          <w:snapToGrid w:val="0"/>
        </w:rPr>
        <w:t>AERMET Data Processing</w:t>
      </w:r>
      <w:r>
        <w:rPr>
          <w:noProof/>
        </w:rPr>
        <w:tab/>
      </w:r>
      <w:r>
        <w:rPr>
          <w:noProof/>
        </w:rPr>
        <w:fldChar w:fldCharType="begin"/>
      </w:r>
      <w:r>
        <w:rPr>
          <w:noProof/>
        </w:rPr>
        <w:instrText xml:space="preserve"> PAGEREF _Toc526778255 \h </w:instrText>
      </w:r>
      <w:r>
        <w:rPr>
          <w:noProof/>
        </w:rPr>
      </w:r>
      <w:r>
        <w:rPr>
          <w:noProof/>
        </w:rPr>
        <w:fldChar w:fldCharType="separate"/>
      </w:r>
      <w:r>
        <w:rPr>
          <w:noProof/>
        </w:rPr>
        <w:t>55</w:t>
      </w:r>
      <w:r>
        <w:rPr>
          <w:noProof/>
        </w:rPr>
        <w:fldChar w:fldCharType="end"/>
      </w:r>
    </w:p>
    <w:p w14:paraId="2AC25876" w14:textId="77777777" w:rsidR="00135FFD" w:rsidRDefault="00135FFD">
      <w:pPr>
        <w:pStyle w:val="TOC4"/>
        <w:tabs>
          <w:tab w:val="left" w:pos="1680"/>
          <w:tab w:val="right" w:leader="dot" w:pos="8630"/>
        </w:tabs>
        <w:rPr>
          <w:rFonts w:asciiTheme="minorHAnsi" w:eastAsiaTheme="minorEastAsia" w:hAnsiTheme="minorHAnsi" w:cstheme="minorBidi"/>
          <w:i w:val="0"/>
          <w:noProof/>
          <w:szCs w:val="22"/>
        </w:rPr>
      </w:pPr>
      <w:r w:rsidRPr="00366288">
        <w:rPr>
          <w:noProof/>
          <w:snapToGrid w:val="0"/>
        </w:rPr>
        <w:t>2.6.4.2</w:t>
      </w:r>
      <w:r>
        <w:rPr>
          <w:rFonts w:asciiTheme="minorHAnsi" w:eastAsiaTheme="minorEastAsia" w:hAnsiTheme="minorHAnsi" w:cstheme="minorBidi"/>
          <w:i w:val="0"/>
          <w:noProof/>
          <w:szCs w:val="22"/>
        </w:rPr>
        <w:tab/>
      </w:r>
      <w:r w:rsidRPr="00366288">
        <w:rPr>
          <w:noProof/>
          <w:snapToGrid w:val="0"/>
        </w:rPr>
        <w:t>Surface Characteristics</w:t>
      </w:r>
      <w:r>
        <w:rPr>
          <w:noProof/>
        </w:rPr>
        <w:tab/>
      </w:r>
      <w:r>
        <w:rPr>
          <w:noProof/>
        </w:rPr>
        <w:fldChar w:fldCharType="begin"/>
      </w:r>
      <w:r>
        <w:rPr>
          <w:noProof/>
        </w:rPr>
        <w:instrText xml:space="preserve"> PAGEREF _Toc526778256 \h </w:instrText>
      </w:r>
      <w:r>
        <w:rPr>
          <w:noProof/>
        </w:rPr>
      </w:r>
      <w:r>
        <w:rPr>
          <w:noProof/>
        </w:rPr>
        <w:fldChar w:fldCharType="separate"/>
      </w:r>
      <w:r>
        <w:rPr>
          <w:noProof/>
        </w:rPr>
        <w:t>61</w:t>
      </w:r>
      <w:r>
        <w:rPr>
          <w:noProof/>
        </w:rPr>
        <w:fldChar w:fldCharType="end"/>
      </w:r>
    </w:p>
    <w:p w14:paraId="7CC86415" w14:textId="77777777" w:rsidR="00135FFD" w:rsidRDefault="00135FFD">
      <w:pPr>
        <w:pStyle w:val="TOC4"/>
        <w:tabs>
          <w:tab w:val="left" w:pos="1680"/>
          <w:tab w:val="right" w:leader="dot" w:pos="8630"/>
        </w:tabs>
        <w:rPr>
          <w:rFonts w:asciiTheme="minorHAnsi" w:eastAsiaTheme="minorEastAsia" w:hAnsiTheme="minorHAnsi" w:cstheme="minorBidi"/>
          <w:i w:val="0"/>
          <w:noProof/>
          <w:szCs w:val="22"/>
        </w:rPr>
      </w:pPr>
      <w:r w:rsidRPr="00366288">
        <w:rPr>
          <w:noProof/>
          <w:snapToGrid w:val="0"/>
        </w:rPr>
        <w:t>2.6.4.3</w:t>
      </w:r>
      <w:r>
        <w:rPr>
          <w:rFonts w:asciiTheme="minorHAnsi" w:eastAsiaTheme="minorEastAsia" w:hAnsiTheme="minorHAnsi" w:cstheme="minorBidi"/>
          <w:i w:val="0"/>
          <w:noProof/>
          <w:szCs w:val="22"/>
        </w:rPr>
        <w:tab/>
      </w:r>
      <w:r w:rsidRPr="00366288">
        <w:rPr>
          <w:noProof/>
          <w:snapToGrid w:val="0"/>
        </w:rPr>
        <w:t>Missing Data Substitution</w:t>
      </w:r>
      <w:r>
        <w:rPr>
          <w:noProof/>
        </w:rPr>
        <w:tab/>
      </w:r>
      <w:r>
        <w:rPr>
          <w:noProof/>
        </w:rPr>
        <w:fldChar w:fldCharType="begin"/>
      </w:r>
      <w:r>
        <w:rPr>
          <w:noProof/>
        </w:rPr>
        <w:instrText xml:space="preserve"> PAGEREF _Toc526778257 \h </w:instrText>
      </w:r>
      <w:r>
        <w:rPr>
          <w:noProof/>
        </w:rPr>
      </w:r>
      <w:r>
        <w:rPr>
          <w:noProof/>
        </w:rPr>
        <w:fldChar w:fldCharType="separate"/>
      </w:r>
      <w:r>
        <w:rPr>
          <w:noProof/>
        </w:rPr>
        <w:t>63</w:t>
      </w:r>
      <w:r>
        <w:rPr>
          <w:noProof/>
        </w:rPr>
        <w:fldChar w:fldCharType="end"/>
      </w:r>
    </w:p>
    <w:p w14:paraId="2EB462D4" w14:textId="77777777" w:rsidR="00135FFD" w:rsidRDefault="00135FFD">
      <w:pPr>
        <w:pStyle w:val="TOC4"/>
        <w:tabs>
          <w:tab w:val="left" w:pos="1680"/>
          <w:tab w:val="right" w:leader="dot" w:pos="8630"/>
        </w:tabs>
        <w:rPr>
          <w:rFonts w:asciiTheme="minorHAnsi" w:eastAsiaTheme="minorEastAsia" w:hAnsiTheme="minorHAnsi" w:cstheme="minorBidi"/>
          <w:i w:val="0"/>
          <w:noProof/>
          <w:szCs w:val="22"/>
        </w:rPr>
      </w:pPr>
      <w:r w:rsidRPr="00366288">
        <w:rPr>
          <w:noProof/>
          <w:snapToGrid w:val="0"/>
        </w:rPr>
        <w:t>2.6.4.4</w:t>
      </w:r>
      <w:r>
        <w:rPr>
          <w:rFonts w:asciiTheme="minorHAnsi" w:eastAsiaTheme="minorEastAsia" w:hAnsiTheme="minorHAnsi" w:cstheme="minorBidi"/>
          <w:i w:val="0"/>
          <w:noProof/>
          <w:szCs w:val="22"/>
        </w:rPr>
        <w:tab/>
      </w:r>
      <w:r w:rsidRPr="00366288">
        <w:rPr>
          <w:noProof/>
          <w:snapToGrid w:val="0"/>
        </w:rPr>
        <w:t>Posted AERMET Data</w:t>
      </w:r>
      <w:r>
        <w:rPr>
          <w:noProof/>
        </w:rPr>
        <w:tab/>
      </w:r>
      <w:r>
        <w:rPr>
          <w:noProof/>
        </w:rPr>
        <w:fldChar w:fldCharType="begin"/>
      </w:r>
      <w:r>
        <w:rPr>
          <w:noProof/>
        </w:rPr>
        <w:instrText xml:space="preserve"> PAGEREF _Toc526778258 \h </w:instrText>
      </w:r>
      <w:r>
        <w:rPr>
          <w:noProof/>
        </w:rPr>
      </w:r>
      <w:r>
        <w:rPr>
          <w:noProof/>
        </w:rPr>
        <w:fldChar w:fldCharType="separate"/>
      </w:r>
      <w:r>
        <w:rPr>
          <w:noProof/>
        </w:rPr>
        <w:t>64</w:t>
      </w:r>
      <w:r>
        <w:rPr>
          <w:noProof/>
        </w:rPr>
        <w:fldChar w:fldCharType="end"/>
      </w:r>
    </w:p>
    <w:p w14:paraId="594039C1" w14:textId="77777777" w:rsidR="00135FFD" w:rsidRDefault="00135FFD">
      <w:pPr>
        <w:pStyle w:val="TOC4"/>
        <w:tabs>
          <w:tab w:val="left" w:pos="1680"/>
          <w:tab w:val="right" w:leader="dot" w:pos="8630"/>
        </w:tabs>
        <w:rPr>
          <w:rFonts w:asciiTheme="minorHAnsi" w:eastAsiaTheme="minorEastAsia" w:hAnsiTheme="minorHAnsi" w:cstheme="minorBidi"/>
          <w:i w:val="0"/>
          <w:noProof/>
          <w:szCs w:val="22"/>
        </w:rPr>
      </w:pPr>
      <w:r w:rsidRPr="00366288">
        <w:rPr>
          <w:noProof/>
          <w:snapToGrid w:val="0"/>
        </w:rPr>
        <w:t>2.6.4.5</w:t>
      </w:r>
      <w:r>
        <w:rPr>
          <w:rFonts w:asciiTheme="minorHAnsi" w:eastAsiaTheme="minorEastAsia" w:hAnsiTheme="minorHAnsi" w:cstheme="minorBidi"/>
          <w:i w:val="0"/>
          <w:noProof/>
          <w:szCs w:val="22"/>
        </w:rPr>
        <w:tab/>
      </w:r>
      <w:r w:rsidRPr="00366288">
        <w:rPr>
          <w:noProof/>
          <w:snapToGrid w:val="0"/>
        </w:rPr>
        <w:t>Meteorology and Model Runs</w:t>
      </w:r>
      <w:r>
        <w:rPr>
          <w:noProof/>
        </w:rPr>
        <w:tab/>
      </w:r>
      <w:r>
        <w:rPr>
          <w:noProof/>
        </w:rPr>
        <w:fldChar w:fldCharType="begin"/>
      </w:r>
      <w:r>
        <w:rPr>
          <w:noProof/>
        </w:rPr>
        <w:instrText xml:space="preserve"> PAGEREF _Toc526778259 \h </w:instrText>
      </w:r>
      <w:r>
        <w:rPr>
          <w:noProof/>
        </w:rPr>
      </w:r>
      <w:r>
        <w:rPr>
          <w:noProof/>
        </w:rPr>
        <w:fldChar w:fldCharType="separate"/>
      </w:r>
      <w:r>
        <w:rPr>
          <w:noProof/>
        </w:rPr>
        <w:t>65</w:t>
      </w:r>
      <w:r>
        <w:rPr>
          <w:noProof/>
        </w:rPr>
        <w:fldChar w:fldCharType="end"/>
      </w:r>
    </w:p>
    <w:p w14:paraId="0FF479AF" w14:textId="77777777" w:rsidR="00135FFD" w:rsidRDefault="00135FFD">
      <w:pPr>
        <w:pStyle w:val="TOC3"/>
        <w:tabs>
          <w:tab w:val="left" w:pos="1200"/>
          <w:tab w:val="right" w:leader="dot" w:pos="8630"/>
        </w:tabs>
        <w:rPr>
          <w:rFonts w:asciiTheme="minorHAnsi" w:eastAsiaTheme="minorEastAsia" w:hAnsiTheme="minorHAnsi" w:cstheme="minorBidi"/>
          <w:i w:val="0"/>
          <w:noProof/>
          <w:szCs w:val="22"/>
        </w:rPr>
      </w:pPr>
      <w:r w:rsidRPr="00366288">
        <w:rPr>
          <w:noProof/>
          <w:snapToGrid w:val="0"/>
          <w:lang w:val="it-IT"/>
        </w:rPr>
        <w:t>2.6.5</w:t>
      </w:r>
      <w:r>
        <w:rPr>
          <w:rFonts w:asciiTheme="minorHAnsi" w:eastAsiaTheme="minorEastAsia" w:hAnsiTheme="minorHAnsi" w:cstheme="minorBidi"/>
          <w:i w:val="0"/>
          <w:noProof/>
          <w:szCs w:val="22"/>
        </w:rPr>
        <w:tab/>
      </w:r>
      <w:r w:rsidRPr="00366288">
        <w:rPr>
          <w:noProof/>
          <w:snapToGrid w:val="0"/>
          <w:lang w:val="it-IT"/>
        </w:rPr>
        <w:t>CALMET</w:t>
      </w:r>
      <w:r>
        <w:rPr>
          <w:noProof/>
        </w:rPr>
        <w:tab/>
      </w:r>
      <w:r>
        <w:rPr>
          <w:noProof/>
        </w:rPr>
        <w:fldChar w:fldCharType="begin"/>
      </w:r>
      <w:r>
        <w:rPr>
          <w:noProof/>
        </w:rPr>
        <w:instrText xml:space="preserve"> PAGEREF _Toc526778260 \h </w:instrText>
      </w:r>
      <w:r>
        <w:rPr>
          <w:noProof/>
        </w:rPr>
      </w:r>
      <w:r>
        <w:rPr>
          <w:noProof/>
        </w:rPr>
        <w:fldChar w:fldCharType="separate"/>
      </w:r>
      <w:r>
        <w:rPr>
          <w:noProof/>
        </w:rPr>
        <w:t>65</w:t>
      </w:r>
      <w:r>
        <w:rPr>
          <w:noProof/>
        </w:rPr>
        <w:fldChar w:fldCharType="end"/>
      </w:r>
    </w:p>
    <w:p w14:paraId="30ECD683" w14:textId="77777777" w:rsidR="00135FFD" w:rsidRDefault="00135FFD">
      <w:pPr>
        <w:pStyle w:val="TOC3"/>
        <w:tabs>
          <w:tab w:val="left" w:pos="1200"/>
          <w:tab w:val="right" w:leader="dot" w:pos="8630"/>
        </w:tabs>
        <w:rPr>
          <w:rFonts w:asciiTheme="minorHAnsi" w:eastAsiaTheme="minorEastAsia" w:hAnsiTheme="minorHAnsi" w:cstheme="minorBidi"/>
          <w:i w:val="0"/>
          <w:noProof/>
          <w:szCs w:val="22"/>
        </w:rPr>
      </w:pPr>
      <w:r w:rsidRPr="00366288">
        <w:rPr>
          <w:noProof/>
          <w:snapToGrid w:val="0"/>
          <w:lang w:val="it-IT"/>
        </w:rPr>
        <w:t>2.6.6</w:t>
      </w:r>
      <w:r>
        <w:rPr>
          <w:rFonts w:asciiTheme="minorHAnsi" w:eastAsiaTheme="minorEastAsia" w:hAnsiTheme="minorHAnsi" w:cstheme="minorBidi"/>
          <w:i w:val="0"/>
          <w:noProof/>
          <w:szCs w:val="22"/>
        </w:rPr>
        <w:tab/>
      </w:r>
      <w:r w:rsidRPr="00366288">
        <w:rPr>
          <w:noProof/>
          <w:snapToGrid w:val="0"/>
          <w:lang w:val="it-IT"/>
        </w:rPr>
        <w:t>MMIF</w:t>
      </w:r>
      <w:r>
        <w:rPr>
          <w:noProof/>
        </w:rPr>
        <w:tab/>
      </w:r>
      <w:r>
        <w:rPr>
          <w:noProof/>
        </w:rPr>
        <w:fldChar w:fldCharType="begin"/>
      </w:r>
      <w:r>
        <w:rPr>
          <w:noProof/>
        </w:rPr>
        <w:instrText xml:space="preserve"> PAGEREF _Toc526778261 \h </w:instrText>
      </w:r>
      <w:r>
        <w:rPr>
          <w:noProof/>
        </w:rPr>
      </w:r>
      <w:r>
        <w:rPr>
          <w:noProof/>
        </w:rPr>
        <w:fldChar w:fldCharType="separate"/>
      </w:r>
      <w:r>
        <w:rPr>
          <w:noProof/>
        </w:rPr>
        <w:t>65</w:t>
      </w:r>
      <w:r>
        <w:rPr>
          <w:noProof/>
        </w:rPr>
        <w:fldChar w:fldCharType="end"/>
      </w:r>
    </w:p>
    <w:p w14:paraId="08EE3250" w14:textId="77777777" w:rsidR="00135FFD" w:rsidRDefault="00135FFD">
      <w:pPr>
        <w:pStyle w:val="TOC2"/>
        <w:tabs>
          <w:tab w:val="left" w:pos="960"/>
          <w:tab w:val="right" w:leader="dot" w:pos="8630"/>
        </w:tabs>
        <w:rPr>
          <w:rFonts w:asciiTheme="minorHAnsi" w:eastAsiaTheme="minorEastAsia" w:hAnsiTheme="minorHAnsi" w:cstheme="minorBidi"/>
          <w:smallCaps w:val="0"/>
          <w:noProof/>
          <w:szCs w:val="22"/>
        </w:rPr>
      </w:pPr>
      <w:r w:rsidRPr="00366288">
        <w:rPr>
          <w:noProof/>
          <w:snapToGrid w:val="0"/>
        </w:rPr>
        <w:t>2.7</w:t>
      </w:r>
      <w:r>
        <w:rPr>
          <w:rFonts w:asciiTheme="minorHAnsi" w:eastAsiaTheme="minorEastAsia" w:hAnsiTheme="minorHAnsi" w:cstheme="minorBidi"/>
          <w:smallCaps w:val="0"/>
          <w:noProof/>
          <w:szCs w:val="22"/>
        </w:rPr>
        <w:tab/>
      </w:r>
      <w:r w:rsidRPr="00366288">
        <w:rPr>
          <w:noProof/>
          <w:snapToGrid w:val="0"/>
        </w:rPr>
        <w:t>Emissions and EU Characterization</w:t>
      </w:r>
      <w:r>
        <w:rPr>
          <w:noProof/>
        </w:rPr>
        <w:tab/>
      </w:r>
      <w:r>
        <w:rPr>
          <w:noProof/>
        </w:rPr>
        <w:fldChar w:fldCharType="begin"/>
      </w:r>
      <w:r>
        <w:rPr>
          <w:noProof/>
        </w:rPr>
        <w:instrText xml:space="preserve"> PAGEREF _Toc526778262 \h </w:instrText>
      </w:r>
      <w:r>
        <w:rPr>
          <w:noProof/>
        </w:rPr>
      </w:r>
      <w:r>
        <w:rPr>
          <w:noProof/>
        </w:rPr>
        <w:fldChar w:fldCharType="separate"/>
      </w:r>
      <w:r>
        <w:rPr>
          <w:noProof/>
        </w:rPr>
        <w:t>67</w:t>
      </w:r>
      <w:r>
        <w:rPr>
          <w:noProof/>
        </w:rPr>
        <w:fldChar w:fldCharType="end"/>
      </w:r>
    </w:p>
    <w:p w14:paraId="350CEEEB" w14:textId="77777777" w:rsidR="00135FFD" w:rsidRDefault="00135FFD">
      <w:pPr>
        <w:pStyle w:val="TOC3"/>
        <w:tabs>
          <w:tab w:val="left" w:pos="1200"/>
          <w:tab w:val="right" w:leader="dot" w:pos="8630"/>
        </w:tabs>
        <w:rPr>
          <w:rFonts w:asciiTheme="minorHAnsi" w:eastAsiaTheme="minorEastAsia" w:hAnsiTheme="minorHAnsi" w:cstheme="minorBidi"/>
          <w:i w:val="0"/>
          <w:noProof/>
          <w:szCs w:val="22"/>
        </w:rPr>
      </w:pPr>
      <w:r w:rsidRPr="00366288">
        <w:rPr>
          <w:noProof/>
          <w:snapToGrid w:val="0"/>
        </w:rPr>
        <w:t>2.7.1</w:t>
      </w:r>
      <w:r>
        <w:rPr>
          <w:rFonts w:asciiTheme="minorHAnsi" w:eastAsiaTheme="minorEastAsia" w:hAnsiTheme="minorHAnsi" w:cstheme="minorBidi"/>
          <w:i w:val="0"/>
          <w:noProof/>
          <w:szCs w:val="22"/>
        </w:rPr>
        <w:tab/>
      </w:r>
      <w:r w:rsidRPr="00366288">
        <w:rPr>
          <w:noProof/>
          <w:snapToGrid w:val="0"/>
        </w:rPr>
        <w:t>Emission Rates and Release Parameters</w:t>
      </w:r>
      <w:r>
        <w:rPr>
          <w:noProof/>
        </w:rPr>
        <w:tab/>
      </w:r>
      <w:r>
        <w:rPr>
          <w:noProof/>
        </w:rPr>
        <w:fldChar w:fldCharType="begin"/>
      </w:r>
      <w:r>
        <w:rPr>
          <w:noProof/>
        </w:rPr>
        <w:instrText xml:space="preserve"> PAGEREF _Toc526778263 \h </w:instrText>
      </w:r>
      <w:r>
        <w:rPr>
          <w:noProof/>
        </w:rPr>
      </w:r>
      <w:r>
        <w:rPr>
          <w:noProof/>
        </w:rPr>
        <w:fldChar w:fldCharType="separate"/>
      </w:r>
      <w:r>
        <w:rPr>
          <w:noProof/>
        </w:rPr>
        <w:t>67</w:t>
      </w:r>
      <w:r>
        <w:rPr>
          <w:noProof/>
        </w:rPr>
        <w:fldChar w:fldCharType="end"/>
      </w:r>
    </w:p>
    <w:p w14:paraId="4C368EA1" w14:textId="77777777" w:rsidR="00135FFD" w:rsidRDefault="00135FFD">
      <w:pPr>
        <w:pStyle w:val="TOC3"/>
        <w:tabs>
          <w:tab w:val="left" w:pos="1200"/>
          <w:tab w:val="right" w:leader="dot" w:pos="8630"/>
        </w:tabs>
        <w:rPr>
          <w:rFonts w:asciiTheme="minorHAnsi" w:eastAsiaTheme="minorEastAsia" w:hAnsiTheme="minorHAnsi" w:cstheme="minorBidi"/>
          <w:i w:val="0"/>
          <w:noProof/>
          <w:szCs w:val="22"/>
        </w:rPr>
      </w:pPr>
      <w:r>
        <w:rPr>
          <w:noProof/>
        </w:rPr>
        <w:t>2.7.2</w:t>
      </w:r>
      <w:r>
        <w:rPr>
          <w:rFonts w:asciiTheme="minorHAnsi" w:eastAsiaTheme="minorEastAsia" w:hAnsiTheme="minorHAnsi" w:cstheme="minorBidi"/>
          <w:i w:val="0"/>
          <w:noProof/>
          <w:szCs w:val="22"/>
        </w:rPr>
        <w:tab/>
      </w:r>
      <w:r>
        <w:rPr>
          <w:noProof/>
        </w:rPr>
        <w:t>Additional Information on Common Types of EUs</w:t>
      </w:r>
      <w:r>
        <w:rPr>
          <w:noProof/>
        </w:rPr>
        <w:tab/>
      </w:r>
      <w:r>
        <w:rPr>
          <w:noProof/>
        </w:rPr>
        <w:fldChar w:fldCharType="begin"/>
      </w:r>
      <w:r>
        <w:rPr>
          <w:noProof/>
        </w:rPr>
        <w:instrText xml:space="preserve"> PAGEREF _Toc526778264 \h </w:instrText>
      </w:r>
      <w:r>
        <w:rPr>
          <w:noProof/>
        </w:rPr>
      </w:r>
      <w:r>
        <w:rPr>
          <w:noProof/>
        </w:rPr>
        <w:fldChar w:fldCharType="separate"/>
      </w:r>
      <w:r>
        <w:rPr>
          <w:noProof/>
        </w:rPr>
        <w:t>76</w:t>
      </w:r>
      <w:r>
        <w:rPr>
          <w:noProof/>
        </w:rPr>
        <w:fldChar w:fldCharType="end"/>
      </w:r>
    </w:p>
    <w:p w14:paraId="640A877C" w14:textId="77777777" w:rsidR="00135FFD" w:rsidRDefault="00135FFD">
      <w:pPr>
        <w:pStyle w:val="TOC4"/>
        <w:tabs>
          <w:tab w:val="left" w:pos="1680"/>
          <w:tab w:val="right" w:leader="dot" w:pos="8630"/>
        </w:tabs>
        <w:rPr>
          <w:rFonts w:asciiTheme="minorHAnsi" w:eastAsiaTheme="minorEastAsia" w:hAnsiTheme="minorHAnsi" w:cstheme="minorBidi"/>
          <w:i w:val="0"/>
          <w:noProof/>
          <w:szCs w:val="22"/>
        </w:rPr>
      </w:pPr>
      <w:r>
        <w:rPr>
          <w:noProof/>
        </w:rPr>
        <w:t>2.7.2.1</w:t>
      </w:r>
      <w:r>
        <w:rPr>
          <w:rFonts w:asciiTheme="minorHAnsi" w:eastAsiaTheme="minorEastAsia" w:hAnsiTheme="minorHAnsi" w:cstheme="minorBidi"/>
          <w:i w:val="0"/>
          <w:noProof/>
          <w:szCs w:val="22"/>
        </w:rPr>
        <w:tab/>
      </w:r>
      <w:r>
        <w:rPr>
          <w:noProof/>
        </w:rPr>
        <w:t>Reciprocating Engines</w:t>
      </w:r>
      <w:r>
        <w:rPr>
          <w:noProof/>
        </w:rPr>
        <w:tab/>
      </w:r>
      <w:r>
        <w:rPr>
          <w:noProof/>
        </w:rPr>
        <w:fldChar w:fldCharType="begin"/>
      </w:r>
      <w:r>
        <w:rPr>
          <w:noProof/>
        </w:rPr>
        <w:instrText xml:space="preserve"> PAGEREF _Toc526778265 \h </w:instrText>
      </w:r>
      <w:r>
        <w:rPr>
          <w:noProof/>
        </w:rPr>
      </w:r>
      <w:r>
        <w:rPr>
          <w:noProof/>
        </w:rPr>
        <w:fldChar w:fldCharType="separate"/>
      </w:r>
      <w:r>
        <w:rPr>
          <w:noProof/>
        </w:rPr>
        <w:t>76</w:t>
      </w:r>
      <w:r>
        <w:rPr>
          <w:noProof/>
        </w:rPr>
        <w:fldChar w:fldCharType="end"/>
      </w:r>
    </w:p>
    <w:p w14:paraId="02FC8774" w14:textId="77777777" w:rsidR="00135FFD" w:rsidRDefault="00135FFD">
      <w:pPr>
        <w:pStyle w:val="TOC4"/>
        <w:tabs>
          <w:tab w:val="left" w:pos="1680"/>
          <w:tab w:val="right" w:leader="dot" w:pos="8630"/>
        </w:tabs>
        <w:rPr>
          <w:rFonts w:asciiTheme="minorHAnsi" w:eastAsiaTheme="minorEastAsia" w:hAnsiTheme="minorHAnsi" w:cstheme="minorBidi"/>
          <w:i w:val="0"/>
          <w:noProof/>
          <w:szCs w:val="22"/>
        </w:rPr>
      </w:pPr>
      <w:r>
        <w:rPr>
          <w:noProof/>
        </w:rPr>
        <w:t>2.7.2.2</w:t>
      </w:r>
      <w:r>
        <w:rPr>
          <w:rFonts w:asciiTheme="minorHAnsi" w:eastAsiaTheme="minorEastAsia" w:hAnsiTheme="minorHAnsi" w:cstheme="minorBidi"/>
          <w:i w:val="0"/>
          <w:noProof/>
          <w:szCs w:val="22"/>
        </w:rPr>
        <w:tab/>
      </w:r>
      <w:r>
        <w:rPr>
          <w:noProof/>
        </w:rPr>
        <w:t>Boilers and Heaters</w:t>
      </w:r>
      <w:r>
        <w:rPr>
          <w:noProof/>
        </w:rPr>
        <w:tab/>
      </w:r>
      <w:r>
        <w:rPr>
          <w:noProof/>
        </w:rPr>
        <w:fldChar w:fldCharType="begin"/>
      </w:r>
      <w:r>
        <w:rPr>
          <w:noProof/>
        </w:rPr>
        <w:instrText xml:space="preserve"> PAGEREF _Toc526778266 \h </w:instrText>
      </w:r>
      <w:r>
        <w:rPr>
          <w:noProof/>
        </w:rPr>
      </w:r>
      <w:r>
        <w:rPr>
          <w:noProof/>
        </w:rPr>
        <w:fldChar w:fldCharType="separate"/>
      </w:r>
      <w:r>
        <w:rPr>
          <w:noProof/>
        </w:rPr>
        <w:t>79</w:t>
      </w:r>
      <w:r>
        <w:rPr>
          <w:noProof/>
        </w:rPr>
        <w:fldChar w:fldCharType="end"/>
      </w:r>
    </w:p>
    <w:p w14:paraId="2CE513BB" w14:textId="77777777" w:rsidR="00135FFD" w:rsidRDefault="00135FFD">
      <w:pPr>
        <w:pStyle w:val="TOC4"/>
        <w:tabs>
          <w:tab w:val="left" w:pos="1680"/>
          <w:tab w:val="right" w:leader="dot" w:pos="8630"/>
        </w:tabs>
        <w:rPr>
          <w:rFonts w:asciiTheme="minorHAnsi" w:eastAsiaTheme="minorEastAsia" w:hAnsiTheme="minorHAnsi" w:cstheme="minorBidi"/>
          <w:i w:val="0"/>
          <w:noProof/>
          <w:szCs w:val="22"/>
        </w:rPr>
      </w:pPr>
      <w:r>
        <w:rPr>
          <w:noProof/>
        </w:rPr>
        <w:t>2.7.2.3</w:t>
      </w:r>
      <w:r>
        <w:rPr>
          <w:rFonts w:asciiTheme="minorHAnsi" w:eastAsiaTheme="minorEastAsia" w:hAnsiTheme="minorHAnsi" w:cstheme="minorBidi"/>
          <w:i w:val="0"/>
          <w:noProof/>
          <w:szCs w:val="22"/>
        </w:rPr>
        <w:tab/>
      </w:r>
      <w:r>
        <w:rPr>
          <w:noProof/>
        </w:rPr>
        <w:t>Combustion Turbines</w:t>
      </w:r>
      <w:r>
        <w:rPr>
          <w:noProof/>
        </w:rPr>
        <w:tab/>
      </w:r>
      <w:r>
        <w:rPr>
          <w:noProof/>
        </w:rPr>
        <w:fldChar w:fldCharType="begin"/>
      </w:r>
      <w:r>
        <w:rPr>
          <w:noProof/>
        </w:rPr>
        <w:instrText xml:space="preserve"> PAGEREF _Toc526778267 \h </w:instrText>
      </w:r>
      <w:r>
        <w:rPr>
          <w:noProof/>
        </w:rPr>
      </w:r>
      <w:r>
        <w:rPr>
          <w:noProof/>
        </w:rPr>
        <w:fldChar w:fldCharType="separate"/>
      </w:r>
      <w:r>
        <w:rPr>
          <w:noProof/>
        </w:rPr>
        <w:t>82</w:t>
      </w:r>
      <w:r>
        <w:rPr>
          <w:noProof/>
        </w:rPr>
        <w:fldChar w:fldCharType="end"/>
      </w:r>
    </w:p>
    <w:p w14:paraId="6B32B550" w14:textId="77777777" w:rsidR="00135FFD" w:rsidRDefault="00135FFD">
      <w:pPr>
        <w:pStyle w:val="TOC4"/>
        <w:tabs>
          <w:tab w:val="left" w:pos="1680"/>
          <w:tab w:val="right" w:leader="dot" w:pos="8630"/>
        </w:tabs>
        <w:rPr>
          <w:rFonts w:asciiTheme="minorHAnsi" w:eastAsiaTheme="minorEastAsia" w:hAnsiTheme="minorHAnsi" w:cstheme="minorBidi"/>
          <w:i w:val="0"/>
          <w:noProof/>
          <w:szCs w:val="22"/>
        </w:rPr>
      </w:pPr>
      <w:r>
        <w:rPr>
          <w:noProof/>
        </w:rPr>
        <w:t>2.7.2.4</w:t>
      </w:r>
      <w:r>
        <w:rPr>
          <w:rFonts w:asciiTheme="minorHAnsi" w:eastAsiaTheme="minorEastAsia" w:hAnsiTheme="minorHAnsi" w:cstheme="minorBidi"/>
          <w:i w:val="0"/>
          <w:noProof/>
          <w:szCs w:val="22"/>
        </w:rPr>
        <w:tab/>
      </w:r>
      <w:r>
        <w:rPr>
          <w:noProof/>
        </w:rPr>
        <w:t>Flares</w:t>
      </w:r>
      <w:r>
        <w:rPr>
          <w:noProof/>
        </w:rPr>
        <w:tab/>
      </w:r>
      <w:r>
        <w:rPr>
          <w:noProof/>
        </w:rPr>
        <w:fldChar w:fldCharType="begin"/>
      </w:r>
      <w:r>
        <w:rPr>
          <w:noProof/>
        </w:rPr>
        <w:instrText xml:space="preserve"> PAGEREF _Toc526778268 \h </w:instrText>
      </w:r>
      <w:r>
        <w:rPr>
          <w:noProof/>
        </w:rPr>
      </w:r>
      <w:r>
        <w:rPr>
          <w:noProof/>
        </w:rPr>
        <w:fldChar w:fldCharType="separate"/>
      </w:r>
      <w:r>
        <w:rPr>
          <w:noProof/>
        </w:rPr>
        <w:t>85</w:t>
      </w:r>
      <w:r>
        <w:rPr>
          <w:noProof/>
        </w:rPr>
        <w:fldChar w:fldCharType="end"/>
      </w:r>
    </w:p>
    <w:p w14:paraId="1362C0BE" w14:textId="77777777" w:rsidR="00135FFD" w:rsidRDefault="00135FFD">
      <w:pPr>
        <w:pStyle w:val="TOC4"/>
        <w:tabs>
          <w:tab w:val="left" w:pos="1680"/>
          <w:tab w:val="right" w:leader="dot" w:pos="8630"/>
        </w:tabs>
        <w:rPr>
          <w:rFonts w:asciiTheme="minorHAnsi" w:eastAsiaTheme="minorEastAsia" w:hAnsiTheme="minorHAnsi" w:cstheme="minorBidi"/>
          <w:i w:val="0"/>
          <w:noProof/>
          <w:szCs w:val="22"/>
        </w:rPr>
      </w:pPr>
      <w:r w:rsidRPr="00366288">
        <w:rPr>
          <w:noProof/>
          <w:snapToGrid w:val="0"/>
        </w:rPr>
        <w:t>2.7.2.5</w:t>
      </w:r>
      <w:r>
        <w:rPr>
          <w:rFonts w:asciiTheme="minorHAnsi" w:eastAsiaTheme="minorEastAsia" w:hAnsiTheme="minorHAnsi" w:cstheme="minorBidi"/>
          <w:i w:val="0"/>
          <w:noProof/>
          <w:szCs w:val="22"/>
        </w:rPr>
        <w:tab/>
      </w:r>
      <w:r w:rsidRPr="00366288">
        <w:rPr>
          <w:noProof/>
          <w:snapToGrid w:val="0"/>
        </w:rPr>
        <w:t>Marine Vessels</w:t>
      </w:r>
      <w:r>
        <w:rPr>
          <w:noProof/>
        </w:rPr>
        <w:tab/>
      </w:r>
      <w:r>
        <w:rPr>
          <w:noProof/>
        </w:rPr>
        <w:fldChar w:fldCharType="begin"/>
      </w:r>
      <w:r>
        <w:rPr>
          <w:noProof/>
        </w:rPr>
        <w:instrText xml:space="preserve"> PAGEREF _Toc526778269 \h </w:instrText>
      </w:r>
      <w:r>
        <w:rPr>
          <w:noProof/>
        </w:rPr>
      </w:r>
      <w:r>
        <w:rPr>
          <w:noProof/>
        </w:rPr>
        <w:fldChar w:fldCharType="separate"/>
      </w:r>
      <w:r>
        <w:rPr>
          <w:noProof/>
        </w:rPr>
        <w:t>88</w:t>
      </w:r>
      <w:r>
        <w:rPr>
          <w:noProof/>
        </w:rPr>
        <w:fldChar w:fldCharType="end"/>
      </w:r>
    </w:p>
    <w:p w14:paraId="4E88E41B" w14:textId="77777777" w:rsidR="00135FFD" w:rsidRDefault="00135FFD">
      <w:pPr>
        <w:pStyle w:val="TOC3"/>
        <w:tabs>
          <w:tab w:val="left" w:pos="1200"/>
          <w:tab w:val="right" w:leader="dot" w:pos="8630"/>
        </w:tabs>
        <w:rPr>
          <w:rFonts w:asciiTheme="minorHAnsi" w:eastAsiaTheme="minorEastAsia" w:hAnsiTheme="minorHAnsi" w:cstheme="minorBidi"/>
          <w:i w:val="0"/>
          <w:noProof/>
          <w:szCs w:val="22"/>
        </w:rPr>
      </w:pPr>
      <w:r w:rsidRPr="00366288">
        <w:rPr>
          <w:noProof/>
          <w:snapToGrid w:val="0"/>
        </w:rPr>
        <w:t>2.7.3</w:t>
      </w:r>
      <w:r>
        <w:rPr>
          <w:rFonts w:asciiTheme="minorHAnsi" w:eastAsiaTheme="minorEastAsia" w:hAnsiTheme="minorHAnsi" w:cstheme="minorBidi"/>
          <w:i w:val="0"/>
          <w:noProof/>
          <w:szCs w:val="22"/>
        </w:rPr>
        <w:tab/>
      </w:r>
      <w:r w:rsidRPr="00366288">
        <w:rPr>
          <w:noProof/>
          <w:snapToGrid w:val="0"/>
        </w:rPr>
        <w:t>Additional Comments Regarding Operating Scenarios</w:t>
      </w:r>
      <w:r>
        <w:rPr>
          <w:noProof/>
        </w:rPr>
        <w:tab/>
      </w:r>
      <w:r>
        <w:rPr>
          <w:noProof/>
        </w:rPr>
        <w:fldChar w:fldCharType="begin"/>
      </w:r>
      <w:r>
        <w:rPr>
          <w:noProof/>
        </w:rPr>
        <w:instrText xml:space="preserve"> PAGEREF _Toc526778270 \h </w:instrText>
      </w:r>
      <w:r>
        <w:rPr>
          <w:noProof/>
        </w:rPr>
      </w:r>
      <w:r>
        <w:rPr>
          <w:noProof/>
        </w:rPr>
        <w:fldChar w:fldCharType="separate"/>
      </w:r>
      <w:r>
        <w:rPr>
          <w:noProof/>
        </w:rPr>
        <w:t>90</w:t>
      </w:r>
      <w:r>
        <w:rPr>
          <w:noProof/>
        </w:rPr>
        <w:fldChar w:fldCharType="end"/>
      </w:r>
    </w:p>
    <w:p w14:paraId="74A3CAA7" w14:textId="77777777" w:rsidR="00135FFD" w:rsidRDefault="00135FFD">
      <w:pPr>
        <w:pStyle w:val="TOC3"/>
        <w:tabs>
          <w:tab w:val="left" w:pos="1200"/>
          <w:tab w:val="right" w:leader="dot" w:pos="8630"/>
        </w:tabs>
        <w:rPr>
          <w:rFonts w:asciiTheme="minorHAnsi" w:eastAsiaTheme="minorEastAsia" w:hAnsiTheme="minorHAnsi" w:cstheme="minorBidi"/>
          <w:i w:val="0"/>
          <w:noProof/>
          <w:szCs w:val="22"/>
        </w:rPr>
      </w:pPr>
      <w:r w:rsidRPr="00366288">
        <w:rPr>
          <w:noProof/>
          <w:snapToGrid w:val="0"/>
        </w:rPr>
        <w:t>2.7.4</w:t>
      </w:r>
      <w:r>
        <w:rPr>
          <w:rFonts w:asciiTheme="minorHAnsi" w:eastAsiaTheme="minorEastAsia" w:hAnsiTheme="minorHAnsi" w:cstheme="minorBidi"/>
          <w:i w:val="0"/>
          <w:noProof/>
          <w:szCs w:val="22"/>
        </w:rPr>
        <w:tab/>
      </w:r>
      <w:r w:rsidRPr="00366288">
        <w:rPr>
          <w:noProof/>
          <w:snapToGrid w:val="0"/>
        </w:rPr>
        <w:t>Quick Note Regarding Small EUs</w:t>
      </w:r>
      <w:r>
        <w:rPr>
          <w:noProof/>
        </w:rPr>
        <w:tab/>
      </w:r>
      <w:r>
        <w:rPr>
          <w:noProof/>
        </w:rPr>
        <w:fldChar w:fldCharType="begin"/>
      </w:r>
      <w:r>
        <w:rPr>
          <w:noProof/>
        </w:rPr>
        <w:instrText xml:space="preserve"> PAGEREF _Toc526778271 \h </w:instrText>
      </w:r>
      <w:r>
        <w:rPr>
          <w:noProof/>
        </w:rPr>
      </w:r>
      <w:r>
        <w:rPr>
          <w:noProof/>
        </w:rPr>
        <w:fldChar w:fldCharType="separate"/>
      </w:r>
      <w:r>
        <w:rPr>
          <w:noProof/>
        </w:rPr>
        <w:t>90</w:t>
      </w:r>
      <w:r>
        <w:rPr>
          <w:noProof/>
        </w:rPr>
        <w:fldChar w:fldCharType="end"/>
      </w:r>
    </w:p>
    <w:p w14:paraId="4AA2699F" w14:textId="77777777" w:rsidR="00135FFD" w:rsidRDefault="00135FFD">
      <w:pPr>
        <w:pStyle w:val="TOC3"/>
        <w:tabs>
          <w:tab w:val="left" w:pos="1200"/>
          <w:tab w:val="right" w:leader="dot" w:pos="8630"/>
        </w:tabs>
        <w:rPr>
          <w:rFonts w:asciiTheme="minorHAnsi" w:eastAsiaTheme="minorEastAsia" w:hAnsiTheme="minorHAnsi" w:cstheme="minorBidi"/>
          <w:i w:val="0"/>
          <w:noProof/>
          <w:szCs w:val="22"/>
        </w:rPr>
      </w:pPr>
      <w:r w:rsidRPr="00366288">
        <w:rPr>
          <w:noProof/>
          <w:snapToGrid w:val="0"/>
        </w:rPr>
        <w:t>2.7.5</w:t>
      </w:r>
      <w:r>
        <w:rPr>
          <w:rFonts w:asciiTheme="minorHAnsi" w:eastAsiaTheme="minorEastAsia" w:hAnsiTheme="minorHAnsi" w:cstheme="minorBidi"/>
          <w:i w:val="0"/>
          <w:noProof/>
          <w:szCs w:val="22"/>
        </w:rPr>
        <w:tab/>
      </w:r>
      <w:r w:rsidRPr="00366288">
        <w:rPr>
          <w:noProof/>
          <w:snapToGrid w:val="0"/>
        </w:rPr>
        <w:t>Additional Comments Regarding Part Load Assessments</w:t>
      </w:r>
      <w:r>
        <w:rPr>
          <w:noProof/>
        </w:rPr>
        <w:tab/>
      </w:r>
      <w:r>
        <w:rPr>
          <w:noProof/>
        </w:rPr>
        <w:fldChar w:fldCharType="begin"/>
      </w:r>
      <w:r>
        <w:rPr>
          <w:noProof/>
        </w:rPr>
        <w:instrText xml:space="preserve"> PAGEREF _Toc526778272 \h </w:instrText>
      </w:r>
      <w:r>
        <w:rPr>
          <w:noProof/>
        </w:rPr>
      </w:r>
      <w:r>
        <w:rPr>
          <w:noProof/>
        </w:rPr>
        <w:fldChar w:fldCharType="separate"/>
      </w:r>
      <w:r>
        <w:rPr>
          <w:noProof/>
        </w:rPr>
        <w:t>90</w:t>
      </w:r>
      <w:r>
        <w:rPr>
          <w:noProof/>
        </w:rPr>
        <w:fldChar w:fldCharType="end"/>
      </w:r>
    </w:p>
    <w:p w14:paraId="53BAC377" w14:textId="77777777" w:rsidR="00135FFD" w:rsidRDefault="00135FFD">
      <w:pPr>
        <w:pStyle w:val="TOC3"/>
        <w:tabs>
          <w:tab w:val="left" w:pos="1200"/>
          <w:tab w:val="right" w:leader="dot" w:pos="8630"/>
        </w:tabs>
        <w:rPr>
          <w:rFonts w:asciiTheme="minorHAnsi" w:eastAsiaTheme="minorEastAsia" w:hAnsiTheme="minorHAnsi" w:cstheme="minorBidi"/>
          <w:i w:val="0"/>
          <w:noProof/>
          <w:szCs w:val="22"/>
        </w:rPr>
      </w:pPr>
      <w:r w:rsidRPr="00366288">
        <w:rPr>
          <w:noProof/>
          <w:snapToGrid w:val="0"/>
        </w:rPr>
        <w:t>2.7.6</w:t>
      </w:r>
      <w:r>
        <w:rPr>
          <w:rFonts w:asciiTheme="minorHAnsi" w:eastAsiaTheme="minorEastAsia" w:hAnsiTheme="minorHAnsi" w:cstheme="minorBidi"/>
          <w:i w:val="0"/>
          <w:noProof/>
          <w:szCs w:val="22"/>
        </w:rPr>
        <w:tab/>
      </w:r>
      <w:r w:rsidRPr="00366288">
        <w:rPr>
          <w:noProof/>
          <w:snapToGrid w:val="0"/>
        </w:rPr>
        <w:t>Secondary Emissions</w:t>
      </w:r>
      <w:r>
        <w:rPr>
          <w:noProof/>
        </w:rPr>
        <w:tab/>
      </w:r>
      <w:r>
        <w:rPr>
          <w:noProof/>
        </w:rPr>
        <w:fldChar w:fldCharType="begin"/>
      </w:r>
      <w:r>
        <w:rPr>
          <w:noProof/>
        </w:rPr>
        <w:instrText xml:space="preserve"> PAGEREF _Toc526778273 \h </w:instrText>
      </w:r>
      <w:r>
        <w:rPr>
          <w:noProof/>
        </w:rPr>
      </w:r>
      <w:r>
        <w:rPr>
          <w:noProof/>
        </w:rPr>
        <w:fldChar w:fldCharType="separate"/>
      </w:r>
      <w:r>
        <w:rPr>
          <w:noProof/>
        </w:rPr>
        <w:t>92</w:t>
      </w:r>
      <w:r>
        <w:rPr>
          <w:noProof/>
        </w:rPr>
        <w:fldChar w:fldCharType="end"/>
      </w:r>
    </w:p>
    <w:p w14:paraId="3EE989BE" w14:textId="77777777" w:rsidR="00135FFD" w:rsidRDefault="00135FFD">
      <w:pPr>
        <w:pStyle w:val="TOC3"/>
        <w:tabs>
          <w:tab w:val="left" w:pos="1200"/>
          <w:tab w:val="right" w:leader="dot" w:pos="8630"/>
        </w:tabs>
        <w:rPr>
          <w:rFonts w:asciiTheme="minorHAnsi" w:eastAsiaTheme="minorEastAsia" w:hAnsiTheme="minorHAnsi" w:cstheme="minorBidi"/>
          <w:i w:val="0"/>
          <w:noProof/>
          <w:szCs w:val="22"/>
        </w:rPr>
      </w:pPr>
      <w:r>
        <w:rPr>
          <w:noProof/>
        </w:rPr>
        <w:t>2.7.7</w:t>
      </w:r>
      <w:r>
        <w:rPr>
          <w:rFonts w:asciiTheme="minorHAnsi" w:eastAsiaTheme="minorEastAsia" w:hAnsiTheme="minorHAnsi" w:cstheme="minorBidi"/>
          <w:i w:val="0"/>
          <w:noProof/>
          <w:szCs w:val="22"/>
        </w:rPr>
        <w:tab/>
      </w:r>
      <w:r>
        <w:rPr>
          <w:noProof/>
        </w:rPr>
        <w:t>Baseline EUs</w:t>
      </w:r>
      <w:r>
        <w:rPr>
          <w:noProof/>
        </w:rPr>
        <w:tab/>
      </w:r>
      <w:r>
        <w:rPr>
          <w:noProof/>
        </w:rPr>
        <w:fldChar w:fldCharType="begin"/>
      </w:r>
      <w:r>
        <w:rPr>
          <w:noProof/>
        </w:rPr>
        <w:instrText xml:space="preserve"> PAGEREF _Toc526778274 \h </w:instrText>
      </w:r>
      <w:r>
        <w:rPr>
          <w:noProof/>
        </w:rPr>
      </w:r>
      <w:r>
        <w:rPr>
          <w:noProof/>
        </w:rPr>
        <w:fldChar w:fldCharType="separate"/>
      </w:r>
      <w:r>
        <w:rPr>
          <w:noProof/>
        </w:rPr>
        <w:t>93</w:t>
      </w:r>
      <w:r>
        <w:rPr>
          <w:noProof/>
        </w:rPr>
        <w:fldChar w:fldCharType="end"/>
      </w:r>
    </w:p>
    <w:p w14:paraId="20560BE0" w14:textId="77777777" w:rsidR="00135FFD" w:rsidRDefault="00135FFD">
      <w:pPr>
        <w:pStyle w:val="TOC3"/>
        <w:tabs>
          <w:tab w:val="left" w:pos="1200"/>
          <w:tab w:val="right" w:leader="dot" w:pos="8630"/>
        </w:tabs>
        <w:rPr>
          <w:rFonts w:asciiTheme="minorHAnsi" w:eastAsiaTheme="minorEastAsia" w:hAnsiTheme="minorHAnsi" w:cstheme="minorBidi"/>
          <w:i w:val="0"/>
          <w:noProof/>
          <w:szCs w:val="22"/>
        </w:rPr>
      </w:pPr>
      <w:r>
        <w:rPr>
          <w:noProof/>
        </w:rPr>
        <w:t>2.7.8</w:t>
      </w:r>
      <w:r>
        <w:rPr>
          <w:rFonts w:asciiTheme="minorHAnsi" w:eastAsiaTheme="minorEastAsia" w:hAnsiTheme="minorHAnsi" w:cstheme="minorBidi"/>
          <w:i w:val="0"/>
          <w:noProof/>
          <w:szCs w:val="22"/>
        </w:rPr>
        <w:tab/>
      </w:r>
      <w:r>
        <w:rPr>
          <w:noProof/>
        </w:rPr>
        <w:t>Source Groups</w:t>
      </w:r>
      <w:r>
        <w:rPr>
          <w:noProof/>
        </w:rPr>
        <w:tab/>
      </w:r>
      <w:r>
        <w:rPr>
          <w:noProof/>
        </w:rPr>
        <w:fldChar w:fldCharType="begin"/>
      </w:r>
      <w:r>
        <w:rPr>
          <w:noProof/>
        </w:rPr>
        <w:instrText xml:space="preserve"> PAGEREF _Toc526778275 \h </w:instrText>
      </w:r>
      <w:r>
        <w:rPr>
          <w:noProof/>
        </w:rPr>
      </w:r>
      <w:r>
        <w:rPr>
          <w:noProof/>
        </w:rPr>
        <w:fldChar w:fldCharType="separate"/>
      </w:r>
      <w:r>
        <w:rPr>
          <w:noProof/>
        </w:rPr>
        <w:t>94</w:t>
      </w:r>
      <w:r>
        <w:rPr>
          <w:noProof/>
        </w:rPr>
        <w:fldChar w:fldCharType="end"/>
      </w:r>
    </w:p>
    <w:p w14:paraId="20125FA7" w14:textId="77777777" w:rsidR="00135FFD" w:rsidRDefault="00135FFD">
      <w:pPr>
        <w:pStyle w:val="TOC2"/>
        <w:tabs>
          <w:tab w:val="left" w:pos="960"/>
          <w:tab w:val="right" w:leader="dot" w:pos="8630"/>
        </w:tabs>
        <w:rPr>
          <w:rFonts w:asciiTheme="minorHAnsi" w:eastAsiaTheme="minorEastAsia" w:hAnsiTheme="minorHAnsi" w:cstheme="minorBidi"/>
          <w:smallCaps w:val="0"/>
          <w:noProof/>
          <w:szCs w:val="22"/>
        </w:rPr>
      </w:pPr>
      <w:r w:rsidRPr="00366288">
        <w:rPr>
          <w:noProof/>
          <w:snapToGrid w:val="0"/>
        </w:rPr>
        <w:t>2.8</w:t>
      </w:r>
      <w:r>
        <w:rPr>
          <w:rFonts w:asciiTheme="minorHAnsi" w:eastAsiaTheme="minorEastAsia" w:hAnsiTheme="minorHAnsi" w:cstheme="minorBidi"/>
          <w:smallCaps w:val="0"/>
          <w:noProof/>
          <w:szCs w:val="22"/>
        </w:rPr>
        <w:tab/>
      </w:r>
      <w:r w:rsidRPr="00366288">
        <w:rPr>
          <w:noProof/>
          <w:snapToGrid w:val="0"/>
        </w:rPr>
        <w:t>Downwash</w:t>
      </w:r>
      <w:r>
        <w:rPr>
          <w:noProof/>
        </w:rPr>
        <w:tab/>
      </w:r>
      <w:r>
        <w:rPr>
          <w:noProof/>
        </w:rPr>
        <w:fldChar w:fldCharType="begin"/>
      </w:r>
      <w:r>
        <w:rPr>
          <w:noProof/>
        </w:rPr>
        <w:instrText xml:space="preserve"> PAGEREF _Toc526778276 \h </w:instrText>
      </w:r>
      <w:r>
        <w:rPr>
          <w:noProof/>
        </w:rPr>
      </w:r>
      <w:r>
        <w:rPr>
          <w:noProof/>
        </w:rPr>
        <w:fldChar w:fldCharType="separate"/>
      </w:r>
      <w:r>
        <w:rPr>
          <w:noProof/>
        </w:rPr>
        <w:t>96</w:t>
      </w:r>
      <w:r>
        <w:rPr>
          <w:noProof/>
        </w:rPr>
        <w:fldChar w:fldCharType="end"/>
      </w:r>
    </w:p>
    <w:p w14:paraId="7BEC43E2" w14:textId="77777777" w:rsidR="00135FFD" w:rsidRDefault="00135FFD">
      <w:pPr>
        <w:pStyle w:val="TOC3"/>
        <w:tabs>
          <w:tab w:val="left" w:pos="1200"/>
          <w:tab w:val="right" w:leader="dot" w:pos="8630"/>
        </w:tabs>
        <w:rPr>
          <w:rFonts w:asciiTheme="minorHAnsi" w:eastAsiaTheme="minorEastAsia" w:hAnsiTheme="minorHAnsi" w:cstheme="minorBidi"/>
          <w:i w:val="0"/>
          <w:noProof/>
          <w:szCs w:val="22"/>
        </w:rPr>
      </w:pPr>
      <w:r>
        <w:rPr>
          <w:noProof/>
        </w:rPr>
        <w:t>2.8.1</w:t>
      </w:r>
      <w:r>
        <w:rPr>
          <w:rFonts w:asciiTheme="minorHAnsi" w:eastAsiaTheme="minorEastAsia" w:hAnsiTheme="minorHAnsi" w:cstheme="minorBidi"/>
          <w:i w:val="0"/>
          <w:noProof/>
          <w:szCs w:val="22"/>
        </w:rPr>
        <w:tab/>
      </w:r>
      <w:r>
        <w:rPr>
          <w:noProof/>
        </w:rPr>
        <w:t>GEP and BPIPPRM Analyses</w:t>
      </w:r>
      <w:r>
        <w:rPr>
          <w:noProof/>
        </w:rPr>
        <w:tab/>
      </w:r>
      <w:r>
        <w:rPr>
          <w:noProof/>
        </w:rPr>
        <w:fldChar w:fldCharType="begin"/>
      </w:r>
      <w:r>
        <w:rPr>
          <w:noProof/>
        </w:rPr>
        <w:instrText xml:space="preserve"> PAGEREF _Toc526778277 \h </w:instrText>
      </w:r>
      <w:r>
        <w:rPr>
          <w:noProof/>
        </w:rPr>
      </w:r>
      <w:r>
        <w:rPr>
          <w:noProof/>
        </w:rPr>
        <w:fldChar w:fldCharType="separate"/>
      </w:r>
      <w:r>
        <w:rPr>
          <w:noProof/>
        </w:rPr>
        <w:t>97</w:t>
      </w:r>
      <w:r>
        <w:rPr>
          <w:noProof/>
        </w:rPr>
        <w:fldChar w:fldCharType="end"/>
      </w:r>
    </w:p>
    <w:p w14:paraId="31F53A7A" w14:textId="77777777" w:rsidR="00135FFD" w:rsidRDefault="00135FFD">
      <w:pPr>
        <w:pStyle w:val="TOC2"/>
        <w:tabs>
          <w:tab w:val="left" w:pos="960"/>
          <w:tab w:val="right" w:leader="dot" w:pos="8630"/>
        </w:tabs>
        <w:rPr>
          <w:rFonts w:asciiTheme="minorHAnsi" w:eastAsiaTheme="minorEastAsia" w:hAnsiTheme="minorHAnsi" w:cstheme="minorBidi"/>
          <w:smallCaps w:val="0"/>
          <w:noProof/>
          <w:szCs w:val="22"/>
        </w:rPr>
      </w:pPr>
      <w:r>
        <w:rPr>
          <w:noProof/>
        </w:rPr>
        <w:t>2.9</w:t>
      </w:r>
      <w:r>
        <w:rPr>
          <w:rFonts w:asciiTheme="minorHAnsi" w:eastAsiaTheme="minorEastAsia" w:hAnsiTheme="minorHAnsi" w:cstheme="minorBidi"/>
          <w:smallCaps w:val="0"/>
          <w:noProof/>
          <w:szCs w:val="22"/>
        </w:rPr>
        <w:tab/>
      </w:r>
      <w:r>
        <w:rPr>
          <w:noProof/>
        </w:rPr>
        <w:t>Stack Modifications</w:t>
      </w:r>
      <w:r>
        <w:rPr>
          <w:noProof/>
        </w:rPr>
        <w:tab/>
      </w:r>
      <w:r>
        <w:rPr>
          <w:noProof/>
        </w:rPr>
        <w:fldChar w:fldCharType="begin"/>
      </w:r>
      <w:r>
        <w:rPr>
          <w:noProof/>
        </w:rPr>
        <w:instrText xml:space="preserve"> PAGEREF _Toc526778278 \h </w:instrText>
      </w:r>
      <w:r>
        <w:rPr>
          <w:noProof/>
        </w:rPr>
      </w:r>
      <w:r>
        <w:rPr>
          <w:noProof/>
        </w:rPr>
        <w:fldChar w:fldCharType="separate"/>
      </w:r>
      <w:r>
        <w:rPr>
          <w:noProof/>
        </w:rPr>
        <w:t>100</w:t>
      </w:r>
      <w:r>
        <w:rPr>
          <w:noProof/>
        </w:rPr>
        <w:fldChar w:fldCharType="end"/>
      </w:r>
    </w:p>
    <w:p w14:paraId="27D11A16" w14:textId="77777777" w:rsidR="00135FFD" w:rsidRDefault="00135FFD">
      <w:pPr>
        <w:pStyle w:val="TOC2"/>
        <w:tabs>
          <w:tab w:val="left" w:pos="960"/>
          <w:tab w:val="right" w:leader="dot" w:pos="8630"/>
        </w:tabs>
        <w:rPr>
          <w:rFonts w:asciiTheme="minorHAnsi" w:eastAsiaTheme="minorEastAsia" w:hAnsiTheme="minorHAnsi" w:cstheme="minorBidi"/>
          <w:smallCaps w:val="0"/>
          <w:noProof/>
          <w:szCs w:val="22"/>
        </w:rPr>
      </w:pPr>
      <w:r w:rsidRPr="00366288">
        <w:rPr>
          <w:noProof/>
          <w:snapToGrid w:val="0"/>
        </w:rPr>
        <w:lastRenderedPageBreak/>
        <w:t>2.10</w:t>
      </w:r>
      <w:r>
        <w:rPr>
          <w:rFonts w:asciiTheme="minorHAnsi" w:eastAsiaTheme="minorEastAsia" w:hAnsiTheme="minorHAnsi" w:cstheme="minorBidi"/>
          <w:smallCaps w:val="0"/>
          <w:noProof/>
          <w:szCs w:val="22"/>
        </w:rPr>
        <w:tab/>
      </w:r>
      <w:r w:rsidRPr="00366288">
        <w:rPr>
          <w:noProof/>
          <w:snapToGrid w:val="0"/>
        </w:rPr>
        <w:t>Additional Information on Specific Pollutants</w:t>
      </w:r>
      <w:r>
        <w:rPr>
          <w:noProof/>
        </w:rPr>
        <w:tab/>
      </w:r>
      <w:r>
        <w:rPr>
          <w:noProof/>
        </w:rPr>
        <w:fldChar w:fldCharType="begin"/>
      </w:r>
      <w:r>
        <w:rPr>
          <w:noProof/>
        </w:rPr>
        <w:instrText xml:space="preserve"> PAGEREF _Toc526778279 \h </w:instrText>
      </w:r>
      <w:r>
        <w:rPr>
          <w:noProof/>
        </w:rPr>
      </w:r>
      <w:r>
        <w:rPr>
          <w:noProof/>
        </w:rPr>
        <w:fldChar w:fldCharType="separate"/>
      </w:r>
      <w:r>
        <w:rPr>
          <w:noProof/>
        </w:rPr>
        <w:t>104</w:t>
      </w:r>
      <w:r>
        <w:rPr>
          <w:noProof/>
        </w:rPr>
        <w:fldChar w:fldCharType="end"/>
      </w:r>
    </w:p>
    <w:p w14:paraId="1BE28793" w14:textId="77777777" w:rsidR="00135FFD" w:rsidRDefault="00135FFD">
      <w:pPr>
        <w:pStyle w:val="TOC3"/>
        <w:tabs>
          <w:tab w:val="left" w:pos="1440"/>
          <w:tab w:val="right" w:leader="dot" w:pos="8630"/>
        </w:tabs>
        <w:rPr>
          <w:rFonts w:asciiTheme="minorHAnsi" w:eastAsiaTheme="minorEastAsia" w:hAnsiTheme="minorHAnsi" w:cstheme="minorBidi"/>
          <w:i w:val="0"/>
          <w:noProof/>
          <w:szCs w:val="22"/>
        </w:rPr>
      </w:pPr>
      <w:r>
        <w:rPr>
          <w:noProof/>
        </w:rPr>
        <w:t>2.10.1</w:t>
      </w:r>
      <w:r>
        <w:rPr>
          <w:rFonts w:asciiTheme="minorHAnsi" w:eastAsiaTheme="minorEastAsia" w:hAnsiTheme="minorHAnsi" w:cstheme="minorBidi"/>
          <w:i w:val="0"/>
          <w:noProof/>
          <w:szCs w:val="22"/>
        </w:rPr>
        <w:tab/>
      </w:r>
      <w:r>
        <w:rPr>
          <w:noProof/>
        </w:rPr>
        <w:t>NO</w:t>
      </w:r>
      <w:r w:rsidRPr="00366288">
        <w:rPr>
          <w:noProof/>
          <w:vertAlign w:val="subscript"/>
        </w:rPr>
        <w:t>2</w:t>
      </w:r>
      <w:r>
        <w:rPr>
          <w:noProof/>
        </w:rPr>
        <w:tab/>
      </w:r>
      <w:r>
        <w:rPr>
          <w:noProof/>
        </w:rPr>
        <w:fldChar w:fldCharType="begin"/>
      </w:r>
      <w:r>
        <w:rPr>
          <w:noProof/>
        </w:rPr>
        <w:instrText xml:space="preserve"> PAGEREF _Toc526778280 \h </w:instrText>
      </w:r>
      <w:r>
        <w:rPr>
          <w:noProof/>
        </w:rPr>
      </w:r>
      <w:r>
        <w:rPr>
          <w:noProof/>
        </w:rPr>
        <w:fldChar w:fldCharType="separate"/>
      </w:r>
      <w:r>
        <w:rPr>
          <w:noProof/>
        </w:rPr>
        <w:t>104</w:t>
      </w:r>
      <w:r>
        <w:rPr>
          <w:noProof/>
        </w:rPr>
        <w:fldChar w:fldCharType="end"/>
      </w:r>
    </w:p>
    <w:p w14:paraId="5C77D41D" w14:textId="77777777" w:rsidR="00135FFD" w:rsidRDefault="00135FFD">
      <w:pPr>
        <w:pStyle w:val="TOC4"/>
        <w:tabs>
          <w:tab w:val="left" w:pos="1680"/>
          <w:tab w:val="right" w:leader="dot" w:pos="8630"/>
        </w:tabs>
        <w:rPr>
          <w:rFonts w:asciiTheme="minorHAnsi" w:eastAsiaTheme="minorEastAsia" w:hAnsiTheme="minorHAnsi" w:cstheme="minorBidi"/>
          <w:i w:val="0"/>
          <w:noProof/>
          <w:szCs w:val="22"/>
        </w:rPr>
      </w:pPr>
      <w:r>
        <w:rPr>
          <w:noProof/>
        </w:rPr>
        <w:t>2.10.1.1</w:t>
      </w:r>
      <w:r>
        <w:rPr>
          <w:rFonts w:asciiTheme="minorHAnsi" w:eastAsiaTheme="minorEastAsia" w:hAnsiTheme="minorHAnsi" w:cstheme="minorBidi"/>
          <w:i w:val="0"/>
          <w:noProof/>
          <w:szCs w:val="22"/>
        </w:rPr>
        <w:tab/>
      </w:r>
      <w:r>
        <w:rPr>
          <w:noProof/>
        </w:rPr>
        <w:t>Guideline Methods for Modeling NO</w:t>
      </w:r>
      <w:r w:rsidRPr="00366288">
        <w:rPr>
          <w:noProof/>
          <w:vertAlign w:val="subscript"/>
        </w:rPr>
        <w:t>2</w:t>
      </w:r>
      <w:r>
        <w:rPr>
          <w:noProof/>
        </w:rPr>
        <w:t xml:space="preserve"> Impacts</w:t>
      </w:r>
      <w:r>
        <w:rPr>
          <w:noProof/>
        </w:rPr>
        <w:tab/>
      </w:r>
      <w:r>
        <w:rPr>
          <w:noProof/>
        </w:rPr>
        <w:fldChar w:fldCharType="begin"/>
      </w:r>
      <w:r>
        <w:rPr>
          <w:noProof/>
        </w:rPr>
        <w:instrText xml:space="preserve"> PAGEREF _Toc526778281 \h </w:instrText>
      </w:r>
      <w:r>
        <w:rPr>
          <w:noProof/>
        </w:rPr>
      </w:r>
      <w:r>
        <w:rPr>
          <w:noProof/>
        </w:rPr>
        <w:fldChar w:fldCharType="separate"/>
      </w:r>
      <w:r>
        <w:rPr>
          <w:noProof/>
        </w:rPr>
        <w:t>104</w:t>
      </w:r>
      <w:r>
        <w:rPr>
          <w:noProof/>
        </w:rPr>
        <w:fldChar w:fldCharType="end"/>
      </w:r>
    </w:p>
    <w:p w14:paraId="7C1141D6" w14:textId="77777777" w:rsidR="00135FFD" w:rsidRDefault="00135FFD">
      <w:pPr>
        <w:pStyle w:val="TOC4"/>
        <w:tabs>
          <w:tab w:val="left" w:pos="1680"/>
          <w:tab w:val="right" w:leader="dot" w:pos="8630"/>
        </w:tabs>
        <w:rPr>
          <w:rFonts w:asciiTheme="minorHAnsi" w:eastAsiaTheme="minorEastAsia" w:hAnsiTheme="minorHAnsi" w:cstheme="minorBidi"/>
          <w:i w:val="0"/>
          <w:noProof/>
          <w:szCs w:val="22"/>
        </w:rPr>
      </w:pPr>
      <w:r>
        <w:rPr>
          <w:noProof/>
        </w:rPr>
        <w:t>2.10.1.2</w:t>
      </w:r>
      <w:r>
        <w:rPr>
          <w:rFonts w:asciiTheme="minorHAnsi" w:eastAsiaTheme="minorEastAsia" w:hAnsiTheme="minorHAnsi" w:cstheme="minorBidi"/>
          <w:i w:val="0"/>
          <w:noProof/>
          <w:szCs w:val="22"/>
        </w:rPr>
        <w:tab/>
      </w:r>
      <w:r>
        <w:rPr>
          <w:noProof/>
        </w:rPr>
        <w:t>Additional Discussion re NO</w:t>
      </w:r>
      <w:r w:rsidRPr="00366288">
        <w:rPr>
          <w:noProof/>
          <w:vertAlign w:val="subscript"/>
        </w:rPr>
        <w:t>2</w:t>
      </w:r>
      <w:r>
        <w:rPr>
          <w:noProof/>
        </w:rPr>
        <w:t>/NOx In-stack Ratios</w:t>
      </w:r>
      <w:r>
        <w:rPr>
          <w:noProof/>
        </w:rPr>
        <w:tab/>
      </w:r>
      <w:r>
        <w:rPr>
          <w:noProof/>
        </w:rPr>
        <w:fldChar w:fldCharType="begin"/>
      </w:r>
      <w:r>
        <w:rPr>
          <w:noProof/>
        </w:rPr>
        <w:instrText xml:space="preserve"> PAGEREF _Toc526778282 \h </w:instrText>
      </w:r>
      <w:r>
        <w:rPr>
          <w:noProof/>
        </w:rPr>
      </w:r>
      <w:r>
        <w:rPr>
          <w:noProof/>
        </w:rPr>
        <w:fldChar w:fldCharType="separate"/>
      </w:r>
      <w:r>
        <w:rPr>
          <w:noProof/>
        </w:rPr>
        <w:t>108</w:t>
      </w:r>
      <w:r>
        <w:rPr>
          <w:noProof/>
        </w:rPr>
        <w:fldChar w:fldCharType="end"/>
      </w:r>
    </w:p>
    <w:p w14:paraId="3D179EC3" w14:textId="77777777" w:rsidR="00135FFD" w:rsidRDefault="00135FFD">
      <w:pPr>
        <w:pStyle w:val="TOC4"/>
        <w:tabs>
          <w:tab w:val="left" w:pos="1680"/>
          <w:tab w:val="right" w:leader="dot" w:pos="8630"/>
        </w:tabs>
        <w:rPr>
          <w:rFonts w:asciiTheme="minorHAnsi" w:eastAsiaTheme="minorEastAsia" w:hAnsiTheme="minorHAnsi" w:cstheme="minorBidi"/>
          <w:i w:val="0"/>
          <w:noProof/>
          <w:szCs w:val="22"/>
        </w:rPr>
      </w:pPr>
      <w:r>
        <w:rPr>
          <w:noProof/>
        </w:rPr>
        <w:t>2.10.1.3</w:t>
      </w:r>
      <w:r>
        <w:rPr>
          <w:rFonts w:asciiTheme="minorHAnsi" w:eastAsiaTheme="minorEastAsia" w:hAnsiTheme="minorHAnsi" w:cstheme="minorBidi"/>
          <w:i w:val="0"/>
          <w:noProof/>
          <w:szCs w:val="22"/>
        </w:rPr>
        <w:tab/>
      </w:r>
      <w:r>
        <w:rPr>
          <w:noProof/>
        </w:rPr>
        <w:t>Additional Comments re Ozone Data</w:t>
      </w:r>
      <w:r>
        <w:rPr>
          <w:noProof/>
        </w:rPr>
        <w:tab/>
      </w:r>
      <w:r>
        <w:rPr>
          <w:noProof/>
        </w:rPr>
        <w:fldChar w:fldCharType="begin"/>
      </w:r>
      <w:r>
        <w:rPr>
          <w:noProof/>
        </w:rPr>
        <w:instrText xml:space="preserve"> PAGEREF _Toc526778283 \h </w:instrText>
      </w:r>
      <w:r>
        <w:rPr>
          <w:noProof/>
        </w:rPr>
      </w:r>
      <w:r>
        <w:rPr>
          <w:noProof/>
        </w:rPr>
        <w:fldChar w:fldCharType="separate"/>
      </w:r>
      <w:r>
        <w:rPr>
          <w:noProof/>
        </w:rPr>
        <w:t>108</w:t>
      </w:r>
      <w:r>
        <w:rPr>
          <w:noProof/>
        </w:rPr>
        <w:fldChar w:fldCharType="end"/>
      </w:r>
    </w:p>
    <w:p w14:paraId="4E326798" w14:textId="77777777" w:rsidR="00135FFD" w:rsidRDefault="00135FFD">
      <w:pPr>
        <w:pStyle w:val="TOC3"/>
        <w:tabs>
          <w:tab w:val="left" w:pos="1440"/>
          <w:tab w:val="right" w:leader="dot" w:pos="8630"/>
        </w:tabs>
        <w:rPr>
          <w:rFonts w:asciiTheme="minorHAnsi" w:eastAsiaTheme="minorEastAsia" w:hAnsiTheme="minorHAnsi" w:cstheme="minorBidi"/>
          <w:i w:val="0"/>
          <w:noProof/>
          <w:szCs w:val="22"/>
        </w:rPr>
      </w:pPr>
      <w:r>
        <w:rPr>
          <w:noProof/>
        </w:rPr>
        <w:t>2.10.2</w:t>
      </w:r>
      <w:r>
        <w:rPr>
          <w:rFonts w:asciiTheme="minorHAnsi" w:eastAsiaTheme="minorEastAsia" w:hAnsiTheme="minorHAnsi" w:cstheme="minorBidi"/>
          <w:i w:val="0"/>
          <w:noProof/>
          <w:szCs w:val="22"/>
        </w:rPr>
        <w:tab/>
      </w:r>
      <w:r>
        <w:rPr>
          <w:noProof/>
        </w:rPr>
        <w:t>PM-10</w:t>
      </w:r>
      <w:r>
        <w:rPr>
          <w:noProof/>
        </w:rPr>
        <w:tab/>
      </w:r>
      <w:r>
        <w:rPr>
          <w:noProof/>
        </w:rPr>
        <w:fldChar w:fldCharType="begin"/>
      </w:r>
      <w:r>
        <w:rPr>
          <w:noProof/>
        </w:rPr>
        <w:instrText xml:space="preserve"> PAGEREF _Toc526778284 \h </w:instrText>
      </w:r>
      <w:r>
        <w:rPr>
          <w:noProof/>
        </w:rPr>
      </w:r>
      <w:r>
        <w:rPr>
          <w:noProof/>
        </w:rPr>
        <w:fldChar w:fldCharType="separate"/>
      </w:r>
      <w:r>
        <w:rPr>
          <w:noProof/>
        </w:rPr>
        <w:t>109</w:t>
      </w:r>
      <w:r>
        <w:rPr>
          <w:noProof/>
        </w:rPr>
        <w:fldChar w:fldCharType="end"/>
      </w:r>
    </w:p>
    <w:p w14:paraId="7EBD1A5E" w14:textId="77777777" w:rsidR="00135FFD" w:rsidRDefault="00135FFD">
      <w:pPr>
        <w:pStyle w:val="TOC3"/>
        <w:tabs>
          <w:tab w:val="left" w:pos="1440"/>
          <w:tab w:val="right" w:leader="dot" w:pos="8630"/>
        </w:tabs>
        <w:rPr>
          <w:rFonts w:asciiTheme="minorHAnsi" w:eastAsiaTheme="minorEastAsia" w:hAnsiTheme="minorHAnsi" w:cstheme="minorBidi"/>
          <w:i w:val="0"/>
          <w:noProof/>
          <w:szCs w:val="22"/>
        </w:rPr>
      </w:pPr>
      <w:r>
        <w:rPr>
          <w:noProof/>
        </w:rPr>
        <w:t>2.10.3</w:t>
      </w:r>
      <w:r>
        <w:rPr>
          <w:rFonts w:asciiTheme="minorHAnsi" w:eastAsiaTheme="minorEastAsia" w:hAnsiTheme="minorHAnsi" w:cstheme="minorBidi"/>
          <w:i w:val="0"/>
          <w:noProof/>
          <w:szCs w:val="22"/>
        </w:rPr>
        <w:tab/>
      </w:r>
      <w:r>
        <w:rPr>
          <w:noProof/>
        </w:rPr>
        <w:t>PM-2.5</w:t>
      </w:r>
      <w:r>
        <w:rPr>
          <w:noProof/>
        </w:rPr>
        <w:tab/>
      </w:r>
      <w:r>
        <w:rPr>
          <w:noProof/>
        </w:rPr>
        <w:fldChar w:fldCharType="begin"/>
      </w:r>
      <w:r>
        <w:rPr>
          <w:noProof/>
        </w:rPr>
        <w:instrText xml:space="preserve"> PAGEREF _Toc526778285 \h </w:instrText>
      </w:r>
      <w:r>
        <w:rPr>
          <w:noProof/>
        </w:rPr>
      </w:r>
      <w:r>
        <w:rPr>
          <w:noProof/>
        </w:rPr>
        <w:fldChar w:fldCharType="separate"/>
      </w:r>
      <w:r>
        <w:rPr>
          <w:noProof/>
        </w:rPr>
        <w:t>110</w:t>
      </w:r>
      <w:r>
        <w:rPr>
          <w:noProof/>
        </w:rPr>
        <w:fldChar w:fldCharType="end"/>
      </w:r>
    </w:p>
    <w:p w14:paraId="37A9746C" w14:textId="77777777" w:rsidR="00135FFD" w:rsidRDefault="00135FFD">
      <w:pPr>
        <w:pStyle w:val="TOC3"/>
        <w:tabs>
          <w:tab w:val="left" w:pos="1440"/>
          <w:tab w:val="right" w:leader="dot" w:pos="8630"/>
        </w:tabs>
        <w:rPr>
          <w:rFonts w:asciiTheme="minorHAnsi" w:eastAsiaTheme="minorEastAsia" w:hAnsiTheme="minorHAnsi" w:cstheme="minorBidi"/>
          <w:i w:val="0"/>
          <w:noProof/>
          <w:szCs w:val="22"/>
        </w:rPr>
      </w:pPr>
      <w:r>
        <w:rPr>
          <w:noProof/>
        </w:rPr>
        <w:t>2.10.4</w:t>
      </w:r>
      <w:r>
        <w:rPr>
          <w:rFonts w:asciiTheme="minorHAnsi" w:eastAsiaTheme="minorEastAsia" w:hAnsiTheme="minorHAnsi" w:cstheme="minorBidi"/>
          <w:i w:val="0"/>
          <w:noProof/>
          <w:szCs w:val="22"/>
        </w:rPr>
        <w:tab/>
      </w:r>
      <w:r>
        <w:rPr>
          <w:noProof/>
        </w:rPr>
        <w:t>SO</w:t>
      </w:r>
      <w:r w:rsidRPr="00366288">
        <w:rPr>
          <w:noProof/>
          <w:vertAlign w:val="subscript"/>
        </w:rPr>
        <w:t>2</w:t>
      </w:r>
      <w:r>
        <w:rPr>
          <w:noProof/>
        </w:rPr>
        <w:tab/>
      </w:r>
      <w:r>
        <w:rPr>
          <w:noProof/>
        </w:rPr>
        <w:fldChar w:fldCharType="begin"/>
      </w:r>
      <w:r>
        <w:rPr>
          <w:noProof/>
        </w:rPr>
        <w:instrText xml:space="preserve"> PAGEREF _Toc526778286 \h </w:instrText>
      </w:r>
      <w:r>
        <w:rPr>
          <w:noProof/>
        </w:rPr>
      </w:r>
      <w:r>
        <w:rPr>
          <w:noProof/>
        </w:rPr>
        <w:fldChar w:fldCharType="separate"/>
      </w:r>
      <w:r>
        <w:rPr>
          <w:noProof/>
        </w:rPr>
        <w:t>112</w:t>
      </w:r>
      <w:r>
        <w:rPr>
          <w:noProof/>
        </w:rPr>
        <w:fldChar w:fldCharType="end"/>
      </w:r>
    </w:p>
    <w:p w14:paraId="7AE418D7" w14:textId="77777777" w:rsidR="00135FFD" w:rsidRDefault="00135FFD">
      <w:pPr>
        <w:pStyle w:val="TOC3"/>
        <w:tabs>
          <w:tab w:val="left" w:pos="1440"/>
          <w:tab w:val="right" w:leader="dot" w:pos="8630"/>
        </w:tabs>
        <w:rPr>
          <w:rFonts w:asciiTheme="minorHAnsi" w:eastAsiaTheme="minorEastAsia" w:hAnsiTheme="minorHAnsi" w:cstheme="minorBidi"/>
          <w:i w:val="0"/>
          <w:noProof/>
          <w:szCs w:val="22"/>
        </w:rPr>
      </w:pPr>
      <w:r>
        <w:rPr>
          <w:noProof/>
        </w:rPr>
        <w:t>2.10.5</w:t>
      </w:r>
      <w:r>
        <w:rPr>
          <w:rFonts w:asciiTheme="minorHAnsi" w:eastAsiaTheme="minorEastAsia" w:hAnsiTheme="minorHAnsi" w:cstheme="minorBidi"/>
          <w:i w:val="0"/>
          <w:noProof/>
          <w:szCs w:val="22"/>
        </w:rPr>
        <w:tab/>
      </w:r>
      <w:r>
        <w:rPr>
          <w:noProof/>
        </w:rPr>
        <w:t>Ozone</w:t>
      </w:r>
      <w:r>
        <w:rPr>
          <w:noProof/>
        </w:rPr>
        <w:tab/>
      </w:r>
      <w:r>
        <w:rPr>
          <w:noProof/>
        </w:rPr>
        <w:fldChar w:fldCharType="begin"/>
      </w:r>
      <w:r>
        <w:rPr>
          <w:noProof/>
        </w:rPr>
        <w:instrText xml:space="preserve"> PAGEREF _Toc526778287 \h </w:instrText>
      </w:r>
      <w:r>
        <w:rPr>
          <w:noProof/>
        </w:rPr>
      </w:r>
      <w:r>
        <w:rPr>
          <w:noProof/>
        </w:rPr>
        <w:fldChar w:fldCharType="separate"/>
      </w:r>
      <w:r>
        <w:rPr>
          <w:noProof/>
        </w:rPr>
        <w:t>112</w:t>
      </w:r>
      <w:r>
        <w:rPr>
          <w:noProof/>
        </w:rPr>
        <w:fldChar w:fldCharType="end"/>
      </w:r>
    </w:p>
    <w:p w14:paraId="1B99E67F" w14:textId="77777777" w:rsidR="00135FFD" w:rsidRDefault="00135FFD">
      <w:pPr>
        <w:pStyle w:val="TOC3"/>
        <w:tabs>
          <w:tab w:val="left" w:pos="1440"/>
          <w:tab w:val="right" w:leader="dot" w:pos="8630"/>
        </w:tabs>
        <w:rPr>
          <w:rFonts w:asciiTheme="minorHAnsi" w:eastAsiaTheme="minorEastAsia" w:hAnsiTheme="minorHAnsi" w:cstheme="minorBidi"/>
          <w:i w:val="0"/>
          <w:noProof/>
          <w:szCs w:val="22"/>
        </w:rPr>
      </w:pPr>
      <w:r w:rsidRPr="00366288">
        <w:rPr>
          <w:noProof/>
          <w:snapToGrid w:val="0"/>
        </w:rPr>
        <w:t>2.10.6</w:t>
      </w:r>
      <w:r>
        <w:rPr>
          <w:rFonts w:asciiTheme="minorHAnsi" w:eastAsiaTheme="minorEastAsia" w:hAnsiTheme="minorHAnsi" w:cstheme="minorBidi"/>
          <w:i w:val="0"/>
          <w:noProof/>
          <w:szCs w:val="22"/>
        </w:rPr>
        <w:tab/>
      </w:r>
      <w:r w:rsidRPr="00366288">
        <w:rPr>
          <w:noProof/>
          <w:snapToGrid w:val="0"/>
        </w:rPr>
        <w:t>Deposition</w:t>
      </w:r>
      <w:r>
        <w:rPr>
          <w:noProof/>
        </w:rPr>
        <w:tab/>
      </w:r>
      <w:r>
        <w:rPr>
          <w:noProof/>
        </w:rPr>
        <w:fldChar w:fldCharType="begin"/>
      </w:r>
      <w:r>
        <w:rPr>
          <w:noProof/>
        </w:rPr>
        <w:instrText xml:space="preserve"> PAGEREF _Toc526778288 \h </w:instrText>
      </w:r>
      <w:r>
        <w:rPr>
          <w:noProof/>
        </w:rPr>
      </w:r>
      <w:r>
        <w:rPr>
          <w:noProof/>
        </w:rPr>
        <w:fldChar w:fldCharType="separate"/>
      </w:r>
      <w:r>
        <w:rPr>
          <w:noProof/>
        </w:rPr>
        <w:t>114</w:t>
      </w:r>
      <w:r>
        <w:rPr>
          <w:noProof/>
        </w:rPr>
        <w:fldChar w:fldCharType="end"/>
      </w:r>
    </w:p>
    <w:p w14:paraId="7A2C494F" w14:textId="77777777" w:rsidR="00135FFD" w:rsidRDefault="00135FFD">
      <w:pPr>
        <w:pStyle w:val="TOC2"/>
        <w:tabs>
          <w:tab w:val="left" w:pos="960"/>
          <w:tab w:val="right" w:leader="dot" w:pos="8630"/>
        </w:tabs>
        <w:rPr>
          <w:rFonts w:asciiTheme="minorHAnsi" w:eastAsiaTheme="minorEastAsia" w:hAnsiTheme="minorHAnsi" w:cstheme="minorBidi"/>
          <w:smallCaps w:val="0"/>
          <w:noProof/>
          <w:szCs w:val="22"/>
        </w:rPr>
      </w:pPr>
      <w:r w:rsidRPr="00366288">
        <w:rPr>
          <w:noProof/>
          <w:snapToGrid w:val="0"/>
        </w:rPr>
        <w:t>2.11</w:t>
      </w:r>
      <w:r>
        <w:rPr>
          <w:rFonts w:asciiTheme="minorHAnsi" w:eastAsiaTheme="minorEastAsia" w:hAnsiTheme="minorHAnsi" w:cstheme="minorBidi"/>
          <w:smallCaps w:val="0"/>
          <w:noProof/>
          <w:szCs w:val="22"/>
        </w:rPr>
        <w:tab/>
      </w:r>
      <w:r w:rsidRPr="00366288">
        <w:rPr>
          <w:noProof/>
          <w:snapToGrid w:val="0"/>
        </w:rPr>
        <w:t>Ambient Air Boundary and Worker Housing</w:t>
      </w:r>
      <w:r>
        <w:rPr>
          <w:noProof/>
        </w:rPr>
        <w:tab/>
      </w:r>
      <w:r>
        <w:rPr>
          <w:noProof/>
        </w:rPr>
        <w:fldChar w:fldCharType="begin"/>
      </w:r>
      <w:r>
        <w:rPr>
          <w:noProof/>
        </w:rPr>
        <w:instrText xml:space="preserve"> PAGEREF _Toc526778289 \h </w:instrText>
      </w:r>
      <w:r>
        <w:rPr>
          <w:noProof/>
        </w:rPr>
      </w:r>
      <w:r>
        <w:rPr>
          <w:noProof/>
        </w:rPr>
        <w:fldChar w:fldCharType="separate"/>
      </w:r>
      <w:r>
        <w:rPr>
          <w:noProof/>
        </w:rPr>
        <w:t>117</w:t>
      </w:r>
      <w:r>
        <w:rPr>
          <w:noProof/>
        </w:rPr>
        <w:fldChar w:fldCharType="end"/>
      </w:r>
    </w:p>
    <w:p w14:paraId="10055E3A" w14:textId="77777777" w:rsidR="00135FFD" w:rsidRDefault="00135FFD">
      <w:pPr>
        <w:pStyle w:val="TOC3"/>
        <w:tabs>
          <w:tab w:val="left" w:pos="1440"/>
          <w:tab w:val="right" w:leader="dot" w:pos="8630"/>
        </w:tabs>
        <w:rPr>
          <w:rFonts w:asciiTheme="minorHAnsi" w:eastAsiaTheme="minorEastAsia" w:hAnsiTheme="minorHAnsi" w:cstheme="minorBidi"/>
          <w:i w:val="0"/>
          <w:noProof/>
          <w:szCs w:val="22"/>
        </w:rPr>
      </w:pPr>
      <w:r>
        <w:rPr>
          <w:noProof/>
        </w:rPr>
        <w:t>2.11.1</w:t>
      </w:r>
      <w:r>
        <w:rPr>
          <w:rFonts w:asciiTheme="minorHAnsi" w:eastAsiaTheme="minorEastAsia" w:hAnsiTheme="minorHAnsi" w:cstheme="minorBidi"/>
          <w:i w:val="0"/>
          <w:noProof/>
          <w:szCs w:val="22"/>
        </w:rPr>
        <w:tab/>
      </w:r>
      <w:r>
        <w:rPr>
          <w:noProof/>
        </w:rPr>
        <w:t>Ambient Air Boundary</w:t>
      </w:r>
      <w:r>
        <w:rPr>
          <w:noProof/>
        </w:rPr>
        <w:tab/>
      </w:r>
      <w:r>
        <w:rPr>
          <w:noProof/>
        </w:rPr>
        <w:fldChar w:fldCharType="begin"/>
      </w:r>
      <w:r>
        <w:rPr>
          <w:noProof/>
        </w:rPr>
        <w:instrText xml:space="preserve"> PAGEREF _Toc526778290 \h </w:instrText>
      </w:r>
      <w:r>
        <w:rPr>
          <w:noProof/>
        </w:rPr>
      </w:r>
      <w:r>
        <w:rPr>
          <w:noProof/>
        </w:rPr>
        <w:fldChar w:fldCharType="separate"/>
      </w:r>
      <w:r>
        <w:rPr>
          <w:noProof/>
        </w:rPr>
        <w:t>117</w:t>
      </w:r>
      <w:r>
        <w:rPr>
          <w:noProof/>
        </w:rPr>
        <w:fldChar w:fldCharType="end"/>
      </w:r>
    </w:p>
    <w:p w14:paraId="38FC9ABB" w14:textId="77777777" w:rsidR="00135FFD" w:rsidRDefault="00135FFD">
      <w:pPr>
        <w:pStyle w:val="TOC3"/>
        <w:tabs>
          <w:tab w:val="left" w:pos="1440"/>
          <w:tab w:val="right" w:leader="dot" w:pos="8630"/>
        </w:tabs>
        <w:rPr>
          <w:rFonts w:asciiTheme="minorHAnsi" w:eastAsiaTheme="minorEastAsia" w:hAnsiTheme="minorHAnsi" w:cstheme="minorBidi"/>
          <w:i w:val="0"/>
          <w:noProof/>
          <w:szCs w:val="22"/>
        </w:rPr>
      </w:pPr>
      <w:r>
        <w:rPr>
          <w:noProof/>
        </w:rPr>
        <w:t>2.11.2</w:t>
      </w:r>
      <w:r>
        <w:rPr>
          <w:rFonts w:asciiTheme="minorHAnsi" w:eastAsiaTheme="minorEastAsia" w:hAnsiTheme="minorHAnsi" w:cstheme="minorBidi"/>
          <w:i w:val="0"/>
          <w:noProof/>
          <w:szCs w:val="22"/>
        </w:rPr>
        <w:tab/>
      </w:r>
      <w:r>
        <w:rPr>
          <w:noProof/>
        </w:rPr>
        <w:t>Worker Housing</w:t>
      </w:r>
      <w:r>
        <w:rPr>
          <w:noProof/>
        </w:rPr>
        <w:tab/>
      </w:r>
      <w:r>
        <w:rPr>
          <w:noProof/>
        </w:rPr>
        <w:fldChar w:fldCharType="begin"/>
      </w:r>
      <w:r>
        <w:rPr>
          <w:noProof/>
        </w:rPr>
        <w:instrText xml:space="preserve"> PAGEREF _Toc526778291 \h </w:instrText>
      </w:r>
      <w:r>
        <w:rPr>
          <w:noProof/>
        </w:rPr>
      </w:r>
      <w:r>
        <w:rPr>
          <w:noProof/>
        </w:rPr>
        <w:fldChar w:fldCharType="separate"/>
      </w:r>
      <w:r>
        <w:rPr>
          <w:noProof/>
        </w:rPr>
        <w:t>118</w:t>
      </w:r>
      <w:r>
        <w:rPr>
          <w:noProof/>
        </w:rPr>
        <w:fldChar w:fldCharType="end"/>
      </w:r>
    </w:p>
    <w:p w14:paraId="4DC8D299" w14:textId="77777777" w:rsidR="00135FFD" w:rsidRDefault="00135FFD">
      <w:pPr>
        <w:pStyle w:val="TOC2"/>
        <w:tabs>
          <w:tab w:val="left" w:pos="960"/>
          <w:tab w:val="right" w:leader="dot" w:pos="8630"/>
        </w:tabs>
        <w:rPr>
          <w:rFonts w:asciiTheme="minorHAnsi" w:eastAsiaTheme="minorEastAsia" w:hAnsiTheme="minorHAnsi" w:cstheme="minorBidi"/>
          <w:smallCaps w:val="0"/>
          <w:noProof/>
          <w:szCs w:val="22"/>
        </w:rPr>
      </w:pPr>
      <w:r w:rsidRPr="00366288">
        <w:rPr>
          <w:noProof/>
          <w:snapToGrid w:val="0"/>
        </w:rPr>
        <w:t>2.12</w:t>
      </w:r>
      <w:r>
        <w:rPr>
          <w:rFonts w:asciiTheme="minorHAnsi" w:eastAsiaTheme="minorEastAsia" w:hAnsiTheme="minorHAnsi" w:cstheme="minorBidi"/>
          <w:smallCaps w:val="0"/>
          <w:noProof/>
          <w:szCs w:val="22"/>
        </w:rPr>
        <w:tab/>
      </w:r>
      <w:r w:rsidRPr="00366288">
        <w:rPr>
          <w:noProof/>
          <w:snapToGrid w:val="0"/>
        </w:rPr>
        <w:t>Receptors</w:t>
      </w:r>
      <w:r>
        <w:rPr>
          <w:noProof/>
        </w:rPr>
        <w:tab/>
      </w:r>
      <w:r>
        <w:rPr>
          <w:noProof/>
        </w:rPr>
        <w:fldChar w:fldCharType="begin"/>
      </w:r>
      <w:r>
        <w:rPr>
          <w:noProof/>
        </w:rPr>
        <w:instrText xml:space="preserve"> PAGEREF _Toc526778292 \h </w:instrText>
      </w:r>
      <w:r>
        <w:rPr>
          <w:noProof/>
        </w:rPr>
      </w:r>
      <w:r>
        <w:rPr>
          <w:noProof/>
        </w:rPr>
        <w:fldChar w:fldCharType="separate"/>
      </w:r>
      <w:r>
        <w:rPr>
          <w:noProof/>
        </w:rPr>
        <w:t>119</w:t>
      </w:r>
      <w:r>
        <w:rPr>
          <w:noProof/>
        </w:rPr>
        <w:fldChar w:fldCharType="end"/>
      </w:r>
    </w:p>
    <w:p w14:paraId="2C44092E" w14:textId="77777777" w:rsidR="00135FFD" w:rsidRDefault="00135FFD">
      <w:pPr>
        <w:pStyle w:val="TOC3"/>
        <w:tabs>
          <w:tab w:val="left" w:pos="1440"/>
          <w:tab w:val="right" w:leader="dot" w:pos="8630"/>
        </w:tabs>
        <w:rPr>
          <w:rFonts w:asciiTheme="minorHAnsi" w:eastAsiaTheme="minorEastAsia" w:hAnsiTheme="minorHAnsi" w:cstheme="minorBidi"/>
          <w:i w:val="0"/>
          <w:noProof/>
          <w:szCs w:val="22"/>
        </w:rPr>
      </w:pPr>
      <w:r w:rsidRPr="00366288">
        <w:rPr>
          <w:noProof/>
          <w:snapToGrid w:val="0"/>
        </w:rPr>
        <w:t>2.12.1</w:t>
      </w:r>
      <w:r>
        <w:rPr>
          <w:rFonts w:asciiTheme="minorHAnsi" w:eastAsiaTheme="minorEastAsia" w:hAnsiTheme="minorHAnsi" w:cstheme="minorBidi"/>
          <w:i w:val="0"/>
          <w:noProof/>
          <w:szCs w:val="22"/>
        </w:rPr>
        <w:tab/>
      </w:r>
      <w:r w:rsidRPr="00366288">
        <w:rPr>
          <w:noProof/>
          <w:snapToGrid w:val="0"/>
        </w:rPr>
        <w:t>Terrain Description, Terrain Treatment and AERMAP</w:t>
      </w:r>
      <w:r>
        <w:rPr>
          <w:noProof/>
        </w:rPr>
        <w:tab/>
      </w:r>
      <w:r>
        <w:rPr>
          <w:noProof/>
        </w:rPr>
        <w:fldChar w:fldCharType="begin"/>
      </w:r>
      <w:r>
        <w:rPr>
          <w:noProof/>
        </w:rPr>
        <w:instrText xml:space="preserve"> PAGEREF _Toc526778293 \h </w:instrText>
      </w:r>
      <w:r>
        <w:rPr>
          <w:noProof/>
        </w:rPr>
      </w:r>
      <w:r>
        <w:rPr>
          <w:noProof/>
        </w:rPr>
        <w:fldChar w:fldCharType="separate"/>
      </w:r>
      <w:r>
        <w:rPr>
          <w:noProof/>
        </w:rPr>
        <w:t>119</w:t>
      </w:r>
      <w:r>
        <w:rPr>
          <w:noProof/>
        </w:rPr>
        <w:fldChar w:fldCharType="end"/>
      </w:r>
    </w:p>
    <w:p w14:paraId="4920FC22" w14:textId="77777777" w:rsidR="00135FFD" w:rsidRDefault="00135FFD">
      <w:pPr>
        <w:pStyle w:val="TOC3"/>
        <w:tabs>
          <w:tab w:val="left" w:pos="1440"/>
          <w:tab w:val="right" w:leader="dot" w:pos="8630"/>
        </w:tabs>
        <w:rPr>
          <w:rFonts w:asciiTheme="minorHAnsi" w:eastAsiaTheme="minorEastAsia" w:hAnsiTheme="minorHAnsi" w:cstheme="minorBidi"/>
          <w:i w:val="0"/>
          <w:noProof/>
          <w:szCs w:val="22"/>
        </w:rPr>
      </w:pPr>
      <w:r w:rsidRPr="00366288">
        <w:rPr>
          <w:noProof/>
          <w:snapToGrid w:val="0"/>
        </w:rPr>
        <w:t>2.12.2</w:t>
      </w:r>
      <w:r>
        <w:rPr>
          <w:rFonts w:asciiTheme="minorHAnsi" w:eastAsiaTheme="minorEastAsia" w:hAnsiTheme="minorHAnsi" w:cstheme="minorBidi"/>
          <w:i w:val="0"/>
          <w:noProof/>
          <w:szCs w:val="22"/>
        </w:rPr>
        <w:tab/>
      </w:r>
      <w:r w:rsidRPr="00366288">
        <w:rPr>
          <w:noProof/>
          <w:snapToGrid w:val="0"/>
        </w:rPr>
        <w:t>Receptor Grid Location and Density</w:t>
      </w:r>
      <w:r>
        <w:rPr>
          <w:noProof/>
        </w:rPr>
        <w:tab/>
      </w:r>
      <w:r>
        <w:rPr>
          <w:noProof/>
        </w:rPr>
        <w:fldChar w:fldCharType="begin"/>
      </w:r>
      <w:r>
        <w:rPr>
          <w:noProof/>
        </w:rPr>
        <w:instrText xml:space="preserve"> PAGEREF _Toc526778294 \h </w:instrText>
      </w:r>
      <w:r>
        <w:rPr>
          <w:noProof/>
        </w:rPr>
      </w:r>
      <w:r>
        <w:rPr>
          <w:noProof/>
        </w:rPr>
        <w:fldChar w:fldCharType="separate"/>
      </w:r>
      <w:r>
        <w:rPr>
          <w:noProof/>
        </w:rPr>
        <w:t>121</w:t>
      </w:r>
      <w:r>
        <w:rPr>
          <w:noProof/>
        </w:rPr>
        <w:fldChar w:fldCharType="end"/>
      </w:r>
    </w:p>
    <w:p w14:paraId="117576B3" w14:textId="77777777" w:rsidR="00135FFD" w:rsidRDefault="00135FFD">
      <w:pPr>
        <w:pStyle w:val="TOC3"/>
        <w:tabs>
          <w:tab w:val="left" w:pos="1440"/>
          <w:tab w:val="right" w:leader="dot" w:pos="8630"/>
        </w:tabs>
        <w:rPr>
          <w:rFonts w:asciiTheme="minorHAnsi" w:eastAsiaTheme="minorEastAsia" w:hAnsiTheme="minorHAnsi" w:cstheme="minorBidi"/>
          <w:i w:val="0"/>
          <w:noProof/>
          <w:szCs w:val="22"/>
        </w:rPr>
      </w:pPr>
      <w:r w:rsidRPr="00366288">
        <w:rPr>
          <w:noProof/>
          <w:snapToGrid w:val="0"/>
        </w:rPr>
        <w:t>2.12.3</w:t>
      </w:r>
      <w:r>
        <w:rPr>
          <w:rFonts w:asciiTheme="minorHAnsi" w:eastAsiaTheme="minorEastAsia" w:hAnsiTheme="minorHAnsi" w:cstheme="minorBidi"/>
          <w:i w:val="0"/>
          <w:noProof/>
          <w:szCs w:val="22"/>
        </w:rPr>
        <w:tab/>
      </w:r>
      <w:r w:rsidRPr="00366288">
        <w:rPr>
          <w:noProof/>
          <w:snapToGrid w:val="0"/>
        </w:rPr>
        <w:t>Determining Receptor Elevations</w:t>
      </w:r>
      <w:r>
        <w:rPr>
          <w:noProof/>
        </w:rPr>
        <w:tab/>
      </w:r>
      <w:r>
        <w:rPr>
          <w:noProof/>
        </w:rPr>
        <w:fldChar w:fldCharType="begin"/>
      </w:r>
      <w:r>
        <w:rPr>
          <w:noProof/>
        </w:rPr>
        <w:instrText xml:space="preserve"> PAGEREF _Toc526778295 \h </w:instrText>
      </w:r>
      <w:r>
        <w:rPr>
          <w:noProof/>
        </w:rPr>
      </w:r>
      <w:r>
        <w:rPr>
          <w:noProof/>
        </w:rPr>
        <w:fldChar w:fldCharType="separate"/>
      </w:r>
      <w:r>
        <w:rPr>
          <w:noProof/>
        </w:rPr>
        <w:t>122</w:t>
      </w:r>
      <w:r>
        <w:rPr>
          <w:noProof/>
        </w:rPr>
        <w:fldChar w:fldCharType="end"/>
      </w:r>
    </w:p>
    <w:p w14:paraId="62577C67" w14:textId="77777777" w:rsidR="00135FFD" w:rsidRDefault="00135FFD">
      <w:pPr>
        <w:pStyle w:val="TOC3"/>
        <w:tabs>
          <w:tab w:val="left" w:pos="1440"/>
          <w:tab w:val="right" w:leader="dot" w:pos="8630"/>
        </w:tabs>
        <w:rPr>
          <w:rFonts w:asciiTheme="minorHAnsi" w:eastAsiaTheme="minorEastAsia" w:hAnsiTheme="minorHAnsi" w:cstheme="minorBidi"/>
          <w:i w:val="0"/>
          <w:noProof/>
          <w:szCs w:val="22"/>
        </w:rPr>
      </w:pPr>
      <w:r w:rsidRPr="00366288">
        <w:rPr>
          <w:noProof/>
          <w:snapToGrid w:val="0"/>
        </w:rPr>
        <w:t>2.12.4</w:t>
      </w:r>
      <w:r>
        <w:rPr>
          <w:rFonts w:asciiTheme="minorHAnsi" w:eastAsiaTheme="minorEastAsia" w:hAnsiTheme="minorHAnsi" w:cstheme="minorBidi"/>
          <w:i w:val="0"/>
          <w:noProof/>
          <w:szCs w:val="22"/>
        </w:rPr>
        <w:tab/>
      </w:r>
      <w:r w:rsidRPr="00366288">
        <w:rPr>
          <w:noProof/>
          <w:snapToGrid w:val="0"/>
        </w:rPr>
        <w:t>Flagpole Receptors</w:t>
      </w:r>
      <w:r>
        <w:rPr>
          <w:noProof/>
        </w:rPr>
        <w:tab/>
      </w:r>
      <w:r>
        <w:rPr>
          <w:noProof/>
        </w:rPr>
        <w:fldChar w:fldCharType="begin"/>
      </w:r>
      <w:r>
        <w:rPr>
          <w:noProof/>
        </w:rPr>
        <w:instrText xml:space="preserve"> PAGEREF _Toc526778296 \h </w:instrText>
      </w:r>
      <w:r>
        <w:rPr>
          <w:noProof/>
        </w:rPr>
      </w:r>
      <w:r>
        <w:rPr>
          <w:noProof/>
        </w:rPr>
        <w:fldChar w:fldCharType="separate"/>
      </w:r>
      <w:r>
        <w:rPr>
          <w:noProof/>
        </w:rPr>
        <w:t>123</w:t>
      </w:r>
      <w:r>
        <w:rPr>
          <w:noProof/>
        </w:rPr>
        <w:fldChar w:fldCharType="end"/>
      </w:r>
    </w:p>
    <w:p w14:paraId="514C7148" w14:textId="77777777" w:rsidR="00135FFD" w:rsidRDefault="00135FFD">
      <w:pPr>
        <w:pStyle w:val="TOC2"/>
        <w:tabs>
          <w:tab w:val="left" w:pos="960"/>
          <w:tab w:val="right" w:leader="dot" w:pos="8630"/>
        </w:tabs>
        <w:rPr>
          <w:rFonts w:asciiTheme="minorHAnsi" w:eastAsiaTheme="minorEastAsia" w:hAnsiTheme="minorHAnsi" w:cstheme="minorBidi"/>
          <w:smallCaps w:val="0"/>
          <w:noProof/>
          <w:szCs w:val="22"/>
        </w:rPr>
      </w:pPr>
      <w:r>
        <w:rPr>
          <w:noProof/>
        </w:rPr>
        <w:t>2.13</w:t>
      </w:r>
      <w:r>
        <w:rPr>
          <w:rFonts w:asciiTheme="minorHAnsi" w:eastAsiaTheme="minorEastAsia" w:hAnsiTheme="minorHAnsi" w:cstheme="minorBidi"/>
          <w:smallCaps w:val="0"/>
          <w:noProof/>
          <w:szCs w:val="22"/>
        </w:rPr>
        <w:tab/>
      </w:r>
      <w:r>
        <w:rPr>
          <w:noProof/>
        </w:rPr>
        <w:t>Model Design Concentrations</w:t>
      </w:r>
      <w:r>
        <w:rPr>
          <w:noProof/>
        </w:rPr>
        <w:tab/>
      </w:r>
      <w:r>
        <w:rPr>
          <w:noProof/>
        </w:rPr>
        <w:fldChar w:fldCharType="begin"/>
      </w:r>
      <w:r>
        <w:rPr>
          <w:noProof/>
        </w:rPr>
        <w:instrText xml:space="preserve"> PAGEREF _Toc526778297 \h </w:instrText>
      </w:r>
      <w:r>
        <w:rPr>
          <w:noProof/>
        </w:rPr>
      </w:r>
      <w:r>
        <w:rPr>
          <w:noProof/>
        </w:rPr>
        <w:fldChar w:fldCharType="separate"/>
      </w:r>
      <w:r>
        <w:rPr>
          <w:noProof/>
        </w:rPr>
        <w:t>124</w:t>
      </w:r>
      <w:r>
        <w:rPr>
          <w:noProof/>
        </w:rPr>
        <w:fldChar w:fldCharType="end"/>
      </w:r>
    </w:p>
    <w:p w14:paraId="7CA2A647" w14:textId="77777777" w:rsidR="00135FFD" w:rsidRDefault="00135FFD">
      <w:pPr>
        <w:pStyle w:val="TOC2"/>
        <w:tabs>
          <w:tab w:val="left" w:pos="960"/>
          <w:tab w:val="right" w:leader="dot" w:pos="8630"/>
        </w:tabs>
        <w:rPr>
          <w:rFonts w:asciiTheme="minorHAnsi" w:eastAsiaTheme="minorEastAsia" w:hAnsiTheme="minorHAnsi" w:cstheme="minorBidi"/>
          <w:smallCaps w:val="0"/>
          <w:noProof/>
          <w:szCs w:val="22"/>
        </w:rPr>
      </w:pPr>
      <w:r w:rsidRPr="00366288">
        <w:rPr>
          <w:noProof/>
          <w:snapToGrid w:val="0"/>
        </w:rPr>
        <w:t>2.14</w:t>
      </w:r>
      <w:r>
        <w:rPr>
          <w:rFonts w:asciiTheme="minorHAnsi" w:eastAsiaTheme="minorEastAsia" w:hAnsiTheme="minorHAnsi" w:cstheme="minorBidi"/>
          <w:smallCaps w:val="0"/>
          <w:noProof/>
          <w:szCs w:val="22"/>
        </w:rPr>
        <w:tab/>
      </w:r>
      <w:r w:rsidRPr="00366288">
        <w:rPr>
          <w:noProof/>
          <w:snapToGrid w:val="0"/>
        </w:rPr>
        <w:t>Ambient Assessment Results</w:t>
      </w:r>
      <w:r>
        <w:rPr>
          <w:noProof/>
        </w:rPr>
        <w:tab/>
      </w:r>
      <w:r>
        <w:rPr>
          <w:noProof/>
        </w:rPr>
        <w:fldChar w:fldCharType="begin"/>
      </w:r>
      <w:r>
        <w:rPr>
          <w:noProof/>
        </w:rPr>
        <w:instrText xml:space="preserve"> PAGEREF _Toc526778298 \h </w:instrText>
      </w:r>
      <w:r>
        <w:rPr>
          <w:noProof/>
        </w:rPr>
      </w:r>
      <w:r>
        <w:rPr>
          <w:noProof/>
        </w:rPr>
        <w:fldChar w:fldCharType="separate"/>
      </w:r>
      <w:r>
        <w:rPr>
          <w:noProof/>
        </w:rPr>
        <w:t>127</w:t>
      </w:r>
      <w:r>
        <w:rPr>
          <w:noProof/>
        </w:rPr>
        <w:fldChar w:fldCharType="end"/>
      </w:r>
    </w:p>
    <w:p w14:paraId="06D1EACE" w14:textId="77777777" w:rsidR="00135FFD" w:rsidRDefault="00135FFD">
      <w:pPr>
        <w:pStyle w:val="TOC3"/>
        <w:tabs>
          <w:tab w:val="left" w:pos="1440"/>
          <w:tab w:val="right" w:leader="dot" w:pos="8630"/>
        </w:tabs>
        <w:rPr>
          <w:rFonts w:asciiTheme="minorHAnsi" w:eastAsiaTheme="minorEastAsia" w:hAnsiTheme="minorHAnsi" w:cstheme="minorBidi"/>
          <w:i w:val="0"/>
          <w:noProof/>
          <w:szCs w:val="22"/>
        </w:rPr>
      </w:pPr>
      <w:r w:rsidRPr="00366288">
        <w:rPr>
          <w:noProof/>
          <w:snapToGrid w:val="0"/>
        </w:rPr>
        <w:t>2.14.1</w:t>
      </w:r>
      <w:r>
        <w:rPr>
          <w:rFonts w:asciiTheme="minorHAnsi" w:eastAsiaTheme="minorEastAsia" w:hAnsiTheme="minorHAnsi" w:cstheme="minorBidi"/>
          <w:i w:val="0"/>
          <w:noProof/>
          <w:szCs w:val="22"/>
        </w:rPr>
        <w:tab/>
      </w:r>
      <w:r w:rsidRPr="00366288">
        <w:rPr>
          <w:noProof/>
          <w:snapToGrid w:val="0"/>
        </w:rPr>
        <w:t>Fast-Track Demonstration (Minor Permits Only)</w:t>
      </w:r>
      <w:r>
        <w:rPr>
          <w:noProof/>
        </w:rPr>
        <w:tab/>
      </w:r>
      <w:r>
        <w:rPr>
          <w:noProof/>
        </w:rPr>
        <w:fldChar w:fldCharType="begin"/>
      </w:r>
      <w:r>
        <w:rPr>
          <w:noProof/>
        </w:rPr>
        <w:instrText xml:space="preserve"> PAGEREF _Toc526778299 \h </w:instrText>
      </w:r>
      <w:r>
        <w:rPr>
          <w:noProof/>
        </w:rPr>
      </w:r>
      <w:r>
        <w:rPr>
          <w:noProof/>
        </w:rPr>
        <w:fldChar w:fldCharType="separate"/>
      </w:r>
      <w:r>
        <w:rPr>
          <w:noProof/>
        </w:rPr>
        <w:t>127</w:t>
      </w:r>
      <w:r>
        <w:rPr>
          <w:noProof/>
        </w:rPr>
        <w:fldChar w:fldCharType="end"/>
      </w:r>
    </w:p>
    <w:p w14:paraId="3E29A1CD" w14:textId="77777777" w:rsidR="00135FFD" w:rsidRDefault="00135FFD">
      <w:pPr>
        <w:pStyle w:val="TOC3"/>
        <w:tabs>
          <w:tab w:val="left" w:pos="1440"/>
          <w:tab w:val="right" w:leader="dot" w:pos="8630"/>
        </w:tabs>
        <w:rPr>
          <w:rFonts w:asciiTheme="minorHAnsi" w:eastAsiaTheme="minorEastAsia" w:hAnsiTheme="minorHAnsi" w:cstheme="minorBidi"/>
          <w:i w:val="0"/>
          <w:noProof/>
          <w:szCs w:val="22"/>
        </w:rPr>
      </w:pPr>
      <w:r w:rsidRPr="00366288">
        <w:rPr>
          <w:noProof/>
          <w:snapToGrid w:val="0"/>
        </w:rPr>
        <w:t>2.14.2</w:t>
      </w:r>
      <w:r>
        <w:rPr>
          <w:rFonts w:asciiTheme="minorHAnsi" w:eastAsiaTheme="minorEastAsia" w:hAnsiTheme="minorHAnsi" w:cstheme="minorBidi"/>
          <w:i w:val="0"/>
          <w:noProof/>
          <w:szCs w:val="22"/>
        </w:rPr>
        <w:tab/>
      </w:r>
      <w:r w:rsidRPr="00366288">
        <w:rPr>
          <w:noProof/>
          <w:snapToGrid w:val="0"/>
        </w:rPr>
        <w:t>Project Impact Analysis</w:t>
      </w:r>
      <w:r>
        <w:rPr>
          <w:noProof/>
        </w:rPr>
        <w:tab/>
      </w:r>
      <w:r>
        <w:rPr>
          <w:noProof/>
        </w:rPr>
        <w:fldChar w:fldCharType="begin"/>
      </w:r>
      <w:r>
        <w:rPr>
          <w:noProof/>
        </w:rPr>
        <w:instrText xml:space="preserve"> PAGEREF _Toc526778300 \h </w:instrText>
      </w:r>
      <w:r>
        <w:rPr>
          <w:noProof/>
        </w:rPr>
      </w:r>
      <w:r>
        <w:rPr>
          <w:noProof/>
        </w:rPr>
        <w:fldChar w:fldCharType="separate"/>
      </w:r>
      <w:r>
        <w:rPr>
          <w:noProof/>
        </w:rPr>
        <w:t>127</w:t>
      </w:r>
      <w:r>
        <w:rPr>
          <w:noProof/>
        </w:rPr>
        <w:fldChar w:fldCharType="end"/>
      </w:r>
    </w:p>
    <w:p w14:paraId="5E30FB74" w14:textId="77777777" w:rsidR="00135FFD" w:rsidRDefault="00135FFD">
      <w:pPr>
        <w:pStyle w:val="TOC3"/>
        <w:tabs>
          <w:tab w:val="left" w:pos="1440"/>
          <w:tab w:val="right" w:leader="dot" w:pos="8630"/>
        </w:tabs>
        <w:rPr>
          <w:rFonts w:asciiTheme="minorHAnsi" w:eastAsiaTheme="minorEastAsia" w:hAnsiTheme="minorHAnsi" w:cstheme="minorBidi"/>
          <w:i w:val="0"/>
          <w:noProof/>
          <w:szCs w:val="22"/>
        </w:rPr>
      </w:pPr>
      <w:r w:rsidRPr="00366288">
        <w:rPr>
          <w:noProof/>
          <w:snapToGrid w:val="0"/>
        </w:rPr>
        <w:t>2.14.3</w:t>
      </w:r>
      <w:r>
        <w:rPr>
          <w:rFonts w:asciiTheme="minorHAnsi" w:eastAsiaTheme="minorEastAsia" w:hAnsiTheme="minorHAnsi" w:cstheme="minorBidi"/>
          <w:i w:val="0"/>
          <w:noProof/>
          <w:szCs w:val="22"/>
        </w:rPr>
        <w:tab/>
      </w:r>
      <w:r w:rsidRPr="00366288">
        <w:rPr>
          <w:noProof/>
          <w:snapToGrid w:val="0"/>
        </w:rPr>
        <w:t>Cumulative Impact Analyses</w:t>
      </w:r>
      <w:r>
        <w:rPr>
          <w:noProof/>
        </w:rPr>
        <w:tab/>
      </w:r>
      <w:r>
        <w:rPr>
          <w:noProof/>
        </w:rPr>
        <w:fldChar w:fldCharType="begin"/>
      </w:r>
      <w:r>
        <w:rPr>
          <w:noProof/>
        </w:rPr>
        <w:instrText xml:space="preserve"> PAGEREF _Toc526778301 \h </w:instrText>
      </w:r>
      <w:r>
        <w:rPr>
          <w:noProof/>
        </w:rPr>
      </w:r>
      <w:r>
        <w:rPr>
          <w:noProof/>
        </w:rPr>
        <w:fldChar w:fldCharType="separate"/>
      </w:r>
      <w:r>
        <w:rPr>
          <w:noProof/>
        </w:rPr>
        <w:t>128</w:t>
      </w:r>
      <w:r>
        <w:rPr>
          <w:noProof/>
        </w:rPr>
        <w:fldChar w:fldCharType="end"/>
      </w:r>
    </w:p>
    <w:p w14:paraId="182B8402" w14:textId="77777777" w:rsidR="00135FFD" w:rsidRDefault="00135FFD">
      <w:pPr>
        <w:pStyle w:val="TOC3"/>
        <w:tabs>
          <w:tab w:val="left" w:pos="1440"/>
          <w:tab w:val="right" w:leader="dot" w:pos="8630"/>
        </w:tabs>
        <w:rPr>
          <w:rFonts w:asciiTheme="minorHAnsi" w:eastAsiaTheme="minorEastAsia" w:hAnsiTheme="minorHAnsi" w:cstheme="minorBidi"/>
          <w:i w:val="0"/>
          <w:noProof/>
          <w:szCs w:val="22"/>
        </w:rPr>
      </w:pPr>
      <w:r w:rsidRPr="00366288">
        <w:rPr>
          <w:noProof/>
          <w:snapToGrid w:val="0"/>
        </w:rPr>
        <w:t>2.14.4</w:t>
      </w:r>
      <w:r>
        <w:rPr>
          <w:rFonts w:asciiTheme="minorHAnsi" w:eastAsiaTheme="minorEastAsia" w:hAnsiTheme="minorHAnsi" w:cstheme="minorBidi"/>
          <w:i w:val="0"/>
          <w:noProof/>
          <w:szCs w:val="22"/>
        </w:rPr>
        <w:tab/>
      </w:r>
      <w:r w:rsidRPr="00366288">
        <w:rPr>
          <w:noProof/>
          <w:snapToGrid w:val="0"/>
        </w:rPr>
        <w:t>Additional Impact Analyses (PSD Sources Only)</w:t>
      </w:r>
      <w:r>
        <w:rPr>
          <w:noProof/>
        </w:rPr>
        <w:tab/>
      </w:r>
      <w:r>
        <w:rPr>
          <w:noProof/>
        </w:rPr>
        <w:fldChar w:fldCharType="begin"/>
      </w:r>
      <w:r>
        <w:rPr>
          <w:noProof/>
        </w:rPr>
        <w:instrText xml:space="preserve"> PAGEREF _Toc526778302 \h </w:instrText>
      </w:r>
      <w:r>
        <w:rPr>
          <w:noProof/>
        </w:rPr>
      </w:r>
      <w:r>
        <w:rPr>
          <w:noProof/>
        </w:rPr>
        <w:fldChar w:fldCharType="separate"/>
      </w:r>
      <w:r>
        <w:rPr>
          <w:noProof/>
        </w:rPr>
        <w:t>132</w:t>
      </w:r>
      <w:r>
        <w:rPr>
          <w:noProof/>
        </w:rPr>
        <w:fldChar w:fldCharType="end"/>
      </w:r>
    </w:p>
    <w:p w14:paraId="587405A9" w14:textId="77777777" w:rsidR="00135FFD" w:rsidRDefault="00135FFD">
      <w:pPr>
        <w:pStyle w:val="TOC2"/>
        <w:tabs>
          <w:tab w:val="left" w:pos="960"/>
          <w:tab w:val="right" w:leader="dot" w:pos="8630"/>
        </w:tabs>
        <w:rPr>
          <w:rFonts w:asciiTheme="minorHAnsi" w:eastAsiaTheme="minorEastAsia" w:hAnsiTheme="minorHAnsi" w:cstheme="minorBidi"/>
          <w:smallCaps w:val="0"/>
          <w:noProof/>
          <w:szCs w:val="22"/>
        </w:rPr>
      </w:pPr>
      <w:r w:rsidRPr="00366288">
        <w:rPr>
          <w:noProof/>
          <w:snapToGrid w:val="0"/>
        </w:rPr>
        <w:t>2.15</w:t>
      </w:r>
      <w:r>
        <w:rPr>
          <w:rFonts w:asciiTheme="minorHAnsi" w:eastAsiaTheme="minorEastAsia" w:hAnsiTheme="minorHAnsi" w:cstheme="minorBidi"/>
          <w:smallCaps w:val="0"/>
          <w:noProof/>
          <w:szCs w:val="22"/>
        </w:rPr>
        <w:tab/>
      </w:r>
      <w:r w:rsidRPr="00366288">
        <w:rPr>
          <w:noProof/>
          <w:snapToGrid w:val="0"/>
        </w:rPr>
        <w:t>Class I Air Quality Related Values (PSD Sources Only)</w:t>
      </w:r>
      <w:r>
        <w:rPr>
          <w:noProof/>
        </w:rPr>
        <w:tab/>
      </w:r>
      <w:r>
        <w:rPr>
          <w:noProof/>
        </w:rPr>
        <w:fldChar w:fldCharType="begin"/>
      </w:r>
      <w:r>
        <w:rPr>
          <w:noProof/>
        </w:rPr>
        <w:instrText xml:space="preserve"> PAGEREF _Toc526778303 \h </w:instrText>
      </w:r>
      <w:r>
        <w:rPr>
          <w:noProof/>
        </w:rPr>
      </w:r>
      <w:r>
        <w:rPr>
          <w:noProof/>
        </w:rPr>
        <w:fldChar w:fldCharType="separate"/>
      </w:r>
      <w:r>
        <w:rPr>
          <w:noProof/>
        </w:rPr>
        <w:t>135</w:t>
      </w:r>
      <w:r>
        <w:rPr>
          <w:noProof/>
        </w:rPr>
        <w:fldChar w:fldCharType="end"/>
      </w:r>
    </w:p>
    <w:p w14:paraId="760A026D" w14:textId="77777777" w:rsidR="00135FFD" w:rsidRDefault="00135FFD">
      <w:pPr>
        <w:pStyle w:val="TOC2"/>
        <w:tabs>
          <w:tab w:val="left" w:pos="960"/>
          <w:tab w:val="right" w:leader="dot" w:pos="8630"/>
        </w:tabs>
        <w:rPr>
          <w:rFonts w:asciiTheme="minorHAnsi" w:eastAsiaTheme="minorEastAsia" w:hAnsiTheme="minorHAnsi" w:cstheme="minorBidi"/>
          <w:smallCaps w:val="0"/>
          <w:noProof/>
          <w:szCs w:val="22"/>
        </w:rPr>
      </w:pPr>
      <w:r w:rsidRPr="00366288">
        <w:rPr>
          <w:noProof/>
          <w:snapToGrid w:val="0"/>
        </w:rPr>
        <w:t>2.16</w:t>
      </w:r>
      <w:r>
        <w:rPr>
          <w:rFonts w:asciiTheme="minorHAnsi" w:eastAsiaTheme="minorEastAsia" w:hAnsiTheme="minorHAnsi" w:cstheme="minorBidi"/>
          <w:smallCaps w:val="0"/>
          <w:noProof/>
          <w:szCs w:val="22"/>
        </w:rPr>
        <w:tab/>
      </w:r>
      <w:r w:rsidRPr="00366288">
        <w:rPr>
          <w:noProof/>
          <w:snapToGrid w:val="0"/>
        </w:rPr>
        <w:t>[Reserved]</w:t>
      </w:r>
      <w:r>
        <w:rPr>
          <w:noProof/>
        </w:rPr>
        <w:tab/>
      </w:r>
      <w:r>
        <w:rPr>
          <w:noProof/>
        </w:rPr>
        <w:fldChar w:fldCharType="begin"/>
      </w:r>
      <w:r>
        <w:rPr>
          <w:noProof/>
        </w:rPr>
        <w:instrText xml:space="preserve"> PAGEREF _Toc526778304 \h </w:instrText>
      </w:r>
      <w:r>
        <w:rPr>
          <w:noProof/>
        </w:rPr>
      </w:r>
      <w:r>
        <w:rPr>
          <w:noProof/>
        </w:rPr>
        <w:fldChar w:fldCharType="separate"/>
      </w:r>
      <w:r>
        <w:rPr>
          <w:noProof/>
        </w:rPr>
        <w:t>138</w:t>
      </w:r>
      <w:r>
        <w:rPr>
          <w:noProof/>
        </w:rPr>
        <w:fldChar w:fldCharType="end"/>
      </w:r>
    </w:p>
    <w:p w14:paraId="790C0E39" w14:textId="77777777" w:rsidR="00135FFD" w:rsidRDefault="00135FFD">
      <w:pPr>
        <w:pStyle w:val="TOC1"/>
        <w:tabs>
          <w:tab w:val="left" w:pos="475"/>
          <w:tab w:val="right" w:leader="dot" w:pos="8630"/>
        </w:tabs>
        <w:rPr>
          <w:rFonts w:asciiTheme="minorHAnsi" w:eastAsiaTheme="minorEastAsia" w:hAnsiTheme="minorHAnsi" w:cstheme="minorBidi"/>
          <w:b w:val="0"/>
          <w:caps w:val="0"/>
          <w:noProof/>
          <w:szCs w:val="22"/>
        </w:rPr>
      </w:pPr>
      <w:r w:rsidRPr="00366288">
        <w:rPr>
          <w:noProof/>
          <w:snapToGrid w:val="0"/>
        </w:rPr>
        <w:t>3.</w:t>
      </w:r>
      <w:r>
        <w:rPr>
          <w:rFonts w:asciiTheme="minorHAnsi" w:eastAsiaTheme="minorEastAsia" w:hAnsiTheme="minorHAnsi" w:cstheme="minorBidi"/>
          <w:b w:val="0"/>
          <w:caps w:val="0"/>
          <w:noProof/>
          <w:szCs w:val="22"/>
        </w:rPr>
        <w:tab/>
      </w:r>
      <w:r w:rsidRPr="00366288">
        <w:rPr>
          <w:noProof/>
          <w:snapToGrid w:val="0"/>
        </w:rPr>
        <w:t>List of Acronyms</w:t>
      </w:r>
      <w:r>
        <w:rPr>
          <w:noProof/>
        </w:rPr>
        <w:tab/>
      </w:r>
      <w:r>
        <w:rPr>
          <w:noProof/>
        </w:rPr>
        <w:fldChar w:fldCharType="begin"/>
      </w:r>
      <w:r>
        <w:rPr>
          <w:noProof/>
        </w:rPr>
        <w:instrText xml:space="preserve"> PAGEREF _Toc526778305 \h </w:instrText>
      </w:r>
      <w:r>
        <w:rPr>
          <w:noProof/>
        </w:rPr>
      </w:r>
      <w:r>
        <w:rPr>
          <w:noProof/>
        </w:rPr>
        <w:fldChar w:fldCharType="separate"/>
      </w:r>
      <w:r>
        <w:rPr>
          <w:noProof/>
        </w:rPr>
        <w:t>140</w:t>
      </w:r>
      <w:r>
        <w:rPr>
          <w:noProof/>
        </w:rPr>
        <w:fldChar w:fldCharType="end"/>
      </w:r>
    </w:p>
    <w:p w14:paraId="3F216D37" w14:textId="77777777" w:rsidR="009A01E5" w:rsidRDefault="000C0EF6" w:rsidP="001E5267">
      <w:pPr>
        <w:spacing w:after="60"/>
        <w:rPr>
          <w:sz w:val="20"/>
        </w:rPr>
      </w:pPr>
      <w:r>
        <w:rPr>
          <w:sz w:val="20"/>
        </w:rPr>
        <w:fldChar w:fldCharType="end"/>
      </w:r>
    </w:p>
    <w:p w14:paraId="0067A476" w14:textId="77777777" w:rsidR="00326C61" w:rsidRPr="0005531F" w:rsidRDefault="00326C61" w:rsidP="00326C61">
      <w:pPr>
        <w:spacing w:after="120"/>
        <w:rPr>
          <w:rFonts w:ascii="Arial" w:hAnsi="Arial" w:cs="Arial"/>
          <w:b/>
          <w:sz w:val="28"/>
        </w:rPr>
      </w:pPr>
      <w:r>
        <w:rPr>
          <w:rFonts w:ascii="Arial" w:hAnsi="Arial" w:cs="Arial"/>
          <w:b/>
          <w:sz w:val="28"/>
        </w:rPr>
        <w:t>List of Appendices</w:t>
      </w:r>
    </w:p>
    <w:p w14:paraId="231CEF4D" w14:textId="77777777" w:rsidR="00326C61" w:rsidRPr="00527E86" w:rsidRDefault="00326C61" w:rsidP="00326C61">
      <w:pPr>
        <w:spacing w:after="60"/>
        <w:rPr>
          <w:sz w:val="22"/>
          <w:szCs w:val="22"/>
        </w:rPr>
      </w:pPr>
      <w:r w:rsidRPr="00527E86">
        <w:rPr>
          <w:sz w:val="22"/>
          <w:szCs w:val="22"/>
        </w:rPr>
        <w:t>Appendix A – Modeling Tips</w:t>
      </w:r>
    </w:p>
    <w:p w14:paraId="28152BCD" w14:textId="77777777" w:rsidR="00326C61" w:rsidRPr="00527E86" w:rsidRDefault="00326C61" w:rsidP="00326C61">
      <w:pPr>
        <w:spacing w:after="60"/>
        <w:rPr>
          <w:sz w:val="22"/>
          <w:szCs w:val="22"/>
        </w:rPr>
      </w:pPr>
      <w:r w:rsidRPr="00527E86">
        <w:rPr>
          <w:sz w:val="22"/>
          <w:szCs w:val="22"/>
        </w:rPr>
        <w:t>Appendix B – Frequently Asked Questions</w:t>
      </w:r>
    </w:p>
    <w:p w14:paraId="6ED72ADC" w14:textId="77777777" w:rsidR="00527E86" w:rsidRDefault="00527E86">
      <w:pPr>
        <w:spacing w:after="0"/>
        <w:rPr>
          <w:rFonts w:ascii="Arial" w:hAnsi="Arial" w:cs="Arial"/>
          <w:b/>
          <w:sz w:val="28"/>
        </w:rPr>
      </w:pPr>
      <w:r>
        <w:rPr>
          <w:rFonts w:ascii="Arial" w:hAnsi="Arial" w:cs="Arial"/>
          <w:b/>
          <w:sz w:val="28"/>
        </w:rPr>
        <w:br w:type="page"/>
      </w:r>
    </w:p>
    <w:p w14:paraId="4F943A33" w14:textId="77777777" w:rsidR="001E5267" w:rsidRPr="002119D9" w:rsidRDefault="001E5267" w:rsidP="00863050">
      <w:pPr>
        <w:spacing w:after="120"/>
        <w:rPr>
          <w:rFonts w:ascii="Arial" w:hAnsi="Arial" w:cs="Arial"/>
          <w:b/>
          <w:sz w:val="28"/>
          <w:szCs w:val="28"/>
        </w:rPr>
      </w:pPr>
      <w:r w:rsidRPr="002119D9">
        <w:rPr>
          <w:rFonts w:ascii="Arial" w:hAnsi="Arial" w:cs="Arial"/>
          <w:b/>
          <w:sz w:val="28"/>
          <w:szCs w:val="28"/>
        </w:rPr>
        <w:lastRenderedPageBreak/>
        <w:t xml:space="preserve">List of </w:t>
      </w:r>
      <w:r w:rsidR="002119D9" w:rsidRPr="002119D9">
        <w:rPr>
          <w:rFonts w:ascii="Arial" w:hAnsi="Arial" w:cs="Arial"/>
          <w:b/>
          <w:sz w:val="28"/>
          <w:szCs w:val="28"/>
        </w:rPr>
        <w:t>Figures</w:t>
      </w:r>
    </w:p>
    <w:p w14:paraId="60A66876" w14:textId="77777777" w:rsidR="00135FFD" w:rsidRDefault="000C0EF6">
      <w:pPr>
        <w:pStyle w:val="TableofFigures"/>
        <w:tabs>
          <w:tab w:val="right" w:leader="dot" w:pos="8630"/>
        </w:tabs>
        <w:rPr>
          <w:rFonts w:asciiTheme="minorHAnsi" w:eastAsiaTheme="minorEastAsia" w:hAnsiTheme="minorHAnsi" w:cstheme="minorBidi"/>
          <w:noProof/>
          <w:szCs w:val="22"/>
        </w:rPr>
      </w:pPr>
      <w:r>
        <w:rPr>
          <w:sz w:val="20"/>
          <w:szCs w:val="20"/>
        </w:rPr>
        <w:fldChar w:fldCharType="begin"/>
      </w:r>
      <w:r w:rsidR="00AB1E01">
        <w:rPr>
          <w:sz w:val="20"/>
          <w:szCs w:val="20"/>
        </w:rPr>
        <w:instrText xml:space="preserve"> TOC \h \z \c "Figure" </w:instrText>
      </w:r>
      <w:r>
        <w:rPr>
          <w:sz w:val="20"/>
          <w:szCs w:val="20"/>
        </w:rPr>
        <w:fldChar w:fldCharType="separate"/>
      </w:r>
      <w:hyperlink w:anchor="_Toc526778344" w:history="1">
        <w:r w:rsidR="00135FFD" w:rsidRPr="00CC7A3F">
          <w:rPr>
            <w:rStyle w:val="Hyperlink"/>
            <w:noProof/>
          </w:rPr>
          <w:t>Figure 1.  Air Quality Control regions in Alaska</w:t>
        </w:r>
        <w:r w:rsidR="00135FFD">
          <w:rPr>
            <w:noProof/>
            <w:webHidden/>
          </w:rPr>
          <w:tab/>
        </w:r>
        <w:r w:rsidR="00135FFD">
          <w:rPr>
            <w:noProof/>
            <w:webHidden/>
          </w:rPr>
          <w:fldChar w:fldCharType="begin"/>
        </w:r>
        <w:r w:rsidR="00135FFD">
          <w:rPr>
            <w:noProof/>
            <w:webHidden/>
          </w:rPr>
          <w:instrText xml:space="preserve"> PAGEREF _Toc526778344 \h </w:instrText>
        </w:r>
        <w:r w:rsidR="00135FFD">
          <w:rPr>
            <w:noProof/>
            <w:webHidden/>
          </w:rPr>
        </w:r>
        <w:r w:rsidR="00135FFD">
          <w:rPr>
            <w:noProof/>
            <w:webHidden/>
          </w:rPr>
          <w:fldChar w:fldCharType="separate"/>
        </w:r>
        <w:r w:rsidR="00135FFD">
          <w:rPr>
            <w:noProof/>
            <w:webHidden/>
          </w:rPr>
          <w:t>16</w:t>
        </w:r>
        <w:r w:rsidR="00135FFD">
          <w:rPr>
            <w:noProof/>
            <w:webHidden/>
          </w:rPr>
          <w:fldChar w:fldCharType="end"/>
        </w:r>
      </w:hyperlink>
    </w:p>
    <w:p w14:paraId="6B025B0C" w14:textId="77777777" w:rsidR="00135FFD" w:rsidRDefault="00135FFD">
      <w:pPr>
        <w:pStyle w:val="TableofFigures"/>
        <w:tabs>
          <w:tab w:val="right" w:leader="dot" w:pos="8630"/>
        </w:tabs>
        <w:rPr>
          <w:rFonts w:asciiTheme="minorHAnsi" w:eastAsiaTheme="minorEastAsia" w:hAnsiTheme="minorHAnsi" w:cstheme="minorBidi"/>
          <w:noProof/>
          <w:szCs w:val="22"/>
        </w:rPr>
      </w:pPr>
      <w:hyperlink w:anchor="_Toc526778345" w:history="1">
        <w:r w:rsidRPr="00CC7A3F">
          <w:rPr>
            <w:rStyle w:val="Hyperlink"/>
            <w:noProof/>
          </w:rPr>
          <w:t>Figure 2.  Illustration of Degradation Concern</w:t>
        </w:r>
        <w:r>
          <w:rPr>
            <w:noProof/>
            <w:webHidden/>
          </w:rPr>
          <w:tab/>
        </w:r>
        <w:r>
          <w:rPr>
            <w:noProof/>
            <w:webHidden/>
          </w:rPr>
          <w:fldChar w:fldCharType="begin"/>
        </w:r>
        <w:r>
          <w:rPr>
            <w:noProof/>
            <w:webHidden/>
          </w:rPr>
          <w:instrText xml:space="preserve"> PAGEREF _Toc526778345 \h </w:instrText>
        </w:r>
        <w:r>
          <w:rPr>
            <w:noProof/>
            <w:webHidden/>
          </w:rPr>
        </w:r>
        <w:r>
          <w:rPr>
            <w:noProof/>
            <w:webHidden/>
          </w:rPr>
          <w:fldChar w:fldCharType="separate"/>
        </w:r>
        <w:r>
          <w:rPr>
            <w:noProof/>
            <w:webHidden/>
          </w:rPr>
          <w:t>19</w:t>
        </w:r>
        <w:r>
          <w:rPr>
            <w:noProof/>
            <w:webHidden/>
          </w:rPr>
          <w:fldChar w:fldCharType="end"/>
        </w:r>
      </w:hyperlink>
    </w:p>
    <w:p w14:paraId="546BBDF7" w14:textId="77777777" w:rsidR="00135FFD" w:rsidRDefault="00135FFD">
      <w:pPr>
        <w:pStyle w:val="TableofFigures"/>
        <w:tabs>
          <w:tab w:val="right" w:leader="dot" w:pos="8630"/>
        </w:tabs>
        <w:rPr>
          <w:rFonts w:asciiTheme="minorHAnsi" w:eastAsiaTheme="minorEastAsia" w:hAnsiTheme="minorHAnsi" w:cstheme="minorBidi"/>
          <w:noProof/>
          <w:szCs w:val="22"/>
        </w:rPr>
      </w:pPr>
      <w:hyperlink w:anchor="_Toc526778346" w:history="1">
        <w:r w:rsidRPr="00CC7A3F">
          <w:rPr>
            <w:rStyle w:val="Hyperlink"/>
            <w:noProof/>
          </w:rPr>
          <w:t>Figure 3.  Maximum Allowable Increase (Increment) Illustration</w:t>
        </w:r>
        <w:r>
          <w:rPr>
            <w:noProof/>
            <w:webHidden/>
          </w:rPr>
          <w:tab/>
        </w:r>
        <w:r>
          <w:rPr>
            <w:noProof/>
            <w:webHidden/>
          </w:rPr>
          <w:fldChar w:fldCharType="begin"/>
        </w:r>
        <w:r>
          <w:rPr>
            <w:noProof/>
            <w:webHidden/>
          </w:rPr>
          <w:instrText xml:space="preserve"> PAGEREF _Toc526778346 \h </w:instrText>
        </w:r>
        <w:r>
          <w:rPr>
            <w:noProof/>
            <w:webHidden/>
          </w:rPr>
        </w:r>
        <w:r>
          <w:rPr>
            <w:noProof/>
            <w:webHidden/>
          </w:rPr>
          <w:fldChar w:fldCharType="separate"/>
        </w:r>
        <w:r>
          <w:rPr>
            <w:noProof/>
            <w:webHidden/>
          </w:rPr>
          <w:t>19</w:t>
        </w:r>
        <w:r>
          <w:rPr>
            <w:noProof/>
            <w:webHidden/>
          </w:rPr>
          <w:fldChar w:fldCharType="end"/>
        </w:r>
      </w:hyperlink>
    </w:p>
    <w:p w14:paraId="44638811" w14:textId="77777777" w:rsidR="00135FFD" w:rsidRDefault="00135FFD">
      <w:pPr>
        <w:pStyle w:val="TableofFigures"/>
        <w:tabs>
          <w:tab w:val="right" w:leader="dot" w:pos="8630"/>
        </w:tabs>
        <w:rPr>
          <w:rFonts w:asciiTheme="minorHAnsi" w:eastAsiaTheme="minorEastAsia" w:hAnsiTheme="minorHAnsi" w:cstheme="minorBidi"/>
          <w:noProof/>
          <w:szCs w:val="22"/>
        </w:rPr>
      </w:pPr>
      <w:hyperlink w:anchor="_Toc526778347" w:history="1">
        <w:r w:rsidRPr="00CC7A3F">
          <w:rPr>
            <w:rStyle w:val="Hyperlink"/>
            <w:noProof/>
          </w:rPr>
          <w:t>Figure 4.  Class I Areas within Alaska</w:t>
        </w:r>
        <w:r>
          <w:rPr>
            <w:noProof/>
            <w:webHidden/>
          </w:rPr>
          <w:tab/>
        </w:r>
        <w:r>
          <w:rPr>
            <w:noProof/>
            <w:webHidden/>
          </w:rPr>
          <w:fldChar w:fldCharType="begin"/>
        </w:r>
        <w:r>
          <w:rPr>
            <w:noProof/>
            <w:webHidden/>
          </w:rPr>
          <w:instrText xml:space="preserve"> PAGEREF _Toc526778347 \h </w:instrText>
        </w:r>
        <w:r>
          <w:rPr>
            <w:noProof/>
            <w:webHidden/>
          </w:rPr>
        </w:r>
        <w:r>
          <w:rPr>
            <w:noProof/>
            <w:webHidden/>
          </w:rPr>
          <w:fldChar w:fldCharType="separate"/>
        </w:r>
        <w:r>
          <w:rPr>
            <w:noProof/>
            <w:webHidden/>
          </w:rPr>
          <w:t>23</w:t>
        </w:r>
        <w:r>
          <w:rPr>
            <w:noProof/>
            <w:webHidden/>
          </w:rPr>
          <w:fldChar w:fldCharType="end"/>
        </w:r>
      </w:hyperlink>
    </w:p>
    <w:p w14:paraId="3967DE20" w14:textId="77777777" w:rsidR="00135FFD" w:rsidRDefault="00135FFD">
      <w:pPr>
        <w:pStyle w:val="TableofFigures"/>
        <w:tabs>
          <w:tab w:val="right" w:leader="dot" w:pos="8630"/>
        </w:tabs>
        <w:rPr>
          <w:rFonts w:asciiTheme="minorHAnsi" w:eastAsiaTheme="minorEastAsia" w:hAnsiTheme="minorHAnsi" w:cstheme="minorBidi"/>
          <w:noProof/>
          <w:szCs w:val="22"/>
        </w:rPr>
      </w:pPr>
      <w:hyperlink w:anchor="_Toc526778348" w:history="1">
        <w:r w:rsidRPr="00CC7A3F">
          <w:rPr>
            <w:rStyle w:val="Hyperlink"/>
            <w:noProof/>
          </w:rPr>
          <w:t>Figure 5.  Modeling Review Procedures</w:t>
        </w:r>
        <w:r>
          <w:rPr>
            <w:noProof/>
            <w:webHidden/>
          </w:rPr>
          <w:tab/>
        </w:r>
        <w:r>
          <w:rPr>
            <w:noProof/>
            <w:webHidden/>
          </w:rPr>
          <w:fldChar w:fldCharType="begin"/>
        </w:r>
        <w:r>
          <w:rPr>
            <w:noProof/>
            <w:webHidden/>
          </w:rPr>
          <w:instrText xml:space="preserve"> PAGEREF _Toc526778348 \h </w:instrText>
        </w:r>
        <w:r>
          <w:rPr>
            <w:noProof/>
            <w:webHidden/>
          </w:rPr>
        </w:r>
        <w:r>
          <w:rPr>
            <w:noProof/>
            <w:webHidden/>
          </w:rPr>
          <w:fldChar w:fldCharType="separate"/>
        </w:r>
        <w:r>
          <w:rPr>
            <w:noProof/>
            <w:webHidden/>
          </w:rPr>
          <w:t>32</w:t>
        </w:r>
        <w:r>
          <w:rPr>
            <w:noProof/>
            <w:webHidden/>
          </w:rPr>
          <w:fldChar w:fldCharType="end"/>
        </w:r>
      </w:hyperlink>
    </w:p>
    <w:p w14:paraId="60C14551" w14:textId="77777777" w:rsidR="00135FFD" w:rsidRDefault="00135FFD">
      <w:pPr>
        <w:pStyle w:val="TableofFigures"/>
        <w:tabs>
          <w:tab w:val="right" w:leader="dot" w:pos="8630"/>
        </w:tabs>
        <w:rPr>
          <w:rFonts w:asciiTheme="minorHAnsi" w:eastAsiaTheme="minorEastAsia" w:hAnsiTheme="minorHAnsi" w:cstheme="minorBidi"/>
          <w:noProof/>
          <w:szCs w:val="22"/>
        </w:rPr>
      </w:pPr>
      <w:hyperlink w:anchor="_Toc526778349" w:history="1">
        <w:r w:rsidRPr="00CC7A3F">
          <w:rPr>
            <w:rStyle w:val="Hyperlink"/>
            <w:noProof/>
          </w:rPr>
          <w:t>Figure 6.  UTM Time Zones for Alaska</w:t>
        </w:r>
        <w:r>
          <w:rPr>
            <w:noProof/>
            <w:webHidden/>
          </w:rPr>
          <w:tab/>
        </w:r>
        <w:r>
          <w:rPr>
            <w:noProof/>
            <w:webHidden/>
          </w:rPr>
          <w:fldChar w:fldCharType="begin"/>
        </w:r>
        <w:r>
          <w:rPr>
            <w:noProof/>
            <w:webHidden/>
          </w:rPr>
          <w:instrText xml:space="preserve"> PAGEREF _Toc526778349 \h </w:instrText>
        </w:r>
        <w:r>
          <w:rPr>
            <w:noProof/>
            <w:webHidden/>
          </w:rPr>
        </w:r>
        <w:r>
          <w:rPr>
            <w:noProof/>
            <w:webHidden/>
          </w:rPr>
          <w:fldChar w:fldCharType="separate"/>
        </w:r>
        <w:r>
          <w:rPr>
            <w:noProof/>
            <w:webHidden/>
          </w:rPr>
          <w:t>48</w:t>
        </w:r>
        <w:r>
          <w:rPr>
            <w:noProof/>
            <w:webHidden/>
          </w:rPr>
          <w:fldChar w:fldCharType="end"/>
        </w:r>
      </w:hyperlink>
    </w:p>
    <w:p w14:paraId="718D3081" w14:textId="77777777" w:rsidR="00135FFD" w:rsidRDefault="00135FFD">
      <w:pPr>
        <w:pStyle w:val="TableofFigures"/>
        <w:tabs>
          <w:tab w:val="right" w:leader="dot" w:pos="8630"/>
        </w:tabs>
        <w:rPr>
          <w:rFonts w:asciiTheme="minorHAnsi" w:eastAsiaTheme="minorEastAsia" w:hAnsiTheme="minorHAnsi" w:cstheme="minorBidi"/>
          <w:noProof/>
          <w:szCs w:val="22"/>
        </w:rPr>
      </w:pPr>
      <w:hyperlink r:id="rId19" w:anchor="_Toc526778350" w:history="1">
        <w:r w:rsidRPr="00CC7A3F">
          <w:rPr>
            <w:rStyle w:val="Hyperlink"/>
            <w:noProof/>
          </w:rPr>
          <w:t>Figure 7. Negative and positive sensible heat flux values in an AERMET surface file.</w:t>
        </w:r>
        <w:r>
          <w:rPr>
            <w:noProof/>
            <w:webHidden/>
          </w:rPr>
          <w:tab/>
        </w:r>
        <w:r>
          <w:rPr>
            <w:noProof/>
            <w:webHidden/>
          </w:rPr>
          <w:fldChar w:fldCharType="begin"/>
        </w:r>
        <w:r>
          <w:rPr>
            <w:noProof/>
            <w:webHidden/>
          </w:rPr>
          <w:instrText xml:space="preserve"> PAGEREF _Toc526778350 \h </w:instrText>
        </w:r>
        <w:r>
          <w:rPr>
            <w:noProof/>
            <w:webHidden/>
          </w:rPr>
        </w:r>
        <w:r>
          <w:rPr>
            <w:noProof/>
            <w:webHidden/>
          </w:rPr>
          <w:fldChar w:fldCharType="separate"/>
        </w:r>
        <w:r>
          <w:rPr>
            <w:noProof/>
            <w:webHidden/>
          </w:rPr>
          <w:t>59</w:t>
        </w:r>
        <w:r>
          <w:rPr>
            <w:noProof/>
            <w:webHidden/>
          </w:rPr>
          <w:fldChar w:fldCharType="end"/>
        </w:r>
      </w:hyperlink>
    </w:p>
    <w:p w14:paraId="508ABD46" w14:textId="77777777" w:rsidR="00135FFD" w:rsidRDefault="00135FFD">
      <w:pPr>
        <w:pStyle w:val="TableofFigures"/>
        <w:tabs>
          <w:tab w:val="right" w:leader="dot" w:pos="8630"/>
        </w:tabs>
        <w:rPr>
          <w:rFonts w:asciiTheme="minorHAnsi" w:eastAsiaTheme="minorEastAsia" w:hAnsiTheme="minorHAnsi" w:cstheme="minorBidi"/>
          <w:noProof/>
          <w:szCs w:val="22"/>
        </w:rPr>
      </w:pPr>
      <w:hyperlink w:anchor="_Toc526778351" w:history="1">
        <w:r w:rsidRPr="00CC7A3F">
          <w:rPr>
            <w:rStyle w:val="Hyperlink"/>
            <w:noProof/>
          </w:rPr>
          <w:t>Figure 8.  Example of Messages Generated From Stage 1 Processing of Surface Data</w:t>
        </w:r>
        <w:r>
          <w:rPr>
            <w:noProof/>
            <w:webHidden/>
          </w:rPr>
          <w:tab/>
        </w:r>
        <w:r>
          <w:rPr>
            <w:noProof/>
            <w:webHidden/>
          </w:rPr>
          <w:fldChar w:fldCharType="begin"/>
        </w:r>
        <w:r>
          <w:rPr>
            <w:noProof/>
            <w:webHidden/>
          </w:rPr>
          <w:instrText xml:space="preserve"> PAGEREF _Toc526778351 \h </w:instrText>
        </w:r>
        <w:r>
          <w:rPr>
            <w:noProof/>
            <w:webHidden/>
          </w:rPr>
        </w:r>
        <w:r>
          <w:rPr>
            <w:noProof/>
            <w:webHidden/>
          </w:rPr>
          <w:fldChar w:fldCharType="separate"/>
        </w:r>
        <w:r>
          <w:rPr>
            <w:noProof/>
            <w:webHidden/>
          </w:rPr>
          <w:t>61</w:t>
        </w:r>
        <w:r>
          <w:rPr>
            <w:noProof/>
            <w:webHidden/>
          </w:rPr>
          <w:fldChar w:fldCharType="end"/>
        </w:r>
      </w:hyperlink>
    </w:p>
    <w:p w14:paraId="758BFC5F" w14:textId="77777777" w:rsidR="00135FFD" w:rsidRDefault="00135FFD">
      <w:pPr>
        <w:pStyle w:val="TableofFigures"/>
        <w:tabs>
          <w:tab w:val="right" w:leader="dot" w:pos="8630"/>
        </w:tabs>
        <w:rPr>
          <w:rFonts w:asciiTheme="minorHAnsi" w:eastAsiaTheme="minorEastAsia" w:hAnsiTheme="minorHAnsi" w:cstheme="minorBidi"/>
          <w:noProof/>
          <w:szCs w:val="22"/>
        </w:rPr>
      </w:pPr>
      <w:hyperlink w:anchor="_Toc526778352" w:history="1">
        <w:r w:rsidRPr="00CC7A3F">
          <w:rPr>
            <w:rStyle w:val="Hyperlink"/>
            <w:noProof/>
          </w:rPr>
          <w:t>Figure 9.  Example of Open and Closed Flapper Rain Caps</w:t>
        </w:r>
        <w:r>
          <w:rPr>
            <w:noProof/>
            <w:webHidden/>
          </w:rPr>
          <w:tab/>
        </w:r>
        <w:r>
          <w:rPr>
            <w:noProof/>
            <w:webHidden/>
          </w:rPr>
          <w:fldChar w:fldCharType="begin"/>
        </w:r>
        <w:r>
          <w:rPr>
            <w:noProof/>
            <w:webHidden/>
          </w:rPr>
          <w:instrText xml:space="preserve"> PAGEREF _Toc526778352 \h </w:instrText>
        </w:r>
        <w:r>
          <w:rPr>
            <w:noProof/>
            <w:webHidden/>
          </w:rPr>
        </w:r>
        <w:r>
          <w:rPr>
            <w:noProof/>
            <w:webHidden/>
          </w:rPr>
          <w:fldChar w:fldCharType="separate"/>
        </w:r>
        <w:r>
          <w:rPr>
            <w:noProof/>
            <w:webHidden/>
          </w:rPr>
          <w:t>74</w:t>
        </w:r>
        <w:r>
          <w:rPr>
            <w:noProof/>
            <w:webHidden/>
          </w:rPr>
          <w:fldChar w:fldCharType="end"/>
        </w:r>
      </w:hyperlink>
    </w:p>
    <w:p w14:paraId="165DAF77" w14:textId="77777777" w:rsidR="00135FFD" w:rsidRDefault="00135FFD">
      <w:pPr>
        <w:pStyle w:val="TableofFigures"/>
        <w:tabs>
          <w:tab w:val="right" w:leader="dot" w:pos="8630"/>
        </w:tabs>
        <w:rPr>
          <w:rFonts w:asciiTheme="minorHAnsi" w:eastAsiaTheme="minorEastAsia" w:hAnsiTheme="minorHAnsi" w:cstheme="minorBidi"/>
          <w:noProof/>
          <w:szCs w:val="22"/>
        </w:rPr>
      </w:pPr>
      <w:hyperlink r:id="rId20" w:anchor="_Toc526778353" w:history="1">
        <w:r w:rsidRPr="00CC7A3F">
          <w:rPr>
            <w:rStyle w:val="Hyperlink"/>
            <w:noProof/>
          </w:rPr>
          <w:t>Figure 10.  Illustration of Typical Generator Set Measurement Points</w:t>
        </w:r>
        <w:r>
          <w:rPr>
            <w:noProof/>
            <w:webHidden/>
          </w:rPr>
          <w:tab/>
        </w:r>
        <w:r>
          <w:rPr>
            <w:noProof/>
            <w:webHidden/>
          </w:rPr>
          <w:fldChar w:fldCharType="begin"/>
        </w:r>
        <w:r>
          <w:rPr>
            <w:noProof/>
            <w:webHidden/>
          </w:rPr>
          <w:instrText xml:space="preserve"> PAGEREF _Toc526778353 \h </w:instrText>
        </w:r>
        <w:r>
          <w:rPr>
            <w:noProof/>
            <w:webHidden/>
          </w:rPr>
        </w:r>
        <w:r>
          <w:rPr>
            <w:noProof/>
            <w:webHidden/>
          </w:rPr>
          <w:fldChar w:fldCharType="separate"/>
        </w:r>
        <w:r>
          <w:rPr>
            <w:noProof/>
            <w:webHidden/>
          </w:rPr>
          <w:t>78</w:t>
        </w:r>
        <w:r>
          <w:rPr>
            <w:noProof/>
            <w:webHidden/>
          </w:rPr>
          <w:fldChar w:fldCharType="end"/>
        </w:r>
      </w:hyperlink>
    </w:p>
    <w:p w14:paraId="232131E3" w14:textId="77777777" w:rsidR="00135FFD" w:rsidRDefault="00135FFD">
      <w:pPr>
        <w:pStyle w:val="TableofFigures"/>
        <w:tabs>
          <w:tab w:val="right" w:leader="dot" w:pos="8630"/>
        </w:tabs>
        <w:rPr>
          <w:rFonts w:asciiTheme="minorHAnsi" w:eastAsiaTheme="minorEastAsia" w:hAnsiTheme="minorHAnsi" w:cstheme="minorBidi"/>
          <w:noProof/>
          <w:szCs w:val="22"/>
        </w:rPr>
      </w:pPr>
      <w:hyperlink w:anchor="_Toc526778354" w:history="1">
        <w:r w:rsidRPr="00CC7A3F">
          <w:rPr>
            <w:rStyle w:val="Hyperlink"/>
            <w:noProof/>
          </w:rPr>
          <w:t>Figure 11.  Near and Far Wake in AERMOD</w:t>
        </w:r>
        <w:r>
          <w:rPr>
            <w:noProof/>
            <w:webHidden/>
          </w:rPr>
          <w:tab/>
        </w:r>
        <w:r>
          <w:rPr>
            <w:noProof/>
            <w:webHidden/>
          </w:rPr>
          <w:fldChar w:fldCharType="begin"/>
        </w:r>
        <w:r>
          <w:rPr>
            <w:noProof/>
            <w:webHidden/>
          </w:rPr>
          <w:instrText xml:space="preserve"> PAGEREF _Toc526778354 \h </w:instrText>
        </w:r>
        <w:r>
          <w:rPr>
            <w:noProof/>
            <w:webHidden/>
          </w:rPr>
        </w:r>
        <w:r>
          <w:rPr>
            <w:noProof/>
            <w:webHidden/>
          </w:rPr>
          <w:fldChar w:fldCharType="separate"/>
        </w:r>
        <w:r>
          <w:rPr>
            <w:noProof/>
            <w:webHidden/>
          </w:rPr>
          <w:t>96</w:t>
        </w:r>
        <w:r>
          <w:rPr>
            <w:noProof/>
            <w:webHidden/>
          </w:rPr>
          <w:fldChar w:fldCharType="end"/>
        </w:r>
      </w:hyperlink>
    </w:p>
    <w:p w14:paraId="4B839A25" w14:textId="77777777" w:rsidR="00135FFD" w:rsidRDefault="00135FFD">
      <w:pPr>
        <w:pStyle w:val="TableofFigures"/>
        <w:tabs>
          <w:tab w:val="right" w:leader="dot" w:pos="8630"/>
        </w:tabs>
        <w:rPr>
          <w:rFonts w:asciiTheme="minorHAnsi" w:eastAsiaTheme="minorEastAsia" w:hAnsiTheme="minorHAnsi" w:cstheme="minorBidi"/>
          <w:noProof/>
          <w:szCs w:val="22"/>
        </w:rPr>
      </w:pPr>
      <w:hyperlink w:anchor="_Toc526778355" w:history="1">
        <w:r w:rsidRPr="00CC7A3F">
          <w:rPr>
            <w:rStyle w:val="Hyperlink"/>
            <w:noProof/>
          </w:rPr>
          <w:t>Figure 12.  Plan View of Area of Influence of Building Wake Effects</w:t>
        </w:r>
        <w:r>
          <w:rPr>
            <w:noProof/>
            <w:webHidden/>
          </w:rPr>
          <w:tab/>
        </w:r>
        <w:r>
          <w:rPr>
            <w:noProof/>
            <w:webHidden/>
          </w:rPr>
          <w:fldChar w:fldCharType="begin"/>
        </w:r>
        <w:r>
          <w:rPr>
            <w:noProof/>
            <w:webHidden/>
          </w:rPr>
          <w:instrText xml:space="preserve"> PAGEREF _Toc526778355 \h </w:instrText>
        </w:r>
        <w:r>
          <w:rPr>
            <w:noProof/>
            <w:webHidden/>
          </w:rPr>
        </w:r>
        <w:r>
          <w:rPr>
            <w:noProof/>
            <w:webHidden/>
          </w:rPr>
          <w:fldChar w:fldCharType="separate"/>
        </w:r>
        <w:r>
          <w:rPr>
            <w:noProof/>
            <w:webHidden/>
          </w:rPr>
          <w:t>97</w:t>
        </w:r>
        <w:r>
          <w:rPr>
            <w:noProof/>
            <w:webHidden/>
          </w:rPr>
          <w:fldChar w:fldCharType="end"/>
        </w:r>
      </w:hyperlink>
    </w:p>
    <w:p w14:paraId="12BD5EA0" w14:textId="77777777" w:rsidR="00135FFD" w:rsidRDefault="00135FFD">
      <w:pPr>
        <w:pStyle w:val="TableofFigures"/>
        <w:tabs>
          <w:tab w:val="right" w:leader="dot" w:pos="8630"/>
        </w:tabs>
        <w:rPr>
          <w:rFonts w:asciiTheme="minorHAnsi" w:eastAsiaTheme="minorEastAsia" w:hAnsiTheme="minorHAnsi" w:cstheme="minorBidi"/>
          <w:noProof/>
          <w:szCs w:val="22"/>
        </w:rPr>
      </w:pPr>
      <w:hyperlink w:anchor="_Toc526778356" w:history="1">
        <w:r w:rsidRPr="00CC7A3F">
          <w:rPr>
            <w:rStyle w:val="Hyperlink"/>
            <w:noProof/>
          </w:rPr>
          <w:t>Figure 13.  Aerial View of an Applicant’s Stationary Source</w:t>
        </w:r>
        <w:r>
          <w:rPr>
            <w:noProof/>
            <w:webHidden/>
          </w:rPr>
          <w:tab/>
        </w:r>
        <w:r>
          <w:rPr>
            <w:noProof/>
            <w:webHidden/>
          </w:rPr>
          <w:fldChar w:fldCharType="begin"/>
        </w:r>
        <w:r>
          <w:rPr>
            <w:noProof/>
            <w:webHidden/>
          </w:rPr>
          <w:instrText xml:space="preserve"> PAGEREF _Toc526778356 \h </w:instrText>
        </w:r>
        <w:r>
          <w:rPr>
            <w:noProof/>
            <w:webHidden/>
          </w:rPr>
        </w:r>
        <w:r>
          <w:rPr>
            <w:noProof/>
            <w:webHidden/>
          </w:rPr>
          <w:fldChar w:fldCharType="separate"/>
        </w:r>
        <w:r>
          <w:rPr>
            <w:noProof/>
            <w:webHidden/>
          </w:rPr>
          <w:t>98</w:t>
        </w:r>
        <w:r>
          <w:rPr>
            <w:noProof/>
            <w:webHidden/>
          </w:rPr>
          <w:fldChar w:fldCharType="end"/>
        </w:r>
      </w:hyperlink>
    </w:p>
    <w:p w14:paraId="05E3EA28" w14:textId="77777777" w:rsidR="00135FFD" w:rsidRDefault="00135FFD">
      <w:pPr>
        <w:pStyle w:val="TableofFigures"/>
        <w:tabs>
          <w:tab w:val="right" w:leader="dot" w:pos="8630"/>
        </w:tabs>
        <w:rPr>
          <w:rFonts w:asciiTheme="minorHAnsi" w:eastAsiaTheme="minorEastAsia" w:hAnsiTheme="minorHAnsi" w:cstheme="minorBidi"/>
          <w:noProof/>
          <w:szCs w:val="22"/>
        </w:rPr>
      </w:pPr>
      <w:hyperlink w:anchor="_Toc526778357" w:history="1">
        <w:r w:rsidRPr="00CC7A3F">
          <w:rPr>
            <w:rStyle w:val="Hyperlink"/>
            <w:noProof/>
          </w:rPr>
          <w:t>Figure 14.  Visualization of an Applicant’s Characterization of the Structures and EUs</w:t>
        </w:r>
        <w:r>
          <w:rPr>
            <w:noProof/>
            <w:webHidden/>
          </w:rPr>
          <w:tab/>
        </w:r>
        <w:r>
          <w:rPr>
            <w:noProof/>
            <w:webHidden/>
          </w:rPr>
          <w:fldChar w:fldCharType="begin"/>
        </w:r>
        <w:r>
          <w:rPr>
            <w:noProof/>
            <w:webHidden/>
          </w:rPr>
          <w:instrText xml:space="preserve"> PAGEREF _Toc526778357 \h </w:instrText>
        </w:r>
        <w:r>
          <w:rPr>
            <w:noProof/>
            <w:webHidden/>
          </w:rPr>
        </w:r>
        <w:r>
          <w:rPr>
            <w:noProof/>
            <w:webHidden/>
          </w:rPr>
          <w:fldChar w:fldCharType="separate"/>
        </w:r>
        <w:r>
          <w:rPr>
            <w:noProof/>
            <w:webHidden/>
          </w:rPr>
          <w:t>98</w:t>
        </w:r>
        <w:r>
          <w:rPr>
            <w:noProof/>
            <w:webHidden/>
          </w:rPr>
          <w:fldChar w:fldCharType="end"/>
        </w:r>
      </w:hyperlink>
    </w:p>
    <w:p w14:paraId="139AC5B1" w14:textId="77777777" w:rsidR="00135FFD" w:rsidRDefault="00135FFD">
      <w:pPr>
        <w:pStyle w:val="TableofFigures"/>
        <w:tabs>
          <w:tab w:val="right" w:leader="dot" w:pos="8630"/>
        </w:tabs>
        <w:rPr>
          <w:rFonts w:asciiTheme="minorHAnsi" w:eastAsiaTheme="minorEastAsia" w:hAnsiTheme="minorHAnsi" w:cstheme="minorBidi"/>
          <w:noProof/>
          <w:szCs w:val="22"/>
        </w:rPr>
      </w:pPr>
      <w:hyperlink w:anchor="_Toc526778358" w:history="1">
        <w:r w:rsidRPr="00CC7A3F">
          <w:rPr>
            <w:rStyle w:val="Hyperlink"/>
            <w:noProof/>
          </w:rPr>
          <w:t>Figure 15.  Illustration of Pitched Roof Representations in BPIPPRM</w:t>
        </w:r>
        <w:r>
          <w:rPr>
            <w:noProof/>
            <w:webHidden/>
          </w:rPr>
          <w:tab/>
        </w:r>
        <w:r>
          <w:rPr>
            <w:noProof/>
            <w:webHidden/>
          </w:rPr>
          <w:fldChar w:fldCharType="begin"/>
        </w:r>
        <w:r>
          <w:rPr>
            <w:noProof/>
            <w:webHidden/>
          </w:rPr>
          <w:instrText xml:space="preserve"> PAGEREF _Toc526778358 \h </w:instrText>
        </w:r>
        <w:r>
          <w:rPr>
            <w:noProof/>
            <w:webHidden/>
          </w:rPr>
        </w:r>
        <w:r>
          <w:rPr>
            <w:noProof/>
            <w:webHidden/>
          </w:rPr>
          <w:fldChar w:fldCharType="separate"/>
        </w:r>
        <w:r>
          <w:rPr>
            <w:noProof/>
            <w:webHidden/>
          </w:rPr>
          <w:t>99</w:t>
        </w:r>
        <w:r>
          <w:rPr>
            <w:noProof/>
            <w:webHidden/>
          </w:rPr>
          <w:fldChar w:fldCharType="end"/>
        </w:r>
      </w:hyperlink>
    </w:p>
    <w:p w14:paraId="339EE3E1" w14:textId="77777777" w:rsidR="00135FFD" w:rsidRDefault="00135FFD">
      <w:pPr>
        <w:pStyle w:val="TableofFigures"/>
        <w:tabs>
          <w:tab w:val="right" w:leader="dot" w:pos="8630"/>
        </w:tabs>
        <w:rPr>
          <w:rFonts w:asciiTheme="minorHAnsi" w:eastAsiaTheme="minorEastAsia" w:hAnsiTheme="minorHAnsi" w:cstheme="minorBidi"/>
          <w:noProof/>
          <w:szCs w:val="22"/>
        </w:rPr>
      </w:pPr>
      <w:hyperlink w:anchor="_Toc526778359" w:history="1">
        <w:r w:rsidRPr="00CC7A3F">
          <w:rPr>
            <w:rStyle w:val="Hyperlink"/>
            <w:noProof/>
          </w:rPr>
          <w:t>Figure 16.  Multi-tiered Approach for Estimating NO</w:t>
        </w:r>
        <w:r w:rsidRPr="00CC7A3F">
          <w:rPr>
            <w:rStyle w:val="Hyperlink"/>
            <w:noProof/>
            <w:vertAlign w:val="subscript"/>
          </w:rPr>
          <w:t>2</w:t>
        </w:r>
        <w:r w:rsidRPr="00CC7A3F">
          <w:rPr>
            <w:rStyle w:val="Hyperlink"/>
            <w:noProof/>
          </w:rPr>
          <w:t xml:space="preserve"> Concentrations</w:t>
        </w:r>
        <w:r>
          <w:rPr>
            <w:noProof/>
            <w:webHidden/>
          </w:rPr>
          <w:tab/>
        </w:r>
        <w:r>
          <w:rPr>
            <w:noProof/>
            <w:webHidden/>
          </w:rPr>
          <w:fldChar w:fldCharType="begin"/>
        </w:r>
        <w:r>
          <w:rPr>
            <w:noProof/>
            <w:webHidden/>
          </w:rPr>
          <w:instrText xml:space="preserve"> PAGEREF _Toc526778359 \h </w:instrText>
        </w:r>
        <w:r>
          <w:rPr>
            <w:noProof/>
            <w:webHidden/>
          </w:rPr>
        </w:r>
        <w:r>
          <w:rPr>
            <w:noProof/>
            <w:webHidden/>
          </w:rPr>
          <w:fldChar w:fldCharType="separate"/>
        </w:r>
        <w:r>
          <w:rPr>
            <w:noProof/>
            <w:webHidden/>
          </w:rPr>
          <w:t>104</w:t>
        </w:r>
        <w:r>
          <w:rPr>
            <w:noProof/>
            <w:webHidden/>
          </w:rPr>
          <w:fldChar w:fldCharType="end"/>
        </w:r>
      </w:hyperlink>
    </w:p>
    <w:p w14:paraId="7198FAA3" w14:textId="77777777" w:rsidR="00135FFD" w:rsidRDefault="00135FFD">
      <w:pPr>
        <w:pStyle w:val="TableofFigures"/>
        <w:tabs>
          <w:tab w:val="right" w:leader="dot" w:pos="8630"/>
        </w:tabs>
        <w:rPr>
          <w:rFonts w:asciiTheme="minorHAnsi" w:eastAsiaTheme="minorEastAsia" w:hAnsiTheme="minorHAnsi" w:cstheme="minorBidi"/>
          <w:noProof/>
          <w:szCs w:val="22"/>
        </w:rPr>
      </w:pPr>
      <w:hyperlink w:anchor="_Toc526778360" w:history="1">
        <w:r w:rsidRPr="00CC7A3F">
          <w:rPr>
            <w:rStyle w:val="Hyperlink"/>
            <w:noProof/>
          </w:rPr>
          <w:t>Figure 17.  NO</w:t>
        </w:r>
        <w:r w:rsidRPr="00CC7A3F">
          <w:rPr>
            <w:rStyle w:val="Hyperlink"/>
            <w:noProof/>
            <w:vertAlign w:val="subscript"/>
          </w:rPr>
          <w:t>2</w:t>
        </w:r>
        <w:r w:rsidRPr="00CC7A3F">
          <w:rPr>
            <w:rStyle w:val="Hyperlink"/>
            <w:noProof/>
          </w:rPr>
          <w:t xml:space="preserve"> to O</w:t>
        </w:r>
        <w:r w:rsidRPr="00CC7A3F">
          <w:rPr>
            <w:rStyle w:val="Hyperlink"/>
            <w:noProof/>
            <w:vertAlign w:val="subscript"/>
          </w:rPr>
          <w:t>3</w:t>
        </w:r>
        <w:r w:rsidRPr="00CC7A3F">
          <w:rPr>
            <w:rStyle w:val="Hyperlink"/>
            <w:noProof/>
          </w:rPr>
          <w:t xml:space="preserve"> Comparison to Detect NOx Scavenging</w:t>
        </w:r>
        <w:r>
          <w:rPr>
            <w:noProof/>
            <w:webHidden/>
          </w:rPr>
          <w:tab/>
        </w:r>
        <w:r>
          <w:rPr>
            <w:noProof/>
            <w:webHidden/>
          </w:rPr>
          <w:fldChar w:fldCharType="begin"/>
        </w:r>
        <w:r>
          <w:rPr>
            <w:noProof/>
            <w:webHidden/>
          </w:rPr>
          <w:instrText xml:space="preserve"> PAGEREF _Toc526778360 \h </w:instrText>
        </w:r>
        <w:r>
          <w:rPr>
            <w:noProof/>
            <w:webHidden/>
          </w:rPr>
        </w:r>
        <w:r>
          <w:rPr>
            <w:noProof/>
            <w:webHidden/>
          </w:rPr>
          <w:fldChar w:fldCharType="separate"/>
        </w:r>
        <w:r>
          <w:rPr>
            <w:noProof/>
            <w:webHidden/>
          </w:rPr>
          <w:t>109</w:t>
        </w:r>
        <w:r>
          <w:rPr>
            <w:noProof/>
            <w:webHidden/>
          </w:rPr>
          <w:fldChar w:fldCharType="end"/>
        </w:r>
      </w:hyperlink>
    </w:p>
    <w:p w14:paraId="7E788479" w14:textId="77777777" w:rsidR="00527E86" w:rsidRPr="00527E86" w:rsidRDefault="000C0EF6">
      <w:pPr>
        <w:rPr>
          <w:rFonts w:ascii="Arial" w:hAnsi="Arial" w:cs="Arial"/>
          <w:sz w:val="28"/>
          <w:szCs w:val="28"/>
        </w:rPr>
      </w:pPr>
      <w:r>
        <w:rPr>
          <w:sz w:val="20"/>
          <w:szCs w:val="20"/>
        </w:rPr>
        <w:fldChar w:fldCharType="end"/>
      </w:r>
    </w:p>
    <w:p w14:paraId="707F096B" w14:textId="77777777" w:rsidR="002119D9" w:rsidRPr="00527E86" w:rsidRDefault="002119D9" w:rsidP="00863050">
      <w:pPr>
        <w:spacing w:after="120"/>
        <w:rPr>
          <w:sz w:val="20"/>
          <w:szCs w:val="20"/>
        </w:rPr>
      </w:pPr>
      <w:r w:rsidRPr="002119D9">
        <w:rPr>
          <w:rFonts w:ascii="Arial" w:hAnsi="Arial" w:cs="Arial"/>
          <w:b/>
          <w:sz w:val="28"/>
          <w:szCs w:val="28"/>
        </w:rPr>
        <w:t>List of Tables</w:t>
      </w:r>
    </w:p>
    <w:p w14:paraId="5965EE2E" w14:textId="77777777" w:rsidR="00135FFD" w:rsidRDefault="000C0EF6">
      <w:pPr>
        <w:pStyle w:val="TableofFigures"/>
        <w:tabs>
          <w:tab w:val="right" w:leader="dot" w:pos="8630"/>
        </w:tabs>
        <w:rPr>
          <w:rFonts w:asciiTheme="minorHAnsi" w:eastAsiaTheme="minorEastAsia" w:hAnsiTheme="minorHAnsi" w:cstheme="minorBidi"/>
          <w:noProof/>
          <w:szCs w:val="22"/>
        </w:rPr>
      </w:pPr>
      <w:r>
        <w:fldChar w:fldCharType="begin"/>
      </w:r>
      <w:r w:rsidR="002119D9">
        <w:instrText xml:space="preserve"> TOC \h \z \c "Table" </w:instrText>
      </w:r>
      <w:r>
        <w:fldChar w:fldCharType="separate"/>
      </w:r>
      <w:hyperlink w:anchor="_Toc526778361" w:history="1">
        <w:r w:rsidR="00135FFD" w:rsidRPr="00675C5A">
          <w:rPr>
            <w:rStyle w:val="Hyperlink"/>
            <w:noProof/>
          </w:rPr>
          <w:t>Table 1.  Dates Associated with PSD Increments</w:t>
        </w:r>
        <w:r w:rsidR="00135FFD">
          <w:rPr>
            <w:noProof/>
            <w:webHidden/>
          </w:rPr>
          <w:tab/>
        </w:r>
        <w:r w:rsidR="00135FFD">
          <w:rPr>
            <w:noProof/>
            <w:webHidden/>
          </w:rPr>
          <w:fldChar w:fldCharType="begin"/>
        </w:r>
        <w:r w:rsidR="00135FFD">
          <w:rPr>
            <w:noProof/>
            <w:webHidden/>
          </w:rPr>
          <w:instrText xml:space="preserve"> PAGEREF _Toc526778361 \h </w:instrText>
        </w:r>
        <w:r w:rsidR="00135FFD">
          <w:rPr>
            <w:noProof/>
            <w:webHidden/>
          </w:rPr>
        </w:r>
        <w:r w:rsidR="00135FFD">
          <w:rPr>
            <w:noProof/>
            <w:webHidden/>
          </w:rPr>
          <w:fldChar w:fldCharType="separate"/>
        </w:r>
        <w:r w:rsidR="00135FFD">
          <w:rPr>
            <w:noProof/>
            <w:webHidden/>
          </w:rPr>
          <w:t>21</w:t>
        </w:r>
        <w:r w:rsidR="00135FFD">
          <w:rPr>
            <w:noProof/>
            <w:webHidden/>
          </w:rPr>
          <w:fldChar w:fldCharType="end"/>
        </w:r>
      </w:hyperlink>
    </w:p>
    <w:p w14:paraId="366F324E" w14:textId="77777777" w:rsidR="00135FFD" w:rsidRDefault="00135FFD">
      <w:pPr>
        <w:pStyle w:val="TableofFigures"/>
        <w:tabs>
          <w:tab w:val="right" w:leader="dot" w:pos="8630"/>
        </w:tabs>
        <w:rPr>
          <w:rFonts w:asciiTheme="minorHAnsi" w:eastAsiaTheme="minorEastAsia" w:hAnsiTheme="minorHAnsi" w:cstheme="minorBidi"/>
          <w:noProof/>
          <w:szCs w:val="22"/>
        </w:rPr>
      </w:pPr>
      <w:hyperlink w:anchor="_Toc526778362" w:history="1">
        <w:r w:rsidRPr="00675C5A">
          <w:rPr>
            <w:rStyle w:val="Hyperlink"/>
            <w:noProof/>
          </w:rPr>
          <w:t>Table 2.  Point Source Scaling Factors for AERSCREEN</w:t>
        </w:r>
        <w:r>
          <w:rPr>
            <w:noProof/>
            <w:webHidden/>
          </w:rPr>
          <w:tab/>
        </w:r>
        <w:r>
          <w:rPr>
            <w:noProof/>
            <w:webHidden/>
          </w:rPr>
          <w:fldChar w:fldCharType="begin"/>
        </w:r>
        <w:r>
          <w:rPr>
            <w:noProof/>
            <w:webHidden/>
          </w:rPr>
          <w:instrText xml:space="preserve"> PAGEREF _Toc526778362 \h </w:instrText>
        </w:r>
        <w:r>
          <w:rPr>
            <w:noProof/>
            <w:webHidden/>
          </w:rPr>
        </w:r>
        <w:r>
          <w:rPr>
            <w:noProof/>
            <w:webHidden/>
          </w:rPr>
          <w:fldChar w:fldCharType="separate"/>
        </w:r>
        <w:r>
          <w:rPr>
            <w:noProof/>
            <w:webHidden/>
          </w:rPr>
          <w:t>47</w:t>
        </w:r>
        <w:r>
          <w:rPr>
            <w:noProof/>
            <w:webHidden/>
          </w:rPr>
          <w:fldChar w:fldCharType="end"/>
        </w:r>
      </w:hyperlink>
    </w:p>
    <w:p w14:paraId="62E9A63D" w14:textId="77777777" w:rsidR="00135FFD" w:rsidRDefault="00135FFD">
      <w:pPr>
        <w:pStyle w:val="TableofFigures"/>
        <w:tabs>
          <w:tab w:val="right" w:leader="dot" w:pos="8630"/>
        </w:tabs>
        <w:rPr>
          <w:rFonts w:asciiTheme="minorHAnsi" w:eastAsiaTheme="minorEastAsia" w:hAnsiTheme="minorHAnsi" w:cstheme="minorBidi"/>
          <w:noProof/>
          <w:szCs w:val="22"/>
        </w:rPr>
      </w:pPr>
      <w:hyperlink w:anchor="_Toc526778363" w:history="1">
        <w:r w:rsidRPr="00675C5A">
          <w:rPr>
            <w:rStyle w:val="Hyperlink"/>
            <w:noProof/>
          </w:rPr>
          <w:t>Table 3.  Surface Characteristics for North Slope Applications</w:t>
        </w:r>
        <w:r>
          <w:rPr>
            <w:noProof/>
            <w:webHidden/>
          </w:rPr>
          <w:tab/>
        </w:r>
        <w:r>
          <w:rPr>
            <w:noProof/>
            <w:webHidden/>
          </w:rPr>
          <w:fldChar w:fldCharType="begin"/>
        </w:r>
        <w:r>
          <w:rPr>
            <w:noProof/>
            <w:webHidden/>
          </w:rPr>
          <w:instrText xml:space="preserve"> PAGEREF _Toc526778363 \h </w:instrText>
        </w:r>
        <w:r>
          <w:rPr>
            <w:noProof/>
            <w:webHidden/>
          </w:rPr>
        </w:r>
        <w:r>
          <w:rPr>
            <w:noProof/>
            <w:webHidden/>
          </w:rPr>
          <w:fldChar w:fldCharType="separate"/>
        </w:r>
        <w:r>
          <w:rPr>
            <w:noProof/>
            <w:webHidden/>
          </w:rPr>
          <w:t>63</w:t>
        </w:r>
        <w:r>
          <w:rPr>
            <w:noProof/>
            <w:webHidden/>
          </w:rPr>
          <w:fldChar w:fldCharType="end"/>
        </w:r>
      </w:hyperlink>
    </w:p>
    <w:p w14:paraId="389B4C13" w14:textId="77777777" w:rsidR="00135FFD" w:rsidRDefault="00135FFD">
      <w:pPr>
        <w:pStyle w:val="TableofFigures"/>
        <w:tabs>
          <w:tab w:val="right" w:leader="dot" w:pos="8630"/>
        </w:tabs>
        <w:rPr>
          <w:rFonts w:asciiTheme="minorHAnsi" w:eastAsiaTheme="minorEastAsia" w:hAnsiTheme="minorHAnsi" w:cstheme="minorBidi"/>
          <w:noProof/>
          <w:szCs w:val="22"/>
        </w:rPr>
      </w:pPr>
      <w:hyperlink w:anchor="_Toc526778364" w:history="1">
        <w:r w:rsidRPr="00675C5A">
          <w:rPr>
            <w:rStyle w:val="Hyperlink"/>
            <w:noProof/>
          </w:rPr>
          <w:t>Table 4.  Allowed Design Concentrations</w:t>
        </w:r>
        <w:r>
          <w:rPr>
            <w:noProof/>
            <w:webHidden/>
          </w:rPr>
          <w:tab/>
        </w:r>
        <w:r>
          <w:rPr>
            <w:noProof/>
            <w:webHidden/>
          </w:rPr>
          <w:fldChar w:fldCharType="begin"/>
        </w:r>
        <w:r>
          <w:rPr>
            <w:noProof/>
            <w:webHidden/>
          </w:rPr>
          <w:instrText xml:space="preserve"> PAGEREF _Toc526778364 \h </w:instrText>
        </w:r>
        <w:r>
          <w:rPr>
            <w:noProof/>
            <w:webHidden/>
          </w:rPr>
        </w:r>
        <w:r>
          <w:rPr>
            <w:noProof/>
            <w:webHidden/>
          </w:rPr>
          <w:fldChar w:fldCharType="separate"/>
        </w:r>
        <w:r>
          <w:rPr>
            <w:noProof/>
            <w:webHidden/>
          </w:rPr>
          <w:t>125</w:t>
        </w:r>
        <w:r>
          <w:rPr>
            <w:noProof/>
            <w:webHidden/>
          </w:rPr>
          <w:fldChar w:fldCharType="end"/>
        </w:r>
      </w:hyperlink>
    </w:p>
    <w:p w14:paraId="38C24D8B" w14:textId="77777777" w:rsidR="00135FFD" w:rsidRDefault="00135FFD">
      <w:pPr>
        <w:pStyle w:val="TableofFigures"/>
        <w:tabs>
          <w:tab w:val="right" w:leader="dot" w:pos="8630"/>
        </w:tabs>
        <w:rPr>
          <w:rFonts w:asciiTheme="minorHAnsi" w:eastAsiaTheme="minorEastAsia" w:hAnsiTheme="minorHAnsi" w:cstheme="minorBidi"/>
          <w:noProof/>
          <w:szCs w:val="22"/>
        </w:rPr>
      </w:pPr>
      <w:hyperlink w:anchor="_Toc526778365" w:history="1">
        <w:r w:rsidRPr="00675C5A">
          <w:rPr>
            <w:rStyle w:val="Hyperlink"/>
            <w:noProof/>
          </w:rPr>
          <w:t>Table 5.  EPA Recommended SILs for</w:t>
        </w:r>
        <w:r>
          <w:rPr>
            <w:noProof/>
            <w:webHidden/>
          </w:rPr>
          <w:tab/>
        </w:r>
        <w:r>
          <w:rPr>
            <w:noProof/>
            <w:webHidden/>
          </w:rPr>
          <w:fldChar w:fldCharType="begin"/>
        </w:r>
        <w:r>
          <w:rPr>
            <w:noProof/>
            <w:webHidden/>
          </w:rPr>
          <w:instrText xml:space="preserve"> PAGEREF _Toc526778365 \h </w:instrText>
        </w:r>
        <w:r>
          <w:rPr>
            <w:noProof/>
            <w:webHidden/>
          </w:rPr>
        </w:r>
        <w:r>
          <w:rPr>
            <w:noProof/>
            <w:webHidden/>
          </w:rPr>
          <w:fldChar w:fldCharType="separate"/>
        </w:r>
        <w:r>
          <w:rPr>
            <w:noProof/>
            <w:webHidden/>
          </w:rPr>
          <w:t>136</w:t>
        </w:r>
        <w:r>
          <w:rPr>
            <w:noProof/>
            <w:webHidden/>
          </w:rPr>
          <w:fldChar w:fldCharType="end"/>
        </w:r>
      </w:hyperlink>
    </w:p>
    <w:p w14:paraId="1125A2C5" w14:textId="77777777" w:rsidR="00135FFD" w:rsidRDefault="00135FFD">
      <w:pPr>
        <w:pStyle w:val="TableofFigures"/>
        <w:tabs>
          <w:tab w:val="right" w:leader="dot" w:pos="8630"/>
        </w:tabs>
        <w:rPr>
          <w:rFonts w:asciiTheme="minorHAnsi" w:eastAsiaTheme="minorEastAsia" w:hAnsiTheme="minorHAnsi" w:cstheme="minorBidi"/>
          <w:noProof/>
          <w:szCs w:val="22"/>
        </w:rPr>
      </w:pPr>
      <w:hyperlink w:anchor="_Toc526778366" w:history="1">
        <w:r w:rsidRPr="00675C5A">
          <w:rPr>
            <w:rStyle w:val="Hyperlink"/>
            <w:noProof/>
          </w:rPr>
          <w:t>Table 6.  EPA’s 1996 Proposed SILs</w:t>
        </w:r>
        <w:r>
          <w:rPr>
            <w:noProof/>
            <w:webHidden/>
          </w:rPr>
          <w:tab/>
        </w:r>
        <w:r>
          <w:rPr>
            <w:noProof/>
            <w:webHidden/>
          </w:rPr>
          <w:fldChar w:fldCharType="begin"/>
        </w:r>
        <w:r>
          <w:rPr>
            <w:noProof/>
            <w:webHidden/>
          </w:rPr>
          <w:instrText xml:space="preserve"> PAGEREF _Toc526778366 \h </w:instrText>
        </w:r>
        <w:r>
          <w:rPr>
            <w:noProof/>
            <w:webHidden/>
          </w:rPr>
        </w:r>
        <w:r>
          <w:rPr>
            <w:noProof/>
            <w:webHidden/>
          </w:rPr>
          <w:fldChar w:fldCharType="separate"/>
        </w:r>
        <w:r>
          <w:rPr>
            <w:noProof/>
            <w:webHidden/>
          </w:rPr>
          <w:t>137</w:t>
        </w:r>
        <w:r>
          <w:rPr>
            <w:noProof/>
            <w:webHidden/>
          </w:rPr>
          <w:fldChar w:fldCharType="end"/>
        </w:r>
      </w:hyperlink>
    </w:p>
    <w:p w14:paraId="56639A89" w14:textId="77777777" w:rsidR="00F621E5" w:rsidRDefault="000C0EF6">
      <w:r>
        <w:fldChar w:fldCharType="end"/>
      </w:r>
    </w:p>
    <w:p w14:paraId="462C4E70" w14:textId="77777777" w:rsidR="00F621E5" w:rsidRDefault="00F621E5">
      <w:pPr>
        <w:spacing w:after="0"/>
      </w:pPr>
    </w:p>
    <w:p w14:paraId="2CCA0245" w14:textId="77777777" w:rsidR="00E255C0" w:rsidRDefault="00E255C0">
      <w:pPr>
        <w:sectPr w:rsidR="00E255C0" w:rsidSect="004A339D">
          <w:pgSz w:w="12240" w:h="15840" w:code="1"/>
          <w:pgMar w:top="720" w:right="1800" w:bottom="720" w:left="1656" w:header="720" w:footer="576" w:gutter="144"/>
          <w:pgNumType w:fmt="lowerRoman"/>
          <w:cols w:space="720"/>
          <w:docGrid w:linePitch="326"/>
        </w:sectPr>
      </w:pPr>
    </w:p>
    <w:p w14:paraId="5CC5D3E7" w14:textId="77777777" w:rsidR="000F2745" w:rsidRPr="007E624E" w:rsidRDefault="000F2745" w:rsidP="000F2745">
      <w:pPr>
        <w:pStyle w:val="Heading1"/>
        <w:rPr>
          <w:snapToGrid w:val="0"/>
          <w:szCs w:val="48"/>
        </w:rPr>
      </w:pPr>
      <w:bookmarkStart w:id="4" w:name="_Toc526778209"/>
      <w:r w:rsidRPr="007E624E">
        <w:rPr>
          <w:snapToGrid w:val="0"/>
          <w:szCs w:val="48"/>
        </w:rPr>
        <w:lastRenderedPageBreak/>
        <w:t>Quick Guide</w:t>
      </w:r>
      <w:bookmarkEnd w:id="4"/>
    </w:p>
    <w:p w14:paraId="2C5F1FA8" w14:textId="72568DB9" w:rsidR="008516DD" w:rsidRDefault="00197AD1" w:rsidP="001306A1">
      <w:r>
        <w:t>Chapter 1 of the review manual</w:t>
      </w:r>
      <w:r w:rsidR="000F2745">
        <w:t xml:space="preserve"> provides short explanations and guidance </w:t>
      </w:r>
      <w:r w:rsidR="001A33D9">
        <w:t xml:space="preserve">for conducting efficient modeling reviews. </w:t>
      </w:r>
      <w:r w:rsidR="000958CC">
        <w:t xml:space="preserve"> </w:t>
      </w:r>
      <w:r w:rsidR="002760DF">
        <w:t>The ke</w:t>
      </w:r>
      <w:r w:rsidR="001306A1">
        <w:t xml:space="preserve">y is to use </w:t>
      </w:r>
      <w:r w:rsidR="007269B4">
        <w:t>a modeling review checklist</w:t>
      </w:r>
      <w:r w:rsidR="002760DF">
        <w:t xml:space="preserve"> and to document your findings </w:t>
      </w:r>
      <w:r w:rsidR="00461C5D">
        <w:t xml:space="preserve">in your modeling review </w:t>
      </w:r>
      <w:r w:rsidR="0068641D">
        <w:t xml:space="preserve">report </w:t>
      </w:r>
      <w:r w:rsidR="007269B4">
        <w:t>as you proceed with the review</w:t>
      </w:r>
      <w:r w:rsidR="002760DF">
        <w:t xml:space="preserve">.  </w:t>
      </w:r>
    </w:p>
    <w:p w14:paraId="584E4898" w14:textId="64986242" w:rsidR="001306A1" w:rsidRDefault="002760DF" w:rsidP="001306A1">
      <w:r>
        <w:t>T</w:t>
      </w:r>
      <w:r w:rsidR="001306A1">
        <w:t>he ADEC Air Permit Program (APP)</w:t>
      </w:r>
      <w:r>
        <w:t xml:space="preserve"> developed two checklists to</w:t>
      </w:r>
      <w:r w:rsidR="001306A1">
        <w:t xml:space="preserve"> h</w:t>
      </w:r>
      <w:r w:rsidR="000958CC">
        <w:t>elp you keep track of where you a</w:t>
      </w:r>
      <w:r w:rsidR="001306A1">
        <w:t xml:space="preserve">re at in your review. </w:t>
      </w:r>
      <w:r w:rsidR="000958CC">
        <w:t xml:space="preserve"> </w:t>
      </w:r>
      <w:r w:rsidR="008516DD">
        <w:t xml:space="preserve">One of the checklists </w:t>
      </w:r>
      <w:r w:rsidR="000958CC">
        <w:t>pertains to</w:t>
      </w:r>
      <w:r w:rsidR="008516DD">
        <w:t xml:space="preserve"> minor permit modeling assessments.  The other checklist regards ambient assessments submitted in support of a Prevention of Significant Deterioration (PSD) permit application. </w:t>
      </w:r>
      <w:r w:rsidR="0068641D">
        <w:t xml:space="preserve"> These checklists are available on the Juneau server at</w:t>
      </w:r>
      <w:r w:rsidR="00A87FF7">
        <w:t xml:space="preserve">: </w:t>
      </w:r>
      <w:hyperlink r:id="rId21" w:history="1">
        <w:hyperlink r:id="rId22" w:history="1">
          <w:r w:rsidR="002471C9">
            <w:rPr>
              <w:rStyle w:val="Hyperlink"/>
            </w:rPr>
            <w:t>G:\AQ\PERMITS\Modeling\Documents\Internal Review Procedures\Review Checklists</w:t>
          </w:r>
        </w:hyperlink>
        <w:r w:rsidR="00072FF7" w:rsidRPr="00A87FF7">
          <w:rPr>
            <w:rStyle w:val="Hyperlink"/>
          </w:rPr>
          <w:t>.</w:t>
        </w:r>
      </w:hyperlink>
    </w:p>
    <w:p w14:paraId="4E43E3E2" w14:textId="42B7A731" w:rsidR="00065D25" w:rsidRDefault="00065D25" w:rsidP="00065D25">
      <w:r>
        <w:t>Section</w:t>
      </w:r>
      <w:r w:rsidR="007B5CDB">
        <w:t> </w:t>
      </w:r>
      <w:r>
        <w:t>1</w:t>
      </w:r>
      <w:r w:rsidRPr="00B8415A">
        <w:t>.1</w:t>
      </w:r>
      <w:r>
        <w:t xml:space="preserve"> of the Quick Guide presents general notes and tips that are applicable to both checklists and the legislative metric for conducting timely reviews.  Section</w:t>
      </w:r>
      <w:r w:rsidR="007B5CDB">
        <w:t> </w:t>
      </w:r>
      <w:r>
        <w:t>1.2 presents additional items that only pertain to the minor permit checklist and Section</w:t>
      </w:r>
      <w:r w:rsidR="007B5CDB">
        <w:t> </w:t>
      </w:r>
      <w:r>
        <w:t>1.3 presents additional items that only pertain to the PSD checklist.  For additional information, tips and suggestions regarding a particular topic, see the “Detailed Discussion” in Section</w:t>
      </w:r>
      <w:r w:rsidR="007B5CDB">
        <w:t> </w:t>
      </w:r>
      <w:r>
        <w:t xml:space="preserve">2, or the applicable appendix. </w:t>
      </w:r>
    </w:p>
    <w:p w14:paraId="1D8A27D3" w14:textId="77777777" w:rsidR="008516DD" w:rsidRDefault="001578CE" w:rsidP="000958CC">
      <w:pPr>
        <w:pStyle w:val="Heading2"/>
      </w:pPr>
      <w:r>
        <w:tab/>
      </w:r>
      <w:bookmarkStart w:id="5" w:name="_Toc526778210"/>
      <w:r w:rsidR="00EA13C1">
        <w:t>General Review</w:t>
      </w:r>
      <w:bookmarkEnd w:id="5"/>
    </w:p>
    <w:p w14:paraId="58269182" w14:textId="77777777" w:rsidR="003714FA" w:rsidRDefault="003714FA" w:rsidP="003714FA">
      <w:r>
        <w:t>The</w:t>
      </w:r>
      <w:r w:rsidR="007269B4">
        <w:t xml:space="preserve"> general notes and tips in this section </w:t>
      </w:r>
      <w:r>
        <w:t>apply to both the minor permit modeling review and PSD permit modeling review.</w:t>
      </w:r>
    </w:p>
    <w:p w14:paraId="5AA9097B" w14:textId="77777777" w:rsidR="00D65659" w:rsidRDefault="003714FA" w:rsidP="00D65659">
      <w:pPr>
        <w:rPr>
          <w:b/>
          <w:snapToGrid w:val="0"/>
        </w:rPr>
      </w:pPr>
      <w:r>
        <w:rPr>
          <w:b/>
          <w:snapToGrid w:val="0"/>
        </w:rPr>
        <w:t>Conduct</w:t>
      </w:r>
      <w:r w:rsidR="00F01B4D">
        <w:rPr>
          <w:b/>
          <w:snapToGrid w:val="0"/>
        </w:rPr>
        <w:t>ing</w:t>
      </w:r>
      <w:r>
        <w:rPr>
          <w:b/>
          <w:snapToGrid w:val="0"/>
        </w:rPr>
        <w:t xml:space="preserve"> a Timely Review</w:t>
      </w:r>
    </w:p>
    <w:p w14:paraId="21DDAB0C" w14:textId="1A92C8E8" w:rsidR="00FB4260" w:rsidRPr="00D65659" w:rsidRDefault="00207146" w:rsidP="00D65659">
      <w:pPr>
        <w:rPr>
          <w:b/>
          <w:snapToGrid w:val="0"/>
        </w:rPr>
      </w:pPr>
      <w:r>
        <w:rPr>
          <w:snapToGrid w:val="0"/>
        </w:rPr>
        <w:t xml:space="preserve">ADEC is supposed to issue 95 </w:t>
      </w:r>
      <w:r w:rsidR="00140371" w:rsidRPr="00FB4260">
        <w:rPr>
          <w:snapToGrid w:val="0"/>
        </w:rPr>
        <w:t xml:space="preserve">percent of our final </w:t>
      </w:r>
      <w:r w:rsidR="00F46FAE">
        <w:rPr>
          <w:snapToGrid w:val="0"/>
        </w:rPr>
        <w:t>N</w:t>
      </w:r>
      <w:r w:rsidR="00065D25">
        <w:rPr>
          <w:snapToGrid w:val="0"/>
        </w:rPr>
        <w:t xml:space="preserve">ew </w:t>
      </w:r>
      <w:r w:rsidR="00F46FAE">
        <w:rPr>
          <w:snapToGrid w:val="0"/>
        </w:rPr>
        <w:t>S</w:t>
      </w:r>
      <w:r w:rsidR="00065D25">
        <w:rPr>
          <w:snapToGrid w:val="0"/>
        </w:rPr>
        <w:t xml:space="preserve">ource </w:t>
      </w:r>
      <w:r w:rsidR="00F46FAE">
        <w:rPr>
          <w:snapToGrid w:val="0"/>
        </w:rPr>
        <w:t>R</w:t>
      </w:r>
      <w:r w:rsidR="00065D25">
        <w:rPr>
          <w:snapToGrid w:val="0"/>
        </w:rPr>
        <w:t xml:space="preserve">eview (NSR) </w:t>
      </w:r>
      <w:r w:rsidR="00140371" w:rsidRPr="00FB4260">
        <w:rPr>
          <w:snapToGrid w:val="0"/>
        </w:rPr>
        <w:t xml:space="preserve">permit decisions within 130 days of receiving a complete application.  </w:t>
      </w:r>
    </w:p>
    <w:p w14:paraId="4FF7AC66" w14:textId="633995BC" w:rsidR="00FB4260" w:rsidRDefault="00140371" w:rsidP="006A4E50">
      <w:pPr>
        <w:pStyle w:val="ListParagraph"/>
        <w:numPr>
          <w:ilvl w:val="0"/>
          <w:numId w:val="64"/>
        </w:numPr>
        <w:spacing w:after="120"/>
        <w:contextualSpacing w:val="0"/>
        <w:rPr>
          <w:snapToGrid w:val="0"/>
        </w:rPr>
      </w:pPr>
      <w:r w:rsidRPr="00FB4260">
        <w:rPr>
          <w:snapToGrid w:val="0"/>
        </w:rPr>
        <w:t>Upon receipt of an application, we have 60 days (per</w:t>
      </w:r>
      <w:r w:rsidR="003322C3">
        <w:rPr>
          <w:snapToGrid w:val="0"/>
        </w:rPr>
        <w:t xml:space="preserve"> Alaska Statute</w:t>
      </w:r>
      <w:r w:rsidRPr="00FB4260">
        <w:rPr>
          <w:snapToGrid w:val="0"/>
        </w:rPr>
        <w:t xml:space="preserve"> </w:t>
      </w:r>
      <w:r w:rsidR="003322C3">
        <w:rPr>
          <w:snapToGrid w:val="0"/>
        </w:rPr>
        <w:t>(</w:t>
      </w:r>
      <w:hyperlink r:id="rId23" w:history="1">
        <w:r w:rsidRPr="00FA2E65">
          <w:rPr>
            <w:rStyle w:val="Hyperlink"/>
            <w:snapToGrid w:val="0"/>
          </w:rPr>
          <w:t>AS</w:t>
        </w:r>
        <w:r w:rsidR="003322C3">
          <w:rPr>
            <w:rStyle w:val="Hyperlink"/>
            <w:snapToGrid w:val="0"/>
          </w:rPr>
          <w:t>)</w:t>
        </w:r>
        <w:r w:rsidRPr="00FA2E65">
          <w:rPr>
            <w:rStyle w:val="Hyperlink"/>
          </w:rPr>
          <w:t> 46.14.160</w:t>
        </w:r>
      </w:hyperlink>
      <w:r>
        <w:t xml:space="preserve">) </w:t>
      </w:r>
      <w:r w:rsidRPr="00FB4260">
        <w:rPr>
          <w:snapToGrid w:val="0"/>
        </w:rPr>
        <w:t xml:space="preserve">to notify the applicant if the application is incomplete and if so, what information is missing.  </w:t>
      </w:r>
    </w:p>
    <w:p w14:paraId="6B9D9201" w14:textId="77777777" w:rsidR="00FB4260" w:rsidRDefault="00140371" w:rsidP="006A4E50">
      <w:pPr>
        <w:pStyle w:val="ListParagraph"/>
        <w:numPr>
          <w:ilvl w:val="0"/>
          <w:numId w:val="64"/>
        </w:numPr>
        <w:spacing w:after="120"/>
        <w:contextualSpacing w:val="0"/>
        <w:rPr>
          <w:snapToGrid w:val="0"/>
        </w:rPr>
      </w:pPr>
      <w:r w:rsidRPr="00FB4260">
        <w:rPr>
          <w:snapToGrid w:val="0"/>
        </w:rPr>
        <w:t xml:space="preserve">If we </w:t>
      </w:r>
      <w:r w:rsidRPr="00FB4260">
        <w:rPr>
          <w:snapToGrid w:val="0"/>
          <w:u w:val="single"/>
        </w:rPr>
        <w:t>do not notify</w:t>
      </w:r>
      <w:r w:rsidRPr="00FB4260">
        <w:rPr>
          <w:snapToGrid w:val="0"/>
        </w:rPr>
        <w:t xml:space="preserve"> the applicant within 60 days, the application is considered complete, leaving only 70 days to issue a final decision.  </w:t>
      </w:r>
    </w:p>
    <w:p w14:paraId="16F71F1C" w14:textId="77777777" w:rsidR="003714FA" w:rsidRPr="00FB4260" w:rsidRDefault="00140371" w:rsidP="00FB4260">
      <w:pPr>
        <w:pStyle w:val="ListParagraph"/>
        <w:numPr>
          <w:ilvl w:val="0"/>
          <w:numId w:val="64"/>
        </w:numPr>
        <w:rPr>
          <w:snapToGrid w:val="0"/>
        </w:rPr>
      </w:pPr>
      <w:r w:rsidRPr="00FB4260">
        <w:rPr>
          <w:snapToGrid w:val="0"/>
        </w:rPr>
        <w:t xml:space="preserve">If </w:t>
      </w:r>
      <w:r w:rsidR="00F01B4D" w:rsidRPr="00FB4260">
        <w:rPr>
          <w:snapToGrid w:val="0"/>
        </w:rPr>
        <w:t xml:space="preserve">we </w:t>
      </w:r>
      <w:r w:rsidRPr="00FB4260">
        <w:rPr>
          <w:snapToGrid w:val="0"/>
          <w:u w:val="single"/>
        </w:rPr>
        <w:t>do notify</w:t>
      </w:r>
      <w:r w:rsidRPr="00FB4260">
        <w:rPr>
          <w:snapToGrid w:val="0"/>
        </w:rPr>
        <w:t xml:space="preserve"> the applicant that the application is incomplete, once the missing information is provided by the applicant, the 130-day clock restarts.</w:t>
      </w:r>
    </w:p>
    <w:p w14:paraId="21713AA2" w14:textId="77777777" w:rsidR="00072EA6" w:rsidRDefault="003714FA" w:rsidP="00072EA6">
      <w:pPr>
        <w:rPr>
          <w:b/>
          <w:snapToGrid w:val="0"/>
        </w:rPr>
      </w:pPr>
      <w:r w:rsidRPr="003714FA">
        <w:rPr>
          <w:b/>
          <w:snapToGrid w:val="0"/>
        </w:rPr>
        <w:t>Documentation on Hand</w:t>
      </w:r>
    </w:p>
    <w:p w14:paraId="0FE31AF1" w14:textId="77777777" w:rsidR="003714FA" w:rsidRPr="00072EA6" w:rsidRDefault="003714FA" w:rsidP="00072EA6">
      <w:pPr>
        <w:rPr>
          <w:b/>
        </w:rPr>
      </w:pPr>
      <w:r>
        <w:t xml:space="preserve">Collect all the necessary pieces to perform your review.  </w:t>
      </w:r>
    </w:p>
    <w:p w14:paraId="168D4AF9" w14:textId="77777777" w:rsidR="003714FA" w:rsidRDefault="003714FA" w:rsidP="006A4E50">
      <w:pPr>
        <w:pStyle w:val="ListParagraph"/>
        <w:numPr>
          <w:ilvl w:val="0"/>
          <w:numId w:val="58"/>
        </w:numPr>
        <w:spacing w:after="120"/>
        <w:contextualSpacing w:val="0"/>
      </w:pPr>
      <w:r>
        <w:t xml:space="preserve">the permit application and modeling report (if submitted separately), </w:t>
      </w:r>
    </w:p>
    <w:p w14:paraId="4581E782" w14:textId="77777777" w:rsidR="003714FA" w:rsidRDefault="003714FA" w:rsidP="006A4E50">
      <w:pPr>
        <w:pStyle w:val="ListParagraph"/>
        <w:numPr>
          <w:ilvl w:val="0"/>
          <w:numId w:val="58"/>
        </w:numPr>
        <w:spacing w:after="120"/>
        <w:contextualSpacing w:val="0"/>
      </w:pPr>
      <w:r>
        <w:t xml:space="preserve">supplemental information provided by the applicant (if any), </w:t>
      </w:r>
    </w:p>
    <w:p w14:paraId="239B30C8" w14:textId="77777777" w:rsidR="003714FA" w:rsidRDefault="003714FA" w:rsidP="006A4E50">
      <w:pPr>
        <w:pStyle w:val="ListParagraph"/>
        <w:numPr>
          <w:ilvl w:val="0"/>
          <w:numId w:val="58"/>
        </w:numPr>
        <w:spacing w:after="120"/>
        <w:contextualSpacing w:val="0"/>
      </w:pPr>
      <w:r>
        <w:t xml:space="preserve">the modeling protocol and our reply (if these were developed), </w:t>
      </w:r>
    </w:p>
    <w:p w14:paraId="13AB383C" w14:textId="77777777" w:rsidR="003714FA" w:rsidRDefault="003714FA" w:rsidP="006A4E50">
      <w:pPr>
        <w:pStyle w:val="ListParagraph"/>
        <w:numPr>
          <w:ilvl w:val="0"/>
          <w:numId w:val="58"/>
        </w:numPr>
        <w:spacing w:after="120"/>
        <w:contextualSpacing w:val="0"/>
      </w:pPr>
      <w:r>
        <w:lastRenderedPageBreak/>
        <w:t xml:space="preserve">electronic files, </w:t>
      </w:r>
    </w:p>
    <w:p w14:paraId="2A990587" w14:textId="77777777" w:rsidR="003714FA" w:rsidRDefault="003714FA" w:rsidP="006A4E50">
      <w:pPr>
        <w:pStyle w:val="ListParagraph"/>
        <w:numPr>
          <w:ilvl w:val="0"/>
          <w:numId w:val="58"/>
        </w:numPr>
        <w:spacing w:after="120"/>
        <w:contextualSpacing w:val="0"/>
      </w:pPr>
      <w:r>
        <w:t>paper (real or electronic) to record your findings, and</w:t>
      </w:r>
    </w:p>
    <w:p w14:paraId="4B75DA91" w14:textId="77777777" w:rsidR="003714FA" w:rsidRDefault="003714FA" w:rsidP="006A4E50">
      <w:pPr>
        <w:pStyle w:val="ListParagraph"/>
        <w:numPr>
          <w:ilvl w:val="0"/>
          <w:numId w:val="58"/>
        </w:numPr>
        <w:spacing w:after="120"/>
        <w:contextualSpacing w:val="0"/>
      </w:pPr>
      <w:r>
        <w:t xml:space="preserve">the applicable template for modeling reviews.  </w:t>
      </w:r>
    </w:p>
    <w:p w14:paraId="034ED44E" w14:textId="3CD54551" w:rsidR="003714FA" w:rsidRDefault="00FB4260" w:rsidP="003714FA">
      <w:r w:rsidRPr="00B35CFC">
        <w:rPr>
          <w:u w:val="single"/>
        </w:rPr>
        <w:t>N</w:t>
      </w:r>
      <w:r w:rsidR="00B35CFC">
        <w:rPr>
          <w:u w:val="single"/>
        </w:rPr>
        <w:t>ote</w:t>
      </w:r>
      <w:proofErr w:type="gramStart"/>
      <w:r>
        <w:t xml:space="preserve">: </w:t>
      </w:r>
      <w:r w:rsidR="00B35CFC">
        <w:t xml:space="preserve"> </w:t>
      </w:r>
      <w:r w:rsidR="003714FA" w:rsidRPr="000958CC">
        <w:t>A</w:t>
      </w:r>
      <w:proofErr w:type="gramEnd"/>
      <w:r w:rsidR="003714FA" w:rsidRPr="000958CC">
        <w:t xml:space="preserve"> modeling protocol is not </w:t>
      </w:r>
      <w:r w:rsidR="00CD3984">
        <w:t>generally</w:t>
      </w:r>
      <w:r w:rsidR="00FA1C5A">
        <w:t xml:space="preserve"> </w:t>
      </w:r>
      <w:r w:rsidR="003714FA" w:rsidRPr="000958CC">
        <w:t>required</w:t>
      </w:r>
      <w:r w:rsidR="003714FA">
        <w:t>; h</w:t>
      </w:r>
      <w:r w:rsidR="003714FA" w:rsidRPr="000958CC">
        <w:t>owever, it is very helpful to ensure that the modeling tools, procedures, input data, and assumptions that are used by an applicant are consistent with State and Federal guidance</w:t>
      </w:r>
      <w:r w:rsidR="003714FA">
        <w:t>.</w:t>
      </w:r>
      <w:r w:rsidR="0024266A">
        <w:t xml:space="preserve">  Modeling protocols are also recommended by EPA (e.g., </w:t>
      </w:r>
      <w:r w:rsidR="00A90F50">
        <w:t xml:space="preserve">see </w:t>
      </w:r>
      <w:r w:rsidR="0024266A">
        <w:t xml:space="preserve">Section 9.2.1 of the </w:t>
      </w:r>
      <w:hyperlink r:id="rId24" w:history="1">
        <w:r w:rsidR="00196955" w:rsidRPr="00196955">
          <w:rPr>
            <w:rStyle w:val="Hyperlink"/>
          </w:rPr>
          <w:t>Guideline</w:t>
        </w:r>
      </w:hyperlink>
      <w:r w:rsidR="00196955" w:rsidRPr="004B7A0E">
        <w:rPr>
          <w:rStyle w:val="Hyperlink"/>
          <w:u w:val="none"/>
        </w:rPr>
        <w:t>).</w:t>
      </w:r>
      <w:r w:rsidR="00196955" w:rsidRPr="0094047C">
        <w:rPr>
          <w:rStyle w:val="FootnoteReference"/>
          <w:color w:val="0000FF"/>
        </w:rPr>
        <w:footnoteReference w:id="1"/>
      </w:r>
      <w:r w:rsidR="0024266A">
        <w:t xml:space="preserve"> </w:t>
      </w:r>
    </w:p>
    <w:p w14:paraId="02336FD5" w14:textId="77777777" w:rsidR="00FB4260" w:rsidRPr="00FB4260" w:rsidRDefault="00FB4260" w:rsidP="00FB4260">
      <w:pPr>
        <w:spacing w:after="120"/>
        <w:rPr>
          <w:i/>
        </w:rPr>
      </w:pPr>
      <w:r w:rsidRPr="00FB4260">
        <w:rPr>
          <w:i/>
        </w:rPr>
        <w:t>Helpful tip:</w:t>
      </w:r>
    </w:p>
    <w:p w14:paraId="0A55FA67" w14:textId="77777777" w:rsidR="003714FA" w:rsidRPr="00FB4260" w:rsidRDefault="003714FA" w:rsidP="00FB4260">
      <w:pPr>
        <w:rPr>
          <w:i/>
        </w:rPr>
      </w:pPr>
      <w:r w:rsidRPr="00FB4260">
        <w:rPr>
          <w:i/>
        </w:rPr>
        <w:t>Check the “</w:t>
      </w:r>
      <w:proofErr w:type="spellStart"/>
      <w:r w:rsidRPr="00FB4260">
        <w:rPr>
          <w:i/>
        </w:rPr>
        <w:t>AirFacs</w:t>
      </w:r>
      <w:proofErr w:type="spellEnd"/>
      <w:r w:rsidRPr="00FB4260">
        <w:rPr>
          <w:i/>
        </w:rPr>
        <w:t xml:space="preserve">” directory on the Juneau server to see if there was a “pre-application” folder created for this project </w:t>
      </w:r>
      <w:r w:rsidR="00FB4260">
        <w:rPr>
          <w:i/>
        </w:rPr>
        <w:t>that includes</w:t>
      </w:r>
      <w:r w:rsidRPr="00FB4260">
        <w:rPr>
          <w:i/>
        </w:rPr>
        <w:t xml:space="preserve"> additional correspondence with the applicant </w:t>
      </w:r>
      <w:r w:rsidR="00AD6E23">
        <w:rPr>
          <w:i/>
        </w:rPr>
        <w:t>regarding issues that may be pertinent to the</w:t>
      </w:r>
      <w:r w:rsidRPr="00FB4260">
        <w:rPr>
          <w:i/>
        </w:rPr>
        <w:t xml:space="preserve"> ambient demonstratio</w:t>
      </w:r>
      <w:r w:rsidR="00AD6E23">
        <w:rPr>
          <w:i/>
        </w:rPr>
        <w:t>n.</w:t>
      </w:r>
    </w:p>
    <w:p w14:paraId="1F73F87D" w14:textId="77777777" w:rsidR="003714FA" w:rsidRPr="003714FA" w:rsidRDefault="00FB2D7D" w:rsidP="003714FA">
      <w:pPr>
        <w:rPr>
          <w:b/>
        </w:rPr>
      </w:pPr>
      <w:hyperlink w:anchor="Completeness" w:history="1">
        <w:r w:rsidRPr="00FB2D7D">
          <w:rPr>
            <w:rStyle w:val="Hyperlink"/>
            <w:b/>
          </w:rPr>
          <w:t xml:space="preserve">Completeness, </w:t>
        </w:r>
        <w:r w:rsidR="003714FA" w:rsidRPr="00FB2D7D">
          <w:rPr>
            <w:rStyle w:val="Hyperlink"/>
            <w:b/>
          </w:rPr>
          <w:t>Preliminary Review</w:t>
        </w:r>
      </w:hyperlink>
      <w:r w:rsidR="00987722">
        <w:rPr>
          <w:b/>
        </w:rPr>
        <w:t xml:space="preserve"> and </w:t>
      </w:r>
      <w:hyperlink w:anchor="CoordinatePermitEngineer" w:history="1">
        <w:r w:rsidR="00987722" w:rsidRPr="00072EA6">
          <w:rPr>
            <w:rStyle w:val="Hyperlink"/>
            <w:b/>
          </w:rPr>
          <w:t>Coordination with the Lead Permit Engineer</w:t>
        </w:r>
      </w:hyperlink>
    </w:p>
    <w:p w14:paraId="3F1092AB" w14:textId="77777777" w:rsidR="00FB4260" w:rsidRDefault="003714FA" w:rsidP="006A4E50">
      <w:pPr>
        <w:pStyle w:val="ListParagraph"/>
        <w:numPr>
          <w:ilvl w:val="0"/>
          <w:numId w:val="65"/>
        </w:numPr>
        <w:spacing w:after="120"/>
        <w:contextualSpacing w:val="0"/>
      </w:pPr>
      <w:r w:rsidRPr="003714FA">
        <w:t>Perform a preliminary review of the modeling analysis, supporting documentation, and electronic files to determine if there are</w:t>
      </w:r>
      <w:r w:rsidR="00FB4260">
        <w:t xml:space="preserve"> any obvious missing elements.</w:t>
      </w:r>
    </w:p>
    <w:p w14:paraId="79D787C7" w14:textId="77777777" w:rsidR="00FB4260" w:rsidRDefault="003714FA" w:rsidP="006A4E50">
      <w:pPr>
        <w:pStyle w:val="ListParagraph"/>
        <w:numPr>
          <w:ilvl w:val="0"/>
          <w:numId w:val="65"/>
        </w:numPr>
        <w:spacing w:after="120"/>
        <w:contextualSpacing w:val="0"/>
      </w:pPr>
      <w:r w:rsidRPr="003714FA">
        <w:t>Supporting documentation may include plot plans of the facility, topographic maps, and aerial photographs.  Applicants sometimes forget to provide the input, output and data files for preprocessor programs</w:t>
      </w:r>
      <w:r w:rsidR="007B2BB9">
        <w:t xml:space="preserve"> or</w:t>
      </w:r>
      <w:r w:rsidRPr="003714FA">
        <w:t xml:space="preserve"> sometimes overlook the modeling files for a partic</w:t>
      </w:r>
      <w:r w:rsidR="007B2BB9">
        <w:t>ular pollutant</w:t>
      </w:r>
      <w:r w:rsidRPr="003714FA">
        <w:t xml:space="preserve">.  </w:t>
      </w:r>
    </w:p>
    <w:p w14:paraId="5C80DF71" w14:textId="77777777" w:rsidR="00FB4260" w:rsidRDefault="00FB4260" w:rsidP="006A4E50">
      <w:pPr>
        <w:pStyle w:val="ListParagraph"/>
        <w:numPr>
          <w:ilvl w:val="0"/>
          <w:numId w:val="65"/>
        </w:numPr>
        <w:spacing w:after="120"/>
        <w:contextualSpacing w:val="0"/>
      </w:pPr>
      <w:r>
        <w:t xml:space="preserve">The lead permit engineer may have </w:t>
      </w:r>
      <w:r w:rsidRPr="003714FA">
        <w:t>spec</w:t>
      </w:r>
      <w:r>
        <w:t xml:space="preserve">ial conditions or circumstances </w:t>
      </w:r>
      <w:r w:rsidR="007B2BB9">
        <w:t xml:space="preserve">that </w:t>
      </w:r>
      <w:r w:rsidRPr="003714FA">
        <w:t xml:space="preserve">you </w:t>
      </w:r>
      <w:r>
        <w:t xml:space="preserve">may </w:t>
      </w:r>
      <w:r w:rsidRPr="003714FA">
        <w:t xml:space="preserve">need to be aware </w:t>
      </w:r>
      <w:r>
        <w:t xml:space="preserve">of.  </w:t>
      </w:r>
      <w:r w:rsidRPr="003714FA">
        <w:t>Have you had d</w:t>
      </w:r>
      <w:r>
        <w:t xml:space="preserve">iscussions with the </w:t>
      </w:r>
      <w:r w:rsidRPr="003714FA">
        <w:t>engineer before beginning your review?</w:t>
      </w:r>
    </w:p>
    <w:p w14:paraId="5708DF85" w14:textId="376EF422" w:rsidR="00987722" w:rsidRDefault="00987722" w:rsidP="003714FA">
      <w:r>
        <w:t xml:space="preserve">Missing items should be noted and requested through an </w:t>
      </w:r>
      <w:proofErr w:type="gramStart"/>
      <w:r>
        <w:t>incompleteness</w:t>
      </w:r>
      <w:proofErr w:type="gramEnd"/>
      <w:r>
        <w:t xml:space="preserve"> finding </w:t>
      </w:r>
      <w:r w:rsidRPr="00B46DB2">
        <w:rPr>
          <w:b/>
          <w:i/>
          <w:u w:val="single"/>
        </w:rPr>
        <w:t>if</w:t>
      </w:r>
      <w:r>
        <w:t xml:space="preserve"> the application is still in the completeness review phase.  If </w:t>
      </w:r>
      <w:r w:rsidR="005C76E7">
        <w:t>APP</w:t>
      </w:r>
      <w:r>
        <w:t xml:space="preserve"> has already deemed the application as “complete,” you may still ask the applicant for additional information under </w:t>
      </w:r>
      <w:hyperlink r:id="rId25" w:anchor="46.14.160" w:history="1">
        <w:r w:rsidRPr="00883B55">
          <w:rPr>
            <w:rStyle w:val="Hyperlink"/>
          </w:rPr>
          <w:t>AS 46.14.160(c)</w:t>
        </w:r>
      </w:hyperlink>
      <w:r>
        <w:t>.</w:t>
      </w:r>
      <w:r w:rsidR="00CD3984">
        <w:t xml:space="preserve"> </w:t>
      </w:r>
      <w:r>
        <w:t xml:space="preserve"> </w:t>
      </w:r>
      <w:r w:rsidRPr="00B46DB2">
        <w:rPr>
          <w:b/>
          <w:i/>
        </w:rPr>
        <w:t>However, coordinate this action with the permit engineer and supervisor – do not take this action unilaterally</w:t>
      </w:r>
      <w:r>
        <w:t xml:space="preserve">.  An </w:t>
      </w:r>
      <w:proofErr w:type="gramStart"/>
      <w:r>
        <w:t>incompleteness</w:t>
      </w:r>
      <w:proofErr w:type="gramEnd"/>
      <w:r>
        <w:t xml:space="preserve"> finding should also be noted in </w:t>
      </w:r>
      <w:r w:rsidRPr="005C76E7">
        <w:rPr>
          <w:b/>
        </w:rPr>
        <w:t>AirTools</w:t>
      </w:r>
      <w:r>
        <w:t xml:space="preserve"> (the permit management database).</w:t>
      </w:r>
      <w:r w:rsidR="005B54BF">
        <w:t xml:space="preserve">  You, or the permit engineer, may also need to place the application “on hold,” unless there </w:t>
      </w:r>
      <w:r w:rsidR="006C1FD7">
        <w:t>are</w:t>
      </w:r>
      <w:r w:rsidR="005B54BF">
        <w:t xml:space="preserve"> other aspects of the </w:t>
      </w:r>
      <w:r w:rsidR="006C1FD7">
        <w:t>permit process</w:t>
      </w:r>
      <w:r w:rsidR="005B54BF">
        <w:t xml:space="preserve"> that can be worked on while waiting for the requested information. </w:t>
      </w:r>
    </w:p>
    <w:p w14:paraId="0A73D99F" w14:textId="77777777" w:rsidR="003714FA" w:rsidRPr="003714FA" w:rsidRDefault="003714FA">
      <w:pPr>
        <w:rPr>
          <w:b/>
        </w:rPr>
      </w:pPr>
      <w:r w:rsidRPr="003714FA">
        <w:rPr>
          <w:b/>
        </w:rPr>
        <w:t>Performing the Review</w:t>
      </w:r>
    </w:p>
    <w:p w14:paraId="1970563F" w14:textId="77777777" w:rsidR="003714FA" w:rsidRDefault="003714FA" w:rsidP="003714FA">
      <w:r w:rsidRPr="003714FA">
        <w:t xml:space="preserve">As </w:t>
      </w:r>
      <w:r w:rsidR="00883B55">
        <w:t>you perform your review,</w:t>
      </w:r>
      <w:r w:rsidRPr="003714FA">
        <w:t xml:space="preserve"> be sure to document your findings at each step along the way rather than waiting until the end.  This is especially beneficial if the review cannot be completed at one sitting or in a short period of time</w:t>
      </w:r>
      <w:r w:rsidR="00883B55">
        <w:t xml:space="preserve"> or you need to wait for additional information to be returned by the applicant</w:t>
      </w:r>
      <w:r>
        <w:t>.</w:t>
      </w:r>
    </w:p>
    <w:p w14:paraId="05A96C2F" w14:textId="77777777" w:rsidR="008322BB" w:rsidRDefault="008322BB" w:rsidP="003714FA">
      <w:r>
        <w:lastRenderedPageBreak/>
        <w:t>As you perform the review, you will likely need to compare the discussion in the report to the actual data and parameters in the modeling files.</w:t>
      </w:r>
    </w:p>
    <w:p w14:paraId="4FA7EA84" w14:textId="77777777" w:rsidR="00FD4044" w:rsidRPr="00E168ED" w:rsidRDefault="00FD4044" w:rsidP="00CA74B5">
      <w:pPr>
        <w:keepNext/>
        <w:rPr>
          <w:b/>
          <w:i/>
          <w:szCs w:val="22"/>
        </w:rPr>
      </w:pPr>
      <w:hyperlink w:anchor="ProjectInformation" w:history="1">
        <w:r w:rsidRPr="00072EA6">
          <w:rPr>
            <w:rStyle w:val="Hyperlink"/>
            <w:b/>
            <w:i/>
            <w:szCs w:val="22"/>
          </w:rPr>
          <w:t>Project Description and Classification</w:t>
        </w:r>
      </w:hyperlink>
    </w:p>
    <w:p w14:paraId="77DCA091" w14:textId="2BEE7EA6" w:rsidR="0057425D" w:rsidRDefault="005B1567" w:rsidP="00FD4044">
      <w:pPr>
        <w:rPr>
          <w:szCs w:val="22"/>
        </w:rPr>
      </w:pPr>
      <w:r>
        <w:rPr>
          <w:szCs w:val="22"/>
        </w:rPr>
        <w:t xml:space="preserve">The applicant should </w:t>
      </w:r>
      <w:r w:rsidR="00CD7972">
        <w:rPr>
          <w:szCs w:val="22"/>
        </w:rPr>
        <w:t>describe</w:t>
      </w:r>
      <w:r>
        <w:rPr>
          <w:szCs w:val="22"/>
        </w:rPr>
        <w:t xml:space="preserve"> </w:t>
      </w:r>
      <w:r w:rsidR="00CD7972">
        <w:rPr>
          <w:szCs w:val="22"/>
        </w:rPr>
        <w:t>the basic who, what, where</w:t>
      </w:r>
      <w:r w:rsidR="00171FF2">
        <w:rPr>
          <w:szCs w:val="22"/>
        </w:rPr>
        <w:t>,</w:t>
      </w:r>
      <w:r w:rsidR="00CD7972">
        <w:rPr>
          <w:szCs w:val="22"/>
        </w:rPr>
        <w:t xml:space="preserve"> and when aspects of the</w:t>
      </w:r>
      <w:r w:rsidR="00340F78">
        <w:rPr>
          <w:szCs w:val="22"/>
        </w:rPr>
        <w:t>ir</w:t>
      </w:r>
      <w:r w:rsidR="00CD7972">
        <w:rPr>
          <w:szCs w:val="22"/>
        </w:rPr>
        <w:t xml:space="preserve"> </w:t>
      </w:r>
      <w:r w:rsidR="00340F78">
        <w:rPr>
          <w:szCs w:val="22"/>
        </w:rPr>
        <w:t xml:space="preserve">proposed </w:t>
      </w:r>
      <w:r w:rsidR="002A5D61">
        <w:rPr>
          <w:szCs w:val="22"/>
        </w:rPr>
        <w:t>project</w:t>
      </w:r>
      <w:r w:rsidR="00CD7972">
        <w:rPr>
          <w:szCs w:val="22"/>
        </w:rPr>
        <w:t xml:space="preserve">.  They should also clearly identify what </w:t>
      </w:r>
      <w:r w:rsidR="007C01F0">
        <w:rPr>
          <w:szCs w:val="22"/>
        </w:rPr>
        <w:t xml:space="preserve">air quality permit(s) they believe the project </w:t>
      </w:r>
      <w:r w:rsidR="00CD7972">
        <w:rPr>
          <w:szCs w:val="22"/>
        </w:rPr>
        <w:t>triggers</w:t>
      </w:r>
      <w:r w:rsidR="00340F78">
        <w:rPr>
          <w:szCs w:val="22"/>
        </w:rPr>
        <w:t xml:space="preserve"> – and for which air pollutants (if applicable), along with the </w:t>
      </w:r>
      <w:r w:rsidR="00CD7972">
        <w:rPr>
          <w:szCs w:val="22"/>
        </w:rPr>
        <w:t>ambient demonstration</w:t>
      </w:r>
      <w:r w:rsidR="007C01F0">
        <w:rPr>
          <w:szCs w:val="22"/>
        </w:rPr>
        <w:t xml:space="preserve">s required </w:t>
      </w:r>
      <w:r w:rsidR="00340F78">
        <w:rPr>
          <w:szCs w:val="22"/>
        </w:rPr>
        <w:t xml:space="preserve">(if any) </w:t>
      </w:r>
      <w:r w:rsidR="007C01F0">
        <w:rPr>
          <w:szCs w:val="22"/>
        </w:rPr>
        <w:t>for those permit classifications</w:t>
      </w:r>
      <w:r w:rsidR="00FD4044">
        <w:rPr>
          <w:szCs w:val="22"/>
        </w:rPr>
        <w:t xml:space="preserve">.  </w:t>
      </w:r>
      <w:r w:rsidR="006074CE">
        <w:rPr>
          <w:szCs w:val="22"/>
        </w:rPr>
        <w:t xml:space="preserve">It </w:t>
      </w:r>
      <w:r w:rsidR="002E11EB">
        <w:rPr>
          <w:szCs w:val="22"/>
        </w:rPr>
        <w:t>may</w:t>
      </w:r>
      <w:r w:rsidR="006074CE">
        <w:rPr>
          <w:szCs w:val="22"/>
        </w:rPr>
        <w:t xml:space="preserve"> be helpful to ask yourself the following questions during your initial review: </w:t>
      </w:r>
    </w:p>
    <w:p w14:paraId="207C6030" w14:textId="61473B66" w:rsidR="002E11EB" w:rsidRDefault="006074CE" w:rsidP="006A4E50">
      <w:pPr>
        <w:pStyle w:val="ListParagraph"/>
        <w:numPr>
          <w:ilvl w:val="0"/>
          <w:numId w:val="55"/>
        </w:numPr>
        <w:spacing w:after="120"/>
        <w:contextualSpacing w:val="0"/>
        <w:rPr>
          <w:szCs w:val="22"/>
        </w:rPr>
      </w:pPr>
      <w:r>
        <w:rPr>
          <w:szCs w:val="22"/>
        </w:rPr>
        <w:t xml:space="preserve">Do I understand what </w:t>
      </w:r>
      <w:r w:rsidR="002E11EB">
        <w:rPr>
          <w:szCs w:val="22"/>
        </w:rPr>
        <w:t>the</w:t>
      </w:r>
      <w:r w:rsidR="00B10178">
        <w:rPr>
          <w:szCs w:val="22"/>
        </w:rPr>
        <w:t xml:space="preserve"> applicant wants to </w:t>
      </w:r>
      <w:r w:rsidR="002E11EB">
        <w:rPr>
          <w:szCs w:val="22"/>
        </w:rPr>
        <w:t xml:space="preserve">build or modify?  (If not, ask them to clarify what they are proposing to do.) </w:t>
      </w:r>
    </w:p>
    <w:p w14:paraId="6608D9FA" w14:textId="04BEAD79" w:rsidR="002A5D61" w:rsidRDefault="002E11EB" w:rsidP="006A4E50">
      <w:pPr>
        <w:pStyle w:val="ListParagraph"/>
        <w:numPr>
          <w:ilvl w:val="0"/>
          <w:numId w:val="55"/>
        </w:numPr>
        <w:spacing w:after="120"/>
        <w:contextualSpacing w:val="0"/>
        <w:rPr>
          <w:szCs w:val="22"/>
        </w:rPr>
      </w:pPr>
      <w:r>
        <w:rPr>
          <w:szCs w:val="22"/>
        </w:rPr>
        <w:t>Do I understand where the project would be located?  (If not, ask them to provide a regional</w:t>
      </w:r>
      <w:r w:rsidR="00B10178">
        <w:rPr>
          <w:szCs w:val="22"/>
        </w:rPr>
        <w:t>/state</w:t>
      </w:r>
      <w:r>
        <w:rPr>
          <w:szCs w:val="22"/>
        </w:rPr>
        <w:t xml:space="preserve"> map that shows the project location.) </w:t>
      </w:r>
    </w:p>
    <w:p w14:paraId="03F56DB9" w14:textId="00A9FDF0" w:rsidR="00FD4044" w:rsidRDefault="00FD4044" w:rsidP="006A4E50">
      <w:pPr>
        <w:pStyle w:val="ListParagraph"/>
        <w:numPr>
          <w:ilvl w:val="0"/>
          <w:numId w:val="55"/>
        </w:numPr>
        <w:spacing w:after="120"/>
        <w:contextualSpacing w:val="0"/>
        <w:rPr>
          <w:szCs w:val="22"/>
        </w:rPr>
      </w:pPr>
      <w:r>
        <w:rPr>
          <w:szCs w:val="22"/>
        </w:rPr>
        <w:t>Has the applicant clearly and accurately identified the permit classifications for this project</w:t>
      </w:r>
      <w:r w:rsidR="002E11EB">
        <w:rPr>
          <w:szCs w:val="22"/>
        </w:rPr>
        <w:t xml:space="preserve"> and the associated ambient demonstration requirements</w:t>
      </w:r>
      <w:r>
        <w:rPr>
          <w:szCs w:val="22"/>
        </w:rPr>
        <w:t xml:space="preserve">?  </w:t>
      </w:r>
    </w:p>
    <w:p w14:paraId="797EF199" w14:textId="77777777" w:rsidR="004C594C" w:rsidRPr="004C594C" w:rsidRDefault="00FD4044" w:rsidP="006A4E50">
      <w:pPr>
        <w:pStyle w:val="ListParagraph"/>
        <w:numPr>
          <w:ilvl w:val="0"/>
          <w:numId w:val="55"/>
        </w:numPr>
        <w:spacing w:after="120"/>
        <w:contextualSpacing w:val="0"/>
        <w:rPr>
          <w:szCs w:val="22"/>
        </w:rPr>
      </w:pPr>
      <w:r>
        <w:rPr>
          <w:szCs w:val="22"/>
        </w:rPr>
        <w:t xml:space="preserve">Do you and </w:t>
      </w:r>
      <w:proofErr w:type="gramStart"/>
      <w:r>
        <w:rPr>
          <w:szCs w:val="22"/>
        </w:rPr>
        <w:t xml:space="preserve">the </w:t>
      </w:r>
      <w:r w:rsidRPr="00F455BD">
        <w:rPr>
          <w:szCs w:val="22"/>
        </w:rPr>
        <w:t>permit</w:t>
      </w:r>
      <w:proofErr w:type="gramEnd"/>
      <w:r w:rsidRPr="00F455BD">
        <w:rPr>
          <w:szCs w:val="22"/>
        </w:rPr>
        <w:t xml:space="preserve"> engineer a</w:t>
      </w:r>
      <w:r>
        <w:rPr>
          <w:szCs w:val="22"/>
        </w:rPr>
        <w:t>gree with these classifications?</w:t>
      </w:r>
    </w:p>
    <w:p w14:paraId="16077EE9" w14:textId="77777777" w:rsidR="004C594C" w:rsidRPr="004C594C" w:rsidRDefault="004C594C" w:rsidP="0057425D">
      <w:pPr>
        <w:keepNext/>
        <w:spacing w:after="120"/>
        <w:rPr>
          <w:i/>
        </w:rPr>
      </w:pPr>
      <w:r>
        <w:tab/>
      </w:r>
      <w:r w:rsidR="00D4406A" w:rsidRPr="004C594C">
        <w:rPr>
          <w:i/>
        </w:rPr>
        <w:t>Helpful tip</w:t>
      </w:r>
      <w:r>
        <w:rPr>
          <w:i/>
        </w:rPr>
        <w:t>s</w:t>
      </w:r>
      <w:r w:rsidR="00FD4044" w:rsidRPr="004C594C">
        <w:rPr>
          <w:i/>
        </w:rPr>
        <w:t>:</w:t>
      </w:r>
    </w:p>
    <w:p w14:paraId="389C5BBB" w14:textId="77777777" w:rsidR="004C594C" w:rsidRPr="004C594C" w:rsidRDefault="004C594C" w:rsidP="004C594C">
      <w:pPr>
        <w:pStyle w:val="ListParagraph"/>
        <w:rPr>
          <w:i/>
        </w:rPr>
      </w:pPr>
      <w:r w:rsidRPr="004C594C">
        <w:rPr>
          <w:i/>
          <w:szCs w:val="22"/>
        </w:rPr>
        <w:t>Use the tables shown in the Model Review Checklist to summarize what ambient assessments are required or requested.</w:t>
      </w:r>
    </w:p>
    <w:p w14:paraId="6177D96B" w14:textId="77777777" w:rsidR="002A5D61" w:rsidRDefault="00FD4044" w:rsidP="002A5D61">
      <w:pPr>
        <w:ind w:left="720"/>
        <w:rPr>
          <w:szCs w:val="22"/>
        </w:rPr>
      </w:pPr>
      <w:r>
        <w:rPr>
          <w:i/>
          <w:szCs w:val="22"/>
        </w:rPr>
        <w:t>Take the time to enter the project classification and obligations/requests, especially if you are juggling multiple projects. It will help you quickly recall the project scope if your review becomes interrupted</w:t>
      </w:r>
      <w:r>
        <w:rPr>
          <w:szCs w:val="22"/>
        </w:rPr>
        <w:t>.</w:t>
      </w:r>
    </w:p>
    <w:p w14:paraId="4DDCB875" w14:textId="7945CDE3" w:rsidR="002A5D61" w:rsidRPr="002A5D61" w:rsidRDefault="002A5D61" w:rsidP="002A5D61">
      <w:pPr>
        <w:rPr>
          <w:szCs w:val="22"/>
        </w:rPr>
      </w:pPr>
      <w:r>
        <w:rPr>
          <w:szCs w:val="22"/>
        </w:rPr>
        <w:t xml:space="preserve">If a modeling protocol was submitted, compare the protocol (and any comments by ADEC) to the </w:t>
      </w:r>
      <w:r w:rsidR="00ED06FD">
        <w:rPr>
          <w:szCs w:val="22"/>
        </w:rPr>
        <w:t xml:space="preserve">applicant’s </w:t>
      </w:r>
      <w:r>
        <w:rPr>
          <w:szCs w:val="22"/>
        </w:rPr>
        <w:t>modeling report to determine if the</w:t>
      </w:r>
      <w:r w:rsidR="00290728">
        <w:rPr>
          <w:szCs w:val="22"/>
        </w:rPr>
        <w:t>re are substantive changes that warrant further consideration</w:t>
      </w:r>
      <w:r>
        <w:rPr>
          <w:szCs w:val="22"/>
        </w:rPr>
        <w:t>.</w:t>
      </w:r>
      <w:r w:rsidR="00097E09">
        <w:rPr>
          <w:rStyle w:val="FootnoteReference"/>
          <w:szCs w:val="22"/>
        </w:rPr>
        <w:footnoteReference w:id="2"/>
      </w:r>
      <w:r w:rsidR="00977091">
        <w:rPr>
          <w:szCs w:val="22"/>
        </w:rPr>
        <w:t xml:space="preserve">  If the applicant did deviate from the protocol, evaluate whether the changes are appropriate.  </w:t>
      </w:r>
    </w:p>
    <w:p w14:paraId="279D517F" w14:textId="77777777" w:rsidR="003714FA" w:rsidRPr="00F33FC9" w:rsidRDefault="003714FA" w:rsidP="00C4392D">
      <w:pPr>
        <w:keepNext/>
        <w:rPr>
          <w:b/>
          <w:i/>
        </w:rPr>
      </w:pPr>
      <w:hyperlink w:anchor="ModelSelection" w:history="1">
        <w:r w:rsidRPr="00A52AE4">
          <w:rPr>
            <w:rStyle w:val="Hyperlink"/>
            <w:b/>
            <w:i/>
          </w:rPr>
          <w:t xml:space="preserve">Model </w:t>
        </w:r>
        <w:r w:rsidR="00A52AE4" w:rsidRPr="00A52AE4">
          <w:rPr>
            <w:rStyle w:val="Hyperlink"/>
            <w:b/>
            <w:i/>
          </w:rPr>
          <w:t xml:space="preserve">Selection </w:t>
        </w:r>
        <w:r w:rsidRPr="00A52AE4">
          <w:rPr>
            <w:rStyle w:val="Hyperlink"/>
            <w:b/>
            <w:i/>
          </w:rPr>
          <w:t>and Model Options</w:t>
        </w:r>
      </w:hyperlink>
    </w:p>
    <w:p w14:paraId="594C4BAD" w14:textId="77777777" w:rsidR="00C4392D" w:rsidRDefault="003714FA" w:rsidP="006A4E50">
      <w:pPr>
        <w:pStyle w:val="ListParagraph"/>
        <w:numPr>
          <w:ilvl w:val="0"/>
          <w:numId w:val="62"/>
        </w:numPr>
        <w:spacing w:after="120"/>
        <w:contextualSpacing w:val="0"/>
      </w:pPr>
      <w:proofErr w:type="gramStart"/>
      <w:r w:rsidRPr="003714FA">
        <w:t>Is</w:t>
      </w:r>
      <w:proofErr w:type="gramEnd"/>
      <w:r w:rsidR="00D32069">
        <w:t xml:space="preserve"> </w:t>
      </w:r>
      <w:r w:rsidRPr="003714FA">
        <w:t xml:space="preserve">the model and version </w:t>
      </w:r>
      <w:r w:rsidR="004C594C">
        <w:t>(for the model and associated</w:t>
      </w:r>
      <w:r w:rsidR="005A4097">
        <w:t xml:space="preserve"> </w:t>
      </w:r>
      <w:r w:rsidR="004C594C">
        <w:t>preprocessors or post-</w:t>
      </w:r>
      <w:r w:rsidR="005A4097">
        <w:t xml:space="preserve">processors) </w:t>
      </w:r>
      <w:r w:rsidRPr="003714FA">
        <w:t>appr</w:t>
      </w:r>
      <w:r w:rsidR="00D32069">
        <w:t xml:space="preserve">opriate for the pollutants and </w:t>
      </w:r>
      <w:r w:rsidRPr="003714FA">
        <w:t xml:space="preserve">regulatory obligations?  </w:t>
      </w:r>
      <w:r w:rsidR="00D32069">
        <w:t>Check all models if more than one was used for the modeling demonstration.</w:t>
      </w:r>
    </w:p>
    <w:p w14:paraId="5F00242E" w14:textId="77777777" w:rsidR="00C4392D" w:rsidRDefault="00F01B4D" w:rsidP="006A4E50">
      <w:pPr>
        <w:pStyle w:val="ListParagraph"/>
        <w:numPr>
          <w:ilvl w:val="0"/>
          <w:numId w:val="62"/>
        </w:numPr>
        <w:spacing w:after="120"/>
        <w:contextualSpacing w:val="0"/>
      </w:pPr>
      <w:r w:rsidRPr="00F01B4D">
        <w:t xml:space="preserve">If the applicant modified a model, was the modification approved and is adequate justification for the change, along with any correspondence showing the </w:t>
      </w:r>
      <w:proofErr w:type="gramStart"/>
      <w:r w:rsidRPr="00F01B4D">
        <w:t>approval,</w:t>
      </w:r>
      <w:proofErr w:type="gramEnd"/>
      <w:r w:rsidRPr="00F01B4D">
        <w:t xml:space="preserve"> provided in this document?  </w:t>
      </w:r>
    </w:p>
    <w:p w14:paraId="2378EDFA" w14:textId="77777777" w:rsidR="00C4392D" w:rsidRDefault="005A4097" w:rsidP="006A4E50">
      <w:pPr>
        <w:pStyle w:val="ListParagraph"/>
        <w:numPr>
          <w:ilvl w:val="0"/>
          <w:numId w:val="62"/>
        </w:numPr>
        <w:spacing w:after="120"/>
        <w:contextualSpacing w:val="0"/>
      </w:pPr>
      <w:r>
        <w:lastRenderedPageBreak/>
        <w:t>Each model (and associated</w:t>
      </w:r>
      <w:r w:rsidR="00F01B4D" w:rsidRPr="00F01B4D">
        <w:t xml:space="preserve"> preprocessor program</w:t>
      </w:r>
      <w:r>
        <w:t>(s)</w:t>
      </w:r>
      <w:r w:rsidR="00F01B4D" w:rsidRPr="00F01B4D">
        <w:t>) has its own unique set of options.  Since each model has its own unique requirements to control the processing, refer to the user’s guides for each model’s settings.</w:t>
      </w:r>
    </w:p>
    <w:p w14:paraId="714E4D8F" w14:textId="77777777" w:rsidR="00F775BD" w:rsidRDefault="00F01B4D" w:rsidP="006A4E50">
      <w:pPr>
        <w:pStyle w:val="ListParagraph"/>
        <w:numPr>
          <w:ilvl w:val="0"/>
          <w:numId w:val="62"/>
        </w:numPr>
        <w:spacing w:after="0"/>
        <w:contextualSpacing w:val="0"/>
      </w:pPr>
      <w:r w:rsidRPr="00F01B4D">
        <w:t xml:space="preserve">Are the options in the input files appropriate for the intended purpose?  </w:t>
      </w:r>
    </w:p>
    <w:p w14:paraId="64025A90" w14:textId="17C5BF09" w:rsidR="00544D6E" w:rsidRDefault="00BA32BA" w:rsidP="006A4E50">
      <w:pPr>
        <w:pStyle w:val="ListParagraph"/>
        <w:spacing w:after="120"/>
        <w:contextualSpacing w:val="0"/>
      </w:pPr>
      <w:r w:rsidRPr="006A4E50">
        <w:rPr>
          <w:u w:val="single"/>
        </w:rPr>
        <w:t>Caution</w:t>
      </w:r>
      <w:r w:rsidR="00544D6E">
        <w:t xml:space="preserve">: Sometimes </w:t>
      </w:r>
      <w:r w:rsidR="009842B7">
        <w:t xml:space="preserve">a </w:t>
      </w:r>
      <w:r w:rsidR="00544D6E">
        <w:t>seemingly unimpor</w:t>
      </w:r>
      <w:r w:rsidR="009842B7">
        <w:t>tant option</w:t>
      </w:r>
      <w:r w:rsidR="00544D6E">
        <w:t xml:space="preserve"> or keyword carr</w:t>
      </w:r>
      <w:r w:rsidR="009842B7">
        <w:t>ies</w:t>
      </w:r>
      <w:r w:rsidR="00544D6E">
        <w:t xml:space="preserve"> a big consequence</w:t>
      </w:r>
      <w:r w:rsidR="00BE0335">
        <w:t xml:space="preserve"> if used incorrectly</w:t>
      </w:r>
      <w:r>
        <w:t>.  T</w:t>
      </w:r>
      <w:r w:rsidR="00544D6E">
        <w:t xml:space="preserve">he </w:t>
      </w:r>
      <w:r>
        <w:t xml:space="preserve">dispersion </w:t>
      </w:r>
      <w:r w:rsidR="00544D6E">
        <w:t>model</w:t>
      </w:r>
      <w:r>
        <w:t xml:space="preserve"> (or a preprocessor or postprocessor)</w:t>
      </w:r>
      <w:r w:rsidR="00544D6E">
        <w:t xml:space="preserve"> may run</w:t>
      </w:r>
      <w:r w:rsidR="00AE32E4">
        <w:t>,</w:t>
      </w:r>
      <w:r w:rsidR="00544D6E">
        <w:t xml:space="preserve"> but </w:t>
      </w:r>
      <w:r w:rsidR="00AE32E4">
        <w:t xml:space="preserve">it may not provide </w:t>
      </w:r>
      <w:r w:rsidR="00544D6E">
        <w:t xml:space="preserve">the </w:t>
      </w:r>
      <w:r w:rsidR="00AE32E4">
        <w:t xml:space="preserve">correct </w:t>
      </w:r>
      <w:r w:rsidR="00544D6E">
        <w:t xml:space="preserve">results </w:t>
      </w:r>
      <w:r w:rsidR="009842B7">
        <w:t xml:space="preserve">for the </w:t>
      </w:r>
      <w:r w:rsidR="00AE32E4">
        <w:t xml:space="preserve">given </w:t>
      </w:r>
      <w:r w:rsidR="009842B7">
        <w:t>project classification, pollutant, or averaging time.</w:t>
      </w:r>
    </w:p>
    <w:p w14:paraId="49592AA4" w14:textId="77777777" w:rsidR="00F01B4D" w:rsidRPr="00F01B4D" w:rsidRDefault="00F01B4D" w:rsidP="00407F48">
      <w:pPr>
        <w:pStyle w:val="ListParagraph"/>
        <w:numPr>
          <w:ilvl w:val="0"/>
          <w:numId w:val="62"/>
        </w:numPr>
      </w:pPr>
      <w:r w:rsidRPr="00F01B4D">
        <w:t>Were any non-regulatory options used?  If so, be sure adequate justification is provid</w:t>
      </w:r>
      <w:r w:rsidR="002A5D61">
        <w:t>ed.</w:t>
      </w:r>
    </w:p>
    <w:p w14:paraId="7CC5B7BB" w14:textId="77777777" w:rsidR="006810F8" w:rsidRDefault="006810F8" w:rsidP="00F775BD">
      <w:pPr>
        <w:pStyle w:val="ListParagraph"/>
        <w:ind w:left="0"/>
        <w:rPr>
          <w:b/>
          <w:i/>
        </w:rPr>
      </w:pPr>
    </w:p>
    <w:p w14:paraId="48267F30" w14:textId="77777777" w:rsidR="00F775BD" w:rsidRPr="00F775BD" w:rsidRDefault="00F775BD" w:rsidP="00B10178">
      <w:pPr>
        <w:pStyle w:val="ListParagraph"/>
        <w:keepNext/>
        <w:ind w:left="0"/>
        <w:rPr>
          <w:b/>
          <w:i/>
        </w:rPr>
      </w:pPr>
      <w:hyperlink w:anchor="MeteorologicalData" w:history="1">
        <w:r w:rsidRPr="00A52AE4">
          <w:rPr>
            <w:rStyle w:val="Hyperlink"/>
            <w:b/>
            <w:i/>
          </w:rPr>
          <w:t>Meteorological Data</w:t>
        </w:r>
      </w:hyperlink>
    </w:p>
    <w:p w14:paraId="07EA30D4" w14:textId="77777777" w:rsidR="00F775BD" w:rsidRDefault="00F775BD" w:rsidP="00F775BD">
      <w:proofErr w:type="gramStart"/>
      <w:r>
        <w:t>The meteorology</w:t>
      </w:r>
      <w:proofErr w:type="gramEnd"/>
      <w:r>
        <w:t xml:space="preserve"> determines where and by how much the pollutants are transported and dispersed in the atmosphere.</w:t>
      </w:r>
      <w:r w:rsidR="00035CD9">
        <w:t xml:space="preserve">  The level of modeling – screening or refined – determines the meteorological data for the modeling.</w:t>
      </w:r>
    </w:p>
    <w:p w14:paraId="3E5FE711" w14:textId="77777777" w:rsidR="00035CD9" w:rsidRDefault="00035CD9" w:rsidP="006A4E50">
      <w:pPr>
        <w:pStyle w:val="ListParagraph"/>
        <w:numPr>
          <w:ilvl w:val="0"/>
          <w:numId w:val="62"/>
        </w:numPr>
        <w:spacing w:after="120"/>
        <w:contextualSpacing w:val="0"/>
      </w:pPr>
      <w:r>
        <w:t xml:space="preserve">Was screening or refined meteorology used?  </w:t>
      </w:r>
    </w:p>
    <w:p w14:paraId="00305DE8" w14:textId="77777777" w:rsidR="006A4E50" w:rsidRDefault="00035CD9" w:rsidP="00134EF0">
      <w:pPr>
        <w:pStyle w:val="ListParagraph"/>
        <w:keepNext/>
        <w:numPr>
          <w:ilvl w:val="0"/>
          <w:numId w:val="62"/>
        </w:numPr>
        <w:spacing w:after="0"/>
        <w:contextualSpacing w:val="0"/>
      </w:pPr>
      <w:r>
        <w:t xml:space="preserve">For screening meteorology, </w:t>
      </w:r>
    </w:p>
    <w:p w14:paraId="5A8F41E1" w14:textId="526F0999" w:rsidR="00035CD9" w:rsidRDefault="00CD3984" w:rsidP="006A4E50">
      <w:pPr>
        <w:pStyle w:val="ListParagraph"/>
        <w:numPr>
          <w:ilvl w:val="1"/>
          <w:numId w:val="62"/>
        </w:numPr>
        <w:spacing w:after="120"/>
        <w:contextualSpacing w:val="0"/>
      </w:pPr>
      <w:r>
        <w:t>W</w:t>
      </w:r>
      <w:r w:rsidR="00035CD9">
        <w:t xml:space="preserve">ere appropriate parameters used to develop </w:t>
      </w:r>
      <w:proofErr w:type="gramStart"/>
      <w:r w:rsidR="00035CD9">
        <w:t>the meteorology</w:t>
      </w:r>
      <w:proofErr w:type="gramEnd"/>
      <w:r w:rsidR="00035CD9">
        <w:t xml:space="preserve">?  </w:t>
      </w:r>
    </w:p>
    <w:p w14:paraId="44DF4236" w14:textId="77777777" w:rsidR="00035CD9" w:rsidRDefault="00035CD9" w:rsidP="00035CD9">
      <w:pPr>
        <w:pStyle w:val="ListParagraph"/>
        <w:numPr>
          <w:ilvl w:val="0"/>
          <w:numId w:val="62"/>
        </w:numPr>
      </w:pPr>
      <w:r>
        <w:t>For refined meteorology,</w:t>
      </w:r>
    </w:p>
    <w:p w14:paraId="3C3ED9A3" w14:textId="77777777" w:rsidR="002016E8" w:rsidRDefault="00F775BD" w:rsidP="00587B72">
      <w:pPr>
        <w:pStyle w:val="ListParagraph"/>
        <w:numPr>
          <w:ilvl w:val="1"/>
          <w:numId w:val="62"/>
        </w:numPr>
        <w:spacing w:after="120"/>
        <w:contextualSpacing w:val="0"/>
      </w:pPr>
      <w:r>
        <w:t xml:space="preserve">Review the source of the meteorological data.  </w:t>
      </w:r>
      <w:r w:rsidR="00CA74B5">
        <w:t xml:space="preserve">Is it </w:t>
      </w:r>
      <w:r w:rsidR="009C1B9B">
        <w:t xml:space="preserve">based on actual measurements or </w:t>
      </w:r>
      <w:r w:rsidR="00CE17C2">
        <w:t xml:space="preserve">is </w:t>
      </w:r>
      <w:proofErr w:type="gramStart"/>
      <w:r w:rsidR="00CE17C2">
        <w:t>it</w:t>
      </w:r>
      <w:proofErr w:type="gramEnd"/>
      <w:r w:rsidR="00CE17C2">
        <w:t xml:space="preserve"> prognostic</w:t>
      </w:r>
      <w:r w:rsidR="009C1B9B">
        <w:t xml:space="preserve"> data</w:t>
      </w:r>
      <w:r w:rsidR="00CA74B5">
        <w:t xml:space="preserve">?  </w:t>
      </w:r>
    </w:p>
    <w:p w14:paraId="798AC7C0" w14:textId="523007D3" w:rsidR="00DF2E90" w:rsidRDefault="009C1B9B" w:rsidP="002016E8">
      <w:pPr>
        <w:pStyle w:val="ListParagraph"/>
        <w:spacing w:after="120"/>
        <w:ind w:left="1620" w:right="270"/>
        <w:contextualSpacing w:val="0"/>
      </w:pPr>
      <w:r w:rsidRPr="009C1B9B">
        <w:rPr>
          <w:u w:val="single"/>
        </w:rPr>
        <w:t>Note</w:t>
      </w:r>
      <w:r>
        <w:t xml:space="preserve">: </w:t>
      </w:r>
      <w:r w:rsidR="00CE17C2" w:rsidRPr="00E368E8">
        <w:rPr>
          <w:i/>
        </w:rPr>
        <w:t>prognostic</w:t>
      </w:r>
      <w:r w:rsidRPr="00E368E8">
        <w:rPr>
          <w:i/>
        </w:rPr>
        <w:t xml:space="preserve"> data introduces a host of additional questions that must be worked through with the meteorologist in the Air Monitoring &amp; Quality Assurance </w:t>
      </w:r>
      <w:r w:rsidR="00DF2E90" w:rsidRPr="00E368E8">
        <w:rPr>
          <w:i/>
        </w:rPr>
        <w:t xml:space="preserve">(AM&amp;QA) </w:t>
      </w:r>
      <w:r w:rsidR="00C93C39" w:rsidRPr="00E368E8">
        <w:rPr>
          <w:i/>
        </w:rPr>
        <w:t>program</w:t>
      </w:r>
      <w:r w:rsidRPr="00E368E8">
        <w:rPr>
          <w:i/>
        </w:rPr>
        <w:t>, and possibl</w:t>
      </w:r>
      <w:r w:rsidR="003B5F48" w:rsidRPr="00E368E8">
        <w:rPr>
          <w:i/>
        </w:rPr>
        <w:t>y</w:t>
      </w:r>
      <w:r w:rsidRPr="00E368E8">
        <w:rPr>
          <w:i/>
        </w:rPr>
        <w:t xml:space="preserve"> with </w:t>
      </w:r>
      <w:r w:rsidR="00DF2E90" w:rsidRPr="00E368E8">
        <w:rPr>
          <w:i/>
        </w:rPr>
        <w:t xml:space="preserve">the </w:t>
      </w:r>
      <w:r w:rsidRPr="00E368E8">
        <w:rPr>
          <w:i/>
        </w:rPr>
        <w:t>Region 10</w:t>
      </w:r>
      <w:r w:rsidR="00DF2E90" w:rsidRPr="00E368E8">
        <w:rPr>
          <w:i/>
        </w:rPr>
        <w:t xml:space="preserve"> office of EPA</w:t>
      </w:r>
      <w:r w:rsidR="003A1639" w:rsidRPr="00E368E8">
        <w:rPr>
          <w:i/>
        </w:rPr>
        <w:t xml:space="preserve"> (R10)</w:t>
      </w:r>
      <w:r>
        <w:t xml:space="preserve">.  </w:t>
      </w:r>
    </w:p>
    <w:p w14:paraId="43FBE1F1" w14:textId="15C46D8F" w:rsidR="00035CD9" w:rsidRDefault="00F775BD" w:rsidP="00587B72">
      <w:pPr>
        <w:pStyle w:val="ListParagraph"/>
        <w:numPr>
          <w:ilvl w:val="1"/>
          <w:numId w:val="62"/>
        </w:numPr>
        <w:spacing w:after="120"/>
        <w:contextualSpacing w:val="0"/>
      </w:pPr>
      <w:r>
        <w:t xml:space="preserve">Is </w:t>
      </w:r>
      <w:r w:rsidR="00DF2E90">
        <w:t xml:space="preserve">the meteorological data </w:t>
      </w:r>
      <w:r>
        <w:t xml:space="preserve">model-ready?  If so, how was it obtained and </w:t>
      </w:r>
      <w:r w:rsidR="00CE17C2">
        <w:t xml:space="preserve">was </w:t>
      </w:r>
      <w:r>
        <w:t xml:space="preserve">it </w:t>
      </w:r>
      <w:r w:rsidR="00CE17C2">
        <w:t xml:space="preserve">previously </w:t>
      </w:r>
      <w:r>
        <w:t>approved by ADEC?</w:t>
      </w:r>
    </w:p>
    <w:p w14:paraId="3117A99A" w14:textId="2BABC1D8" w:rsidR="00035CD9" w:rsidRDefault="00F775BD" w:rsidP="00587B72">
      <w:pPr>
        <w:pStyle w:val="ListParagraph"/>
        <w:numPr>
          <w:ilvl w:val="1"/>
          <w:numId w:val="62"/>
        </w:numPr>
        <w:spacing w:after="120"/>
        <w:contextualSpacing w:val="0"/>
      </w:pPr>
      <w:r>
        <w:t xml:space="preserve">If the data </w:t>
      </w:r>
      <w:proofErr w:type="gramStart"/>
      <w:r>
        <w:t>are</w:t>
      </w:r>
      <w:proofErr w:type="gramEnd"/>
      <w:r>
        <w:t xml:space="preserve"> not model-ready and need preprocessing, how was </w:t>
      </w:r>
      <w:r w:rsidR="00CE17C2">
        <w:t xml:space="preserve">the preprocessing </w:t>
      </w:r>
      <w:r>
        <w:t>performed?  Is there an adequate description of the process (including program options)?</w:t>
      </w:r>
    </w:p>
    <w:p w14:paraId="73D2449F" w14:textId="687FD55C" w:rsidR="00591744" w:rsidRDefault="0077603A" w:rsidP="00587B72">
      <w:pPr>
        <w:pStyle w:val="ListParagraph"/>
        <w:numPr>
          <w:ilvl w:val="1"/>
          <w:numId w:val="62"/>
        </w:numPr>
        <w:contextualSpacing w:val="0"/>
      </w:pPr>
      <w:r>
        <w:rPr>
          <w:b/>
        </w:rPr>
        <w:t>And</w:t>
      </w:r>
      <w:r w:rsidRPr="00035CD9">
        <w:rPr>
          <w:b/>
        </w:rPr>
        <w:t xml:space="preserve"> </w:t>
      </w:r>
      <w:r w:rsidR="00591744" w:rsidRPr="00035CD9">
        <w:rPr>
          <w:b/>
        </w:rPr>
        <w:t>the most important question</w:t>
      </w:r>
      <w:r w:rsidR="00591744">
        <w:t xml:space="preserve">:  Are the </w:t>
      </w:r>
      <w:hyperlink w:anchor="RepresentativeMeteorology" w:history="1">
        <w:r w:rsidR="00591744" w:rsidRPr="00A52AE4">
          <w:rPr>
            <w:rStyle w:val="Hyperlink"/>
          </w:rPr>
          <w:t>data representative</w:t>
        </w:r>
      </w:hyperlink>
      <w:r w:rsidR="00591744">
        <w:t xml:space="preserve"> of the </w:t>
      </w:r>
      <w:r>
        <w:t>plume transport conditions for the modeled emissions units</w:t>
      </w:r>
      <w:r w:rsidR="00591744">
        <w:t>?  Even model-ready data may not be representative.</w:t>
      </w:r>
    </w:p>
    <w:p w14:paraId="649F7322" w14:textId="7BF1C2CC" w:rsidR="009E2CA7" w:rsidRDefault="009E2CA7" w:rsidP="006A4E50">
      <w:pPr>
        <w:pStyle w:val="ListParagraph"/>
        <w:numPr>
          <w:ilvl w:val="0"/>
          <w:numId w:val="63"/>
        </w:numPr>
        <w:spacing w:after="120"/>
        <w:contextualSpacing w:val="0"/>
      </w:pPr>
      <w:r>
        <w:t xml:space="preserve">AERMET, AERSCREEN, and CALMET require information </w:t>
      </w:r>
      <w:r w:rsidR="00E20E86">
        <w:t xml:space="preserve">regarding nearby </w:t>
      </w:r>
      <w:r>
        <w:t>land use/land cover (LULC).  Determine if appropriate data</w:t>
      </w:r>
      <w:r w:rsidR="00E20E86">
        <w:t>/information</w:t>
      </w:r>
      <w:r>
        <w:t xml:space="preserve"> were used</w:t>
      </w:r>
      <w:r w:rsidR="00E20E86">
        <w:t xml:space="preserve"> for deriving these values</w:t>
      </w:r>
      <w:r>
        <w:t xml:space="preserve">.  </w:t>
      </w:r>
      <w:r w:rsidR="00E20E86">
        <w:t xml:space="preserve">When using site-specific meteorological data, check the Quality Assurance Project Plan (QAPP) for information and pictures regarding the project site.  </w:t>
      </w:r>
      <w:r>
        <w:t xml:space="preserve">The </w:t>
      </w:r>
      <w:r w:rsidRPr="00F33FC9">
        <w:t>United States Geological Survey (USGS)</w:t>
      </w:r>
      <w:r>
        <w:t xml:space="preserve"> </w:t>
      </w:r>
      <w:r w:rsidR="00E20E86">
        <w:t xml:space="preserve">can also be </w:t>
      </w:r>
      <w:r>
        <w:t xml:space="preserve">a source </w:t>
      </w:r>
      <w:r w:rsidR="00E20E86">
        <w:t>for LULC data, but it may not be in a format that can be used in the current AERSURFACE preprocessor for AERMET/AERSCREEN</w:t>
      </w:r>
      <w:r>
        <w:t>.</w:t>
      </w:r>
      <w:r w:rsidR="00E20E86">
        <w:t xml:space="preserve"> (See the </w:t>
      </w:r>
      <w:hyperlink r:id="rId26" w:history="1">
        <w:r w:rsidR="00E20E86" w:rsidRPr="00C8282C">
          <w:rPr>
            <w:rStyle w:val="Hyperlink"/>
            <w:i/>
          </w:rPr>
          <w:t xml:space="preserve">ADEC Guidance re </w:t>
        </w:r>
        <w:r w:rsidR="00E20E86" w:rsidRPr="00C8282C">
          <w:rPr>
            <w:rStyle w:val="Hyperlink"/>
            <w:i/>
          </w:rPr>
          <w:lastRenderedPageBreak/>
          <w:t>AERMET</w:t>
        </w:r>
        <w:r w:rsidR="00C8282C" w:rsidRPr="00C8282C">
          <w:rPr>
            <w:rStyle w:val="Hyperlink"/>
            <w:i/>
          </w:rPr>
          <w:t xml:space="preserve"> Geometric Means</w:t>
        </w:r>
      </w:hyperlink>
      <w:r w:rsidR="00C8282C">
        <w:t xml:space="preserve"> for guidance regarding a possible alternative to AERSURFACE.) </w:t>
      </w:r>
    </w:p>
    <w:p w14:paraId="5410C46E" w14:textId="10786179" w:rsidR="00591744" w:rsidRDefault="009E2CA7" w:rsidP="006A4E50">
      <w:pPr>
        <w:pStyle w:val="ListParagraph"/>
        <w:numPr>
          <w:ilvl w:val="0"/>
          <w:numId w:val="63"/>
        </w:numPr>
        <w:spacing w:after="120"/>
        <w:contextualSpacing w:val="0"/>
      </w:pPr>
      <w:r>
        <w:t xml:space="preserve">LULC data are used to develop </w:t>
      </w:r>
      <w:hyperlink w:anchor="SurfaceCharacteristics" w:history="1">
        <w:r w:rsidR="00591744" w:rsidRPr="006A4E50">
          <w:t>surface characteristics</w:t>
        </w:r>
      </w:hyperlink>
      <w:r>
        <w:t xml:space="preserve"> that are input to AERMET and AERSCREEN.  </w:t>
      </w:r>
      <w:r w:rsidR="00591744">
        <w:t xml:space="preserve">Is there </w:t>
      </w:r>
      <w:proofErr w:type="gramStart"/>
      <w:r w:rsidR="00591744">
        <w:t>a sufficient</w:t>
      </w:r>
      <w:proofErr w:type="gramEnd"/>
      <w:r w:rsidR="00591744">
        <w:t xml:space="preserve"> discussion </w:t>
      </w:r>
      <w:r>
        <w:t xml:space="preserve">on the development </w:t>
      </w:r>
      <w:r w:rsidR="00591744">
        <w:t>of these parameters?</w:t>
      </w:r>
      <w:r w:rsidR="00260BD0">
        <w:t xml:space="preserve">  Are the resulting surface characteristics reasonable? </w:t>
      </w:r>
    </w:p>
    <w:p w14:paraId="224C8B13" w14:textId="77777777" w:rsidR="00A52AE4" w:rsidRDefault="00A52AE4" w:rsidP="00407F48">
      <w:pPr>
        <w:pStyle w:val="ListParagraph"/>
        <w:numPr>
          <w:ilvl w:val="0"/>
          <w:numId w:val="63"/>
        </w:numPr>
      </w:pPr>
      <w:r>
        <w:t>Is there a discussion of</w:t>
      </w:r>
      <w:hyperlink w:anchor="MissingMetData" w:history="1">
        <w:r w:rsidRPr="00A52AE4">
          <w:rPr>
            <w:rStyle w:val="Hyperlink"/>
          </w:rPr>
          <w:t xml:space="preserve"> missing meteorological data</w:t>
        </w:r>
      </w:hyperlink>
      <w:r w:rsidR="007B2BB9">
        <w:t xml:space="preserve"> (if any are in the data)</w:t>
      </w:r>
      <w:r>
        <w:t>?</w:t>
      </w:r>
    </w:p>
    <w:p w14:paraId="6D802CF2" w14:textId="77777777" w:rsidR="006810F8" w:rsidRPr="006810F8" w:rsidRDefault="006810F8" w:rsidP="00D4187F">
      <w:pPr>
        <w:keepNext/>
        <w:rPr>
          <w:b/>
          <w:i/>
        </w:rPr>
      </w:pPr>
      <w:hyperlink w:anchor="Terrain" w:history="1">
        <w:r w:rsidRPr="00591744">
          <w:rPr>
            <w:rStyle w:val="Hyperlink"/>
            <w:b/>
            <w:i/>
          </w:rPr>
          <w:t>Terrain</w:t>
        </w:r>
      </w:hyperlink>
    </w:p>
    <w:p w14:paraId="69491FF8" w14:textId="2F5E18B8" w:rsidR="006810F8" w:rsidRDefault="006810F8" w:rsidP="006810F8">
      <w:r w:rsidRPr="00F33FC9">
        <w:t xml:space="preserve">Review the geographic coordinate system used as well as any </w:t>
      </w:r>
      <w:proofErr w:type="gramStart"/>
      <w:r w:rsidRPr="00F33FC9">
        <w:t>datum</w:t>
      </w:r>
      <w:proofErr w:type="gramEnd"/>
      <w:r w:rsidRPr="00F33FC9">
        <w:t xml:space="preserve"> and projection information needed in any of the modeling or preprocessing</w:t>
      </w:r>
      <w:r w:rsidR="00A17F42">
        <w:t xml:space="preserve"> of terrain data</w:t>
      </w:r>
      <w:r w:rsidRPr="00F33FC9">
        <w:t xml:space="preserve">.  </w:t>
      </w:r>
      <w:r>
        <w:t>AERMOD typically uses Universal Transverse Mercator (UTM) coordinate system whereas a modeling demonstration using CALPUFF would likely use a</w:t>
      </w:r>
      <w:r w:rsidRPr="00F33FC9">
        <w:t xml:space="preserve"> Lambert Conformal Conic (LCC) </w:t>
      </w:r>
      <w:r>
        <w:t>coordinate system</w:t>
      </w:r>
      <w:r w:rsidRPr="00F33FC9">
        <w:t>.</w:t>
      </w:r>
    </w:p>
    <w:p w14:paraId="355C6834" w14:textId="7105B77C" w:rsidR="006810F8" w:rsidRDefault="006810F8" w:rsidP="006810F8">
      <w:pPr>
        <w:pStyle w:val="ListParagraph"/>
        <w:ind w:left="0"/>
      </w:pPr>
      <w:hyperlink w:anchor="AERMAP" w:history="1">
        <w:r w:rsidRPr="00542061">
          <w:rPr>
            <w:rStyle w:val="Hyperlink"/>
          </w:rPr>
          <w:t>AERMAP</w:t>
        </w:r>
      </w:hyperlink>
      <w:r>
        <w:t xml:space="preserve"> is the usual way to obtain terrain elevations for </w:t>
      </w:r>
      <w:r w:rsidR="00FA037D">
        <w:t xml:space="preserve">the modeled emissions units (EUs) </w:t>
      </w:r>
      <w:r>
        <w:t xml:space="preserve">and receptors and the hill height scale for receptors in AERMOD.  AERMAP processes digital data to generate </w:t>
      </w:r>
      <w:proofErr w:type="gramStart"/>
      <w:r>
        <w:t>the elevation</w:t>
      </w:r>
      <w:proofErr w:type="gramEnd"/>
      <w:r>
        <w:t xml:space="preserve"> data.</w:t>
      </w:r>
    </w:p>
    <w:p w14:paraId="35165714" w14:textId="77777777" w:rsidR="006810F8" w:rsidRDefault="006810F8" w:rsidP="006810F8">
      <w:pPr>
        <w:pStyle w:val="ListParagraph"/>
        <w:ind w:left="0"/>
      </w:pPr>
    </w:p>
    <w:p w14:paraId="351758FB" w14:textId="77777777" w:rsidR="006810F8" w:rsidRDefault="006810F8" w:rsidP="00587B72">
      <w:pPr>
        <w:pStyle w:val="ListParagraph"/>
        <w:numPr>
          <w:ilvl w:val="0"/>
          <w:numId w:val="61"/>
        </w:numPr>
        <w:spacing w:after="120"/>
        <w:ind w:left="720"/>
        <w:contextualSpacing w:val="0"/>
      </w:pPr>
      <w:r w:rsidRPr="00F33FC9">
        <w:t>Review where the applicant obtained the terrain data.  The</w:t>
      </w:r>
      <w:r w:rsidR="009E2CA7">
        <w:t xml:space="preserve"> USGS</w:t>
      </w:r>
      <w:r w:rsidRPr="00F33FC9">
        <w:t xml:space="preserve"> is probably the most common source, but other sources are available.</w:t>
      </w:r>
    </w:p>
    <w:p w14:paraId="5BBD704C" w14:textId="77777777" w:rsidR="00FB2D7D" w:rsidRPr="00FB2D7D" w:rsidRDefault="00BE0335" w:rsidP="00587B72">
      <w:pPr>
        <w:pStyle w:val="ListParagraph"/>
        <w:numPr>
          <w:ilvl w:val="0"/>
          <w:numId w:val="61"/>
        </w:numPr>
        <w:ind w:left="720"/>
        <w:contextualSpacing w:val="0"/>
      </w:pPr>
      <w:r>
        <w:t xml:space="preserve">If the </w:t>
      </w:r>
      <w:r w:rsidR="00FB2D7D" w:rsidRPr="00F33FC9">
        <w:t xml:space="preserve">AERMAP preprocessor </w:t>
      </w:r>
      <w:r>
        <w:t>is used,</w:t>
      </w:r>
      <w:r w:rsidR="00FB2D7D" w:rsidRPr="00F33FC9">
        <w:t xml:space="preserve"> </w:t>
      </w:r>
      <w:r>
        <w:t>e</w:t>
      </w:r>
      <w:r w:rsidR="00FB2D7D" w:rsidRPr="00F33FC9">
        <w:t>xamine the</w:t>
      </w:r>
      <w:r>
        <w:t xml:space="preserve"> domain</w:t>
      </w:r>
      <w:r w:rsidR="00FB2D7D" w:rsidRPr="00F33FC9">
        <w:t xml:space="preserve"> limits to be sure the applicant is not ignoring an important, possibly controlling, terrain feature.  </w:t>
      </w:r>
    </w:p>
    <w:p w14:paraId="0D89E8A8" w14:textId="691730C8" w:rsidR="00783BDB" w:rsidRPr="00F33FC9" w:rsidRDefault="00783BDB" w:rsidP="00003C21">
      <w:pPr>
        <w:keepNext/>
        <w:rPr>
          <w:b/>
          <w:i/>
        </w:rPr>
      </w:pPr>
      <w:hyperlink w:anchor="EmissionUnitData" w:history="1">
        <w:r w:rsidRPr="00591744">
          <w:rPr>
            <w:rStyle w:val="Hyperlink"/>
            <w:b/>
            <w:i/>
          </w:rPr>
          <w:t>Emission</w:t>
        </w:r>
        <w:r w:rsidR="006E4E02">
          <w:rPr>
            <w:rStyle w:val="Hyperlink"/>
            <w:b/>
            <w:i/>
          </w:rPr>
          <w:t>s</w:t>
        </w:r>
        <w:r w:rsidRPr="00591744">
          <w:rPr>
            <w:rStyle w:val="Hyperlink"/>
            <w:b/>
            <w:i/>
          </w:rPr>
          <w:t xml:space="preserve"> Units</w:t>
        </w:r>
      </w:hyperlink>
      <w:r w:rsidRPr="00F33FC9">
        <w:rPr>
          <w:b/>
          <w:i/>
        </w:rPr>
        <w:t xml:space="preserve"> – </w:t>
      </w:r>
      <w:r>
        <w:rPr>
          <w:b/>
          <w:i/>
        </w:rPr>
        <w:t xml:space="preserve">Inventory, </w:t>
      </w:r>
      <w:r w:rsidRPr="00F33FC9">
        <w:rPr>
          <w:b/>
          <w:i/>
        </w:rPr>
        <w:t>Characterization</w:t>
      </w:r>
      <w:r>
        <w:rPr>
          <w:b/>
          <w:i/>
        </w:rPr>
        <w:t>,</w:t>
      </w:r>
      <w:r w:rsidRPr="00F33FC9">
        <w:rPr>
          <w:b/>
          <w:i/>
        </w:rPr>
        <w:t xml:space="preserve"> and Emission Rates</w:t>
      </w:r>
    </w:p>
    <w:p w14:paraId="7EAF2EB9" w14:textId="5DDD454C" w:rsidR="0071464A" w:rsidRDefault="00783BDB" w:rsidP="006A4E50">
      <w:pPr>
        <w:spacing w:after="120"/>
      </w:pPr>
      <w:r w:rsidRPr="00C20833">
        <w:t>Depending on the purpose of the modeling and what preliminary modeling shows (</w:t>
      </w:r>
      <w:r w:rsidR="002A212D">
        <w:t>if conducted</w:t>
      </w:r>
      <w:r w:rsidRPr="00C20833">
        <w:t xml:space="preserve">), the number of </w:t>
      </w:r>
      <w:r w:rsidR="00066C0D">
        <w:t xml:space="preserve">modeled </w:t>
      </w:r>
      <w:r w:rsidRPr="00C20833">
        <w:t xml:space="preserve">sources </w:t>
      </w:r>
      <w:r w:rsidR="00035CD9">
        <w:t xml:space="preserve">could be </w:t>
      </w:r>
      <w:r w:rsidR="00066C0D">
        <w:t xml:space="preserve">small </w:t>
      </w:r>
      <w:r w:rsidR="00035CD9">
        <w:t>or extensive.</w:t>
      </w:r>
    </w:p>
    <w:p w14:paraId="21A06A2B" w14:textId="51214532" w:rsidR="0071464A" w:rsidRDefault="00066C0D" w:rsidP="006A4E50">
      <w:pPr>
        <w:pStyle w:val="ListParagraph"/>
        <w:numPr>
          <w:ilvl w:val="0"/>
          <w:numId w:val="66"/>
        </w:numPr>
        <w:spacing w:after="120"/>
      </w:pPr>
      <w:r>
        <w:t>Check whether the applicant submi</w:t>
      </w:r>
      <w:r w:rsidR="00C94C78">
        <w:t>t</w:t>
      </w:r>
      <w:r>
        <w:t>t</w:t>
      </w:r>
      <w:r w:rsidR="000315F1">
        <w:t>ed</w:t>
      </w:r>
      <w:r>
        <w:t xml:space="preserve"> a project impact analysis</w:t>
      </w:r>
      <w:r w:rsidR="000315F1">
        <w:rPr>
          <w:rStyle w:val="FootnoteReference"/>
        </w:rPr>
        <w:footnoteReference w:id="3"/>
      </w:r>
      <w:r>
        <w:t xml:space="preserve"> </w:t>
      </w:r>
      <w:r w:rsidR="002A212D">
        <w:t>and/</w:t>
      </w:r>
      <w:r>
        <w:t xml:space="preserve">or a cumulative impact analysis.  Did they use the proper approach for the given situation?  </w:t>
      </w:r>
    </w:p>
    <w:p w14:paraId="2215A9F2" w14:textId="38493CE2" w:rsidR="0071464A" w:rsidRDefault="0071464A" w:rsidP="006A4E50">
      <w:pPr>
        <w:spacing w:after="120"/>
      </w:pPr>
      <w:r>
        <w:t>Use of the proper emission</w:t>
      </w:r>
      <w:r w:rsidR="00B35D6B">
        <w:t>s</w:t>
      </w:r>
      <w:r>
        <w:t xml:space="preserve"> rate</w:t>
      </w:r>
      <w:r w:rsidR="00233E85">
        <w:t xml:space="preserve"> and release parameters are</w:t>
      </w:r>
      <w:r>
        <w:t xml:space="preserve"> essential in air dispersion modeling.</w:t>
      </w:r>
    </w:p>
    <w:p w14:paraId="2EC69073" w14:textId="58C1D9C5" w:rsidR="00B10178" w:rsidRPr="0057425D" w:rsidRDefault="00B10178" w:rsidP="00B10178">
      <w:pPr>
        <w:pStyle w:val="ListParagraph"/>
        <w:numPr>
          <w:ilvl w:val="0"/>
          <w:numId w:val="56"/>
        </w:numPr>
        <w:spacing w:after="120"/>
        <w:contextualSpacing w:val="0"/>
        <w:rPr>
          <w:szCs w:val="22"/>
        </w:rPr>
      </w:pPr>
      <w:r w:rsidRPr="006074CE">
        <w:rPr>
          <w:snapToGrid w:val="0"/>
        </w:rPr>
        <w:t>Did the</w:t>
      </w:r>
      <w:r>
        <w:rPr>
          <w:snapToGrid w:val="0"/>
        </w:rPr>
        <w:t xml:space="preserve"> applicant</w:t>
      </w:r>
      <w:r w:rsidRPr="006074CE">
        <w:rPr>
          <w:snapToGrid w:val="0"/>
        </w:rPr>
        <w:t xml:space="preserve"> provide a </w:t>
      </w:r>
      <w:r>
        <w:rPr>
          <w:snapToGrid w:val="0"/>
        </w:rPr>
        <w:t>scaled plot plan of</w:t>
      </w:r>
      <w:r w:rsidRPr="0057425D">
        <w:rPr>
          <w:snapToGrid w:val="0"/>
        </w:rPr>
        <w:t xml:space="preserve"> sufficient resolution to identify the </w:t>
      </w:r>
      <w:r>
        <w:rPr>
          <w:snapToGrid w:val="0"/>
        </w:rPr>
        <w:t>EU</w:t>
      </w:r>
      <w:r w:rsidRPr="0057425D">
        <w:rPr>
          <w:snapToGrid w:val="0"/>
        </w:rPr>
        <w:t xml:space="preserve"> and building locations, ambient air boundaries, and any </w:t>
      </w:r>
      <w:r>
        <w:rPr>
          <w:snapToGrid w:val="0"/>
        </w:rPr>
        <w:t xml:space="preserve">nearby </w:t>
      </w:r>
      <w:r w:rsidRPr="0057425D">
        <w:rPr>
          <w:snapToGrid w:val="0"/>
        </w:rPr>
        <w:t>meteorological or air quality monitoring sites used in the analysis</w:t>
      </w:r>
      <w:r>
        <w:rPr>
          <w:szCs w:val="22"/>
        </w:rPr>
        <w:t>?</w:t>
      </w:r>
    </w:p>
    <w:p w14:paraId="342576D7" w14:textId="77777777" w:rsidR="00783BDB" w:rsidRPr="0071464A" w:rsidRDefault="008322BB" w:rsidP="00587B72">
      <w:pPr>
        <w:pStyle w:val="ListParagraph"/>
        <w:numPr>
          <w:ilvl w:val="0"/>
          <w:numId w:val="56"/>
        </w:numPr>
        <w:spacing w:after="120"/>
        <w:contextualSpacing w:val="0"/>
      </w:pPr>
      <w:r>
        <w:rPr>
          <w:snapToGrid w:val="0"/>
        </w:rPr>
        <w:t>Were a</w:t>
      </w:r>
      <w:r w:rsidR="00783BDB" w:rsidRPr="00372686">
        <w:rPr>
          <w:snapToGrid w:val="0"/>
        </w:rPr>
        <w:t>ppropriate short-term and long-term emission rates modeled for the corresponding short-term and long-term modeling assessments</w:t>
      </w:r>
      <w:r>
        <w:rPr>
          <w:snapToGrid w:val="0"/>
        </w:rPr>
        <w:t>?</w:t>
      </w:r>
    </w:p>
    <w:p w14:paraId="1C4CEC5A" w14:textId="1EECC82E" w:rsidR="000B0434" w:rsidRDefault="008322BB" w:rsidP="00587B72">
      <w:pPr>
        <w:pStyle w:val="ListParagraph"/>
        <w:numPr>
          <w:ilvl w:val="0"/>
          <w:numId w:val="56"/>
        </w:numPr>
        <w:spacing w:after="120"/>
        <w:contextualSpacing w:val="0"/>
      </w:pPr>
      <w:r>
        <w:lastRenderedPageBreak/>
        <w:t xml:space="preserve">The permit application must present the source type, emission rate, and associated </w:t>
      </w:r>
      <w:r w:rsidR="000B0434">
        <w:t>release</w:t>
      </w:r>
      <w:r>
        <w:t xml:space="preserve"> parameters in a clear and concise manner for each </w:t>
      </w:r>
      <w:r w:rsidR="006343AC">
        <w:t>EU</w:t>
      </w:r>
      <w:r>
        <w:t xml:space="preserve">.  Is each </w:t>
      </w:r>
      <w:r w:rsidR="006343AC">
        <w:t>EU</w:t>
      </w:r>
      <w:r>
        <w:t xml:space="preserve"> characterized correctly?</w:t>
      </w:r>
      <w:r w:rsidR="000B0434">
        <w:t xml:space="preserve">  </w:t>
      </w:r>
    </w:p>
    <w:p w14:paraId="62D99159" w14:textId="77777777" w:rsidR="00E368E8" w:rsidRPr="00E368E8" w:rsidRDefault="001B4D89" w:rsidP="001B4D89">
      <w:pPr>
        <w:pStyle w:val="ListParagraph"/>
        <w:numPr>
          <w:ilvl w:val="0"/>
          <w:numId w:val="56"/>
        </w:numPr>
        <w:spacing w:after="120"/>
        <w:contextualSpacing w:val="0"/>
      </w:pPr>
      <w:r>
        <w:rPr>
          <w:color w:val="000000"/>
        </w:rPr>
        <w:t xml:space="preserve">Do the emission rates equal or exceed the emissions rates in the permit application?  </w:t>
      </w:r>
      <w:r w:rsidR="00975175">
        <w:rPr>
          <w:color w:val="000000"/>
        </w:rPr>
        <w:t xml:space="preserve"> </w:t>
      </w:r>
    </w:p>
    <w:p w14:paraId="4E13EECB" w14:textId="4FA9DE4B" w:rsidR="001B4D89" w:rsidRDefault="00975175" w:rsidP="00E368E8">
      <w:pPr>
        <w:pStyle w:val="ListParagraph"/>
        <w:spacing w:after="120"/>
        <w:ind w:left="900"/>
        <w:contextualSpacing w:val="0"/>
      </w:pPr>
      <w:r w:rsidRPr="00975175">
        <w:rPr>
          <w:color w:val="000000"/>
          <w:u w:val="single"/>
        </w:rPr>
        <w:t>Note</w:t>
      </w:r>
      <w:r>
        <w:rPr>
          <w:color w:val="000000"/>
        </w:rPr>
        <w:t xml:space="preserve">: </w:t>
      </w:r>
      <w:r w:rsidRPr="00E368E8">
        <w:rPr>
          <w:i/>
          <w:color w:val="000000"/>
        </w:rPr>
        <w:t>applicants</w:t>
      </w:r>
      <w:r w:rsidR="001B4D89" w:rsidRPr="00E368E8">
        <w:rPr>
          <w:i/>
          <w:color w:val="000000"/>
        </w:rPr>
        <w:t xml:space="preserve"> </w:t>
      </w:r>
      <w:r w:rsidRPr="00E368E8">
        <w:rPr>
          <w:i/>
          <w:color w:val="000000"/>
        </w:rPr>
        <w:t>may</w:t>
      </w:r>
      <w:r w:rsidR="001B4D89" w:rsidRPr="00E368E8">
        <w:rPr>
          <w:i/>
          <w:color w:val="000000"/>
        </w:rPr>
        <w:t xml:space="preserve"> model emission rates </w:t>
      </w:r>
      <w:r w:rsidRPr="00E368E8">
        <w:rPr>
          <w:i/>
          <w:color w:val="000000"/>
        </w:rPr>
        <w:t>that are larger</w:t>
      </w:r>
      <w:r w:rsidR="001B4D89" w:rsidRPr="00E368E8">
        <w:rPr>
          <w:i/>
          <w:color w:val="000000"/>
        </w:rPr>
        <w:t xml:space="preserve"> than those presented in the permit application </w:t>
      </w:r>
      <w:proofErr w:type="gramStart"/>
      <w:r w:rsidR="001B4D89" w:rsidRPr="00E368E8">
        <w:rPr>
          <w:i/>
          <w:color w:val="000000"/>
        </w:rPr>
        <w:t>as long as</w:t>
      </w:r>
      <w:proofErr w:type="gramEnd"/>
      <w:r w:rsidR="001B4D89" w:rsidRPr="00E368E8">
        <w:rPr>
          <w:i/>
          <w:color w:val="000000"/>
        </w:rPr>
        <w:t xml:space="preserve"> </w:t>
      </w:r>
      <w:r w:rsidR="001B4D89" w:rsidRPr="00E368E8">
        <w:rPr>
          <w:i/>
          <w:color w:val="000000" w:themeColor="text1"/>
        </w:rPr>
        <w:t>it does not cause or contribute to a modeled violation of the air quality standards or increments (as applicable)</w:t>
      </w:r>
      <w:r w:rsidR="001B4D89" w:rsidRPr="001B4D89">
        <w:rPr>
          <w:color w:val="000000" w:themeColor="text1"/>
        </w:rPr>
        <w:t xml:space="preserve">. </w:t>
      </w:r>
    </w:p>
    <w:p w14:paraId="6DBCC121" w14:textId="6267A94F" w:rsidR="008322BB" w:rsidRDefault="008322BB" w:rsidP="00587B72">
      <w:pPr>
        <w:pStyle w:val="ListParagraph"/>
        <w:numPr>
          <w:ilvl w:val="0"/>
          <w:numId w:val="56"/>
        </w:numPr>
        <w:spacing w:after="120"/>
        <w:contextualSpacing w:val="0"/>
      </w:pPr>
      <w:r>
        <w:t>Verify consistency between the modeling files and information provided in the modeling report</w:t>
      </w:r>
      <w:r w:rsidR="000B0434">
        <w:t>.</w:t>
      </w:r>
    </w:p>
    <w:p w14:paraId="7D49F197" w14:textId="77777777" w:rsidR="00975175" w:rsidRDefault="00975175" w:rsidP="005A06F1">
      <w:pPr>
        <w:pStyle w:val="ListParagraph"/>
        <w:keepNext/>
        <w:numPr>
          <w:ilvl w:val="0"/>
          <w:numId w:val="56"/>
        </w:numPr>
        <w:spacing w:after="120"/>
        <w:contextualSpacing w:val="0"/>
      </w:pPr>
      <w:r>
        <w:t xml:space="preserve">Are the emission and release parameters in appropriate units for the given model? </w:t>
      </w:r>
    </w:p>
    <w:p w14:paraId="18C62F8F" w14:textId="27C429C8" w:rsidR="000B0434" w:rsidRDefault="00975175" w:rsidP="00975175">
      <w:pPr>
        <w:pStyle w:val="ListParagraph"/>
        <w:numPr>
          <w:ilvl w:val="1"/>
          <w:numId w:val="56"/>
        </w:numPr>
        <w:spacing w:after="120"/>
        <w:contextualSpacing w:val="0"/>
      </w:pPr>
      <w:r>
        <w:t xml:space="preserve">EPA’s air quality dispersion models typically require </w:t>
      </w:r>
      <w:r w:rsidR="000B0434">
        <w:t xml:space="preserve">metric </w:t>
      </w:r>
      <w:r>
        <w:t xml:space="preserve">inputs.  If the vendor or reference information is in English units, then the values </w:t>
      </w:r>
      <w:r w:rsidR="00C03B1A">
        <w:t xml:space="preserve">will </w:t>
      </w:r>
      <w:r>
        <w:t xml:space="preserve">likely need to be converted to metric.  </w:t>
      </w:r>
      <w:r w:rsidR="006A5D05">
        <w:t xml:space="preserve">However, the </w:t>
      </w:r>
      <w:proofErr w:type="gramStart"/>
      <w:r>
        <w:t>third</w:t>
      </w:r>
      <w:r w:rsidR="002A59F8">
        <w:t xml:space="preserve"> </w:t>
      </w:r>
      <w:r>
        <w:t>party</w:t>
      </w:r>
      <w:proofErr w:type="gramEnd"/>
      <w:r>
        <w:t xml:space="preserve"> software</w:t>
      </w:r>
      <w:r w:rsidR="00C03B1A">
        <w:t xml:space="preserve"> for AERMOD</w:t>
      </w:r>
      <w:r>
        <w:t xml:space="preserve"> will </w:t>
      </w:r>
      <w:r w:rsidR="00C03B1A">
        <w:t xml:space="preserve">accept either metric or English input and then convert the input to the requisite format prior to the actual analysis. </w:t>
      </w:r>
      <w:r>
        <w:t xml:space="preserve">  </w:t>
      </w:r>
      <w:r w:rsidR="000B0434">
        <w:t xml:space="preserve">  </w:t>
      </w:r>
    </w:p>
    <w:p w14:paraId="1E925242" w14:textId="77777777" w:rsidR="00E368E8" w:rsidRDefault="00975175" w:rsidP="00975175">
      <w:pPr>
        <w:pStyle w:val="ListParagraph"/>
        <w:numPr>
          <w:ilvl w:val="1"/>
          <w:numId w:val="56"/>
        </w:numPr>
        <w:spacing w:after="120"/>
        <w:contextualSpacing w:val="0"/>
      </w:pPr>
      <w:r>
        <w:t xml:space="preserve">Did the applicant use absolute temperature (Kelvin) for the stack release temperatures?   </w:t>
      </w:r>
    </w:p>
    <w:p w14:paraId="061B449D" w14:textId="6E6A6EF0" w:rsidR="00975175" w:rsidRDefault="00975175" w:rsidP="00E368E8">
      <w:pPr>
        <w:pStyle w:val="ListParagraph"/>
        <w:spacing w:after="120"/>
        <w:ind w:left="1620" w:right="90"/>
        <w:contextualSpacing w:val="0"/>
      </w:pPr>
      <w:r w:rsidRPr="00975175">
        <w:rPr>
          <w:u w:val="single"/>
        </w:rPr>
        <w:t>Note</w:t>
      </w:r>
      <w:proofErr w:type="gramStart"/>
      <w:r>
        <w:t xml:space="preserve">:  </w:t>
      </w:r>
      <w:r w:rsidRPr="00E368E8">
        <w:rPr>
          <w:i/>
        </w:rPr>
        <w:t>the</w:t>
      </w:r>
      <w:proofErr w:type="gramEnd"/>
      <w:r w:rsidRPr="00E368E8">
        <w:rPr>
          <w:i/>
        </w:rPr>
        <w:t xml:space="preserve"> use of relative temperature scales (such as </w:t>
      </w:r>
      <w:r w:rsidR="001F4261" w:rsidRPr="00E368E8">
        <w:rPr>
          <w:i/>
        </w:rPr>
        <w:t>C</w:t>
      </w:r>
      <w:r w:rsidRPr="00E368E8">
        <w:rPr>
          <w:i/>
        </w:rPr>
        <w:t>entigrade or Fahrenheit) may lead to erroneous results</w:t>
      </w:r>
      <w:r>
        <w:t xml:space="preserve">.  </w:t>
      </w:r>
    </w:p>
    <w:p w14:paraId="66C9EF2F" w14:textId="77777777" w:rsidR="00E368E8" w:rsidRDefault="001D5A9C" w:rsidP="00975175">
      <w:pPr>
        <w:pStyle w:val="ListParagraph"/>
        <w:numPr>
          <w:ilvl w:val="1"/>
          <w:numId w:val="56"/>
        </w:numPr>
        <w:spacing w:after="120"/>
        <w:contextualSpacing w:val="0"/>
      </w:pPr>
      <w:r>
        <w:t xml:space="preserve">Did the applicant use actual exhaust flow rates for the exhaust stacks, rather than flow rates based on “standard temperature and pressure” (STP)?  </w:t>
      </w:r>
    </w:p>
    <w:p w14:paraId="5F23EF55" w14:textId="6BE9CBD8" w:rsidR="001D5A9C" w:rsidRDefault="001D5A9C" w:rsidP="00E368E8">
      <w:pPr>
        <w:pStyle w:val="ListParagraph"/>
        <w:spacing w:after="120"/>
        <w:ind w:left="1620" w:right="90"/>
        <w:contextualSpacing w:val="0"/>
      </w:pPr>
      <w:r w:rsidRPr="001D5A9C">
        <w:rPr>
          <w:u w:val="single"/>
        </w:rPr>
        <w:t>Note</w:t>
      </w:r>
      <w:r>
        <w:t xml:space="preserve">: </w:t>
      </w:r>
      <w:r w:rsidR="00AA66AC" w:rsidRPr="00E368E8">
        <w:rPr>
          <w:i/>
        </w:rPr>
        <w:t xml:space="preserve">The </w:t>
      </w:r>
      <w:r w:rsidRPr="00E368E8">
        <w:rPr>
          <w:i/>
        </w:rPr>
        <w:t xml:space="preserve">STP flow rate for </w:t>
      </w:r>
      <w:r w:rsidR="00AA66AC" w:rsidRPr="00E368E8">
        <w:rPr>
          <w:i/>
        </w:rPr>
        <w:t xml:space="preserve">a </w:t>
      </w:r>
      <w:r w:rsidRPr="00E368E8">
        <w:rPr>
          <w:i/>
        </w:rPr>
        <w:t>combustion source can be a third of the actual flow rate.  This substantive difference</w:t>
      </w:r>
      <w:r w:rsidR="00AA66AC" w:rsidRPr="00E368E8">
        <w:rPr>
          <w:i/>
        </w:rPr>
        <w:t xml:space="preserve"> in flow rates</w:t>
      </w:r>
      <w:r w:rsidRPr="00E368E8">
        <w:rPr>
          <w:i/>
        </w:rPr>
        <w:t xml:space="preserve"> can therefore lead to modeling errors</w:t>
      </w:r>
      <w:r>
        <w:t xml:space="preserve">. </w:t>
      </w:r>
    </w:p>
    <w:p w14:paraId="00A187D8" w14:textId="078A19D9" w:rsidR="00233E85" w:rsidRDefault="00233E85" w:rsidP="00587B72">
      <w:pPr>
        <w:pStyle w:val="ListParagraph"/>
        <w:numPr>
          <w:ilvl w:val="0"/>
          <w:numId w:val="56"/>
        </w:numPr>
        <w:spacing w:after="120"/>
        <w:contextualSpacing w:val="0"/>
      </w:pPr>
      <w:r>
        <w:t xml:space="preserve">Are intermittent </w:t>
      </w:r>
      <w:r w:rsidR="00ED225D">
        <w:t>EU</w:t>
      </w:r>
      <w:r>
        <w:t>s properly accounted for and if omitted, a justification provided?</w:t>
      </w:r>
    </w:p>
    <w:p w14:paraId="4FE51587" w14:textId="77777777" w:rsidR="00233E85" w:rsidRDefault="00233E85" w:rsidP="00587B72">
      <w:pPr>
        <w:pStyle w:val="ListParagraph"/>
        <w:numPr>
          <w:ilvl w:val="0"/>
          <w:numId w:val="56"/>
        </w:numPr>
        <w:spacing w:after="120"/>
        <w:contextualSpacing w:val="0"/>
      </w:pPr>
      <w:r>
        <w:t>Are dates and times of operation incorporated into the modeling?</w:t>
      </w:r>
    </w:p>
    <w:p w14:paraId="2277AE64" w14:textId="3C052024" w:rsidR="00233E85" w:rsidRDefault="006A4E50" w:rsidP="00587B72">
      <w:pPr>
        <w:pStyle w:val="ListParagraph"/>
        <w:numPr>
          <w:ilvl w:val="0"/>
          <w:numId w:val="56"/>
        </w:numPr>
        <w:spacing w:after="120"/>
        <w:contextualSpacing w:val="0"/>
      </w:pPr>
      <w:r>
        <w:t>Was a part</w:t>
      </w:r>
      <w:r w:rsidR="00233E85">
        <w:t xml:space="preserve"> load assessment performed</w:t>
      </w:r>
      <w:r w:rsidR="004C3248">
        <w:t xml:space="preserve"> (See Section </w:t>
      </w:r>
      <w:r w:rsidR="004C3248">
        <w:fldChar w:fldCharType="begin"/>
      </w:r>
      <w:r w:rsidR="004C3248">
        <w:instrText xml:space="preserve"> REF _Ref439925499 \w \h </w:instrText>
      </w:r>
      <w:r w:rsidR="004C3248">
        <w:fldChar w:fldCharType="separate"/>
      </w:r>
      <w:r w:rsidR="00135FFD">
        <w:t>2.7.5</w:t>
      </w:r>
      <w:r w:rsidR="004C3248">
        <w:fldChar w:fldCharType="end"/>
      </w:r>
      <w:r w:rsidR="004C3248">
        <w:t>)</w:t>
      </w:r>
      <w:r w:rsidR="00233E85">
        <w:t>?</w:t>
      </w:r>
    </w:p>
    <w:p w14:paraId="646A092B" w14:textId="7A26F121" w:rsidR="007B2BB9" w:rsidRDefault="007B2BB9" w:rsidP="00587B72">
      <w:pPr>
        <w:pStyle w:val="ListParagraph"/>
        <w:numPr>
          <w:ilvl w:val="0"/>
          <w:numId w:val="56"/>
        </w:numPr>
        <w:spacing w:after="120"/>
        <w:contextualSpacing w:val="0"/>
      </w:pPr>
      <w:r>
        <w:t xml:space="preserve">If </w:t>
      </w:r>
      <w:r w:rsidR="00FA037D">
        <w:t>the applicant is using a “source group” option for reporting the impacts from various combinations of the modeled EUs</w:t>
      </w:r>
      <w:r>
        <w:t xml:space="preserve">, </w:t>
      </w:r>
      <w:r w:rsidR="00FA037D">
        <w:t>do the source groups include the appropriate EUs for the given scenario</w:t>
      </w:r>
      <w:r>
        <w:t>?</w:t>
      </w:r>
      <w:r w:rsidR="0094047C">
        <w:t xml:space="preserve"> </w:t>
      </w:r>
      <w:r w:rsidR="00FA037D">
        <w:rPr>
          <w:rStyle w:val="FootnoteReference"/>
        </w:rPr>
        <w:footnoteReference w:id="4"/>
      </w:r>
    </w:p>
    <w:p w14:paraId="52EEA477" w14:textId="74999B51" w:rsidR="00FD0F66" w:rsidRDefault="00FD0F66" w:rsidP="00581C26">
      <w:pPr>
        <w:keepNext/>
        <w:rPr>
          <w:b/>
          <w:i/>
        </w:rPr>
      </w:pPr>
      <w:hyperlink w:anchor="PollutantSpecificInfo" w:history="1">
        <w:r w:rsidRPr="00591744">
          <w:rPr>
            <w:rStyle w:val="Hyperlink"/>
            <w:b/>
            <w:i/>
          </w:rPr>
          <w:t>Pollutant</w:t>
        </w:r>
        <w:r w:rsidR="00363065">
          <w:rPr>
            <w:rStyle w:val="Hyperlink"/>
            <w:b/>
            <w:i/>
          </w:rPr>
          <w:t>-</w:t>
        </w:r>
        <w:r w:rsidRPr="00591744">
          <w:rPr>
            <w:rStyle w:val="Hyperlink"/>
            <w:b/>
            <w:i/>
          </w:rPr>
          <w:t>Specific Modeling</w:t>
        </w:r>
      </w:hyperlink>
      <w:r w:rsidR="0078442A">
        <w:rPr>
          <w:rStyle w:val="Hyperlink"/>
          <w:b/>
          <w:i/>
        </w:rPr>
        <w:t xml:space="preserve"> Considerations</w:t>
      </w:r>
    </w:p>
    <w:p w14:paraId="28284E03" w14:textId="58DF490B" w:rsidR="005B789A" w:rsidRDefault="00C24B92" w:rsidP="006810F8">
      <w:r>
        <w:t>Some air pollutants undergo chemical reactions in the atmosphere which can affect the</w:t>
      </w:r>
      <w:r w:rsidR="00363065">
        <w:t>ir</w:t>
      </w:r>
      <w:r>
        <w:t xml:space="preserve"> resulting air quality concentration</w:t>
      </w:r>
      <w:r w:rsidR="00363065">
        <w:t>s</w:t>
      </w:r>
      <w:r>
        <w:t xml:space="preserve">.  </w:t>
      </w:r>
      <w:r w:rsidR="00761574">
        <w:t>Additional tools or assumptions may</w:t>
      </w:r>
      <w:r w:rsidR="001A29B4">
        <w:t>,</w:t>
      </w:r>
      <w:r w:rsidR="00761574">
        <w:t xml:space="preserve"> therefore</w:t>
      </w:r>
      <w:r w:rsidR="001A29B4">
        <w:t>,</w:t>
      </w:r>
      <w:r w:rsidR="00761574">
        <w:t xml:space="preserve"> be needed for estimating the resulting concentrations.  The criteria pollutants where atmospheric transformation can be a factor include n</w:t>
      </w:r>
      <w:r>
        <w:t>itrogen dioxide (</w:t>
      </w:r>
      <w:r w:rsidRPr="00150E0D">
        <w:t>NO</w:t>
      </w:r>
      <w:r w:rsidRPr="00150E0D">
        <w:rPr>
          <w:vertAlign w:val="subscript"/>
        </w:rPr>
        <w:t>2</w:t>
      </w:r>
      <w:r>
        <w:t>), particulate</w:t>
      </w:r>
      <w:r w:rsidR="00363065">
        <w:t xml:space="preserve"> matter with an aerodynamic diameter of 2.5 microns</w:t>
      </w:r>
      <w:r w:rsidR="00A40B76">
        <w:t xml:space="preserve"> or less</w:t>
      </w:r>
      <w:r>
        <w:t xml:space="preserve"> (PM-2.5)</w:t>
      </w:r>
      <w:r w:rsidR="001A29B4">
        <w:t>,</w:t>
      </w:r>
      <w:r>
        <w:t xml:space="preserve"> and ozone (</w:t>
      </w:r>
      <w:r w:rsidRPr="00DD3A5E">
        <w:t>O</w:t>
      </w:r>
      <w:r w:rsidRPr="00DD3A5E">
        <w:rPr>
          <w:vertAlign w:val="subscript"/>
        </w:rPr>
        <w:t>3</w:t>
      </w:r>
      <w:r>
        <w:t>)</w:t>
      </w:r>
      <w:r w:rsidR="00761574">
        <w:t>.</w:t>
      </w:r>
      <w:r>
        <w:t xml:space="preserve"> </w:t>
      </w:r>
      <w:r w:rsidR="00761574">
        <w:t xml:space="preserve"> Atmospheric effects can also </w:t>
      </w:r>
      <w:proofErr w:type="gramStart"/>
      <w:r w:rsidR="00761574">
        <w:t>be a consideration</w:t>
      </w:r>
      <w:proofErr w:type="gramEnd"/>
      <w:r w:rsidR="00761574">
        <w:t xml:space="preserve"> in deposition and regional haze assessments. </w:t>
      </w:r>
    </w:p>
    <w:p w14:paraId="2D458855" w14:textId="77777777" w:rsidR="005B789A" w:rsidRDefault="005B789A" w:rsidP="0089159D">
      <w:pPr>
        <w:keepNext/>
      </w:pPr>
      <w:hyperlink w:anchor="NO2Modeling" w:history="1">
        <w:r w:rsidRPr="00587D68">
          <w:rPr>
            <w:rStyle w:val="Hyperlink"/>
          </w:rPr>
          <w:t>NO</w:t>
        </w:r>
        <w:r w:rsidRPr="00587D68">
          <w:rPr>
            <w:rStyle w:val="Hyperlink"/>
            <w:vertAlign w:val="subscript"/>
          </w:rPr>
          <w:t>2</w:t>
        </w:r>
      </w:hyperlink>
    </w:p>
    <w:p w14:paraId="7F2A2243" w14:textId="3C9B4D41" w:rsidR="00587D68" w:rsidRDefault="00850EBA" w:rsidP="00F20D3A">
      <w:pPr>
        <w:pStyle w:val="ListParagraph"/>
        <w:numPr>
          <w:ilvl w:val="0"/>
          <w:numId w:val="68"/>
        </w:numPr>
        <w:spacing w:after="120"/>
        <w:contextualSpacing w:val="0"/>
      </w:pPr>
      <w:r>
        <w:t>Did the applicant use one of the techniques listed in Section</w:t>
      </w:r>
      <w:r w:rsidR="007B5CDB">
        <w:t> </w:t>
      </w:r>
      <w:r w:rsidR="00534FB6">
        <w:t>4.2.3.4</w:t>
      </w:r>
      <w:r>
        <w:t xml:space="preserve"> of the </w:t>
      </w:r>
      <w:hyperlink r:id="rId27" w:history="1">
        <w:r w:rsidRPr="00196955">
          <w:rPr>
            <w:rStyle w:val="Hyperlink"/>
          </w:rPr>
          <w:t>Guideline</w:t>
        </w:r>
      </w:hyperlink>
      <w:r w:rsidR="004D4CBB" w:rsidRPr="0094047C">
        <w:rPr>
          <w:rStyle w:val="Hyperlink"/>
          <w:u w:val="none"/>
        </w:rPr>
        <w:t xml:space="preserve"> </w:t>
      </w:r>
      <w:r>
        <w:t xml:space="preserve">to estimate how much of the NO emissions are converted to </w:t>
      </w:r>
      <w:r w:rsidR="005B789A">
        <w:t>NO</w:t>
      </w:r>
      <w:r w:rsidR="005B789A" w:rsidRPr="005B789A">
        <w:rPr>
          <w:vertAlign w:val="subscript"/>
        </w:rPr>
        <w:t>2</w:t>
      </w:r>
      <w:r w:rsidR="00881460">
        <w:t xml:space="preserve"> </w:t>
      </w:r>
      <w:r>
        <w:t xml:space="preserve">in the </w:t>
      </w:r>
      <w:r w:rsidR="0048727A">
        <w:t>atmosphere, or did they use an alternative modeling technique that requires case-specific approval under 18</w:t>
      </w:r>
      <w:r w:rsidR="007B5CDB">
        <w:t> </w:t>
      </w:r>
      <w:r w:rsidR="0048727A">
        <w:t>AAC</w:t>
      </w:r>
      <w:r w:rsidR="007B5CDB">
        <w:t> </w:t>
      </w:r>
      <w:r w:rsidR="0048727A">
        <w:t>50.215(c)</w:t>
      </w:r>
      <w:r w:rsidR="005B789A">
        <w:t>?</w:t>
      </w:r>
    </w:p>
    <w:p w14:paraId="1F9F2CBB" w14:textId="31675ABB" w:rsidR="00F54C7D" w:rsidRDefault="00F54C7D" w:rsidP="00F20D3A">
      <w:pPr>
        <w:pStyle w:val="ListParagraph"/>
        <w:numPr>
          <w:ilvl w:val="0"/>
          <w:numId w:val="68"/>
        </w:numPr>
        <w:spacing w:after="120"/>
        <w:contextualSpacing w:val="0"/>
      </w:pPr>
      <w:r>
        <w:t xml:space="preserve">If the applicant used the Tier 2 approach (i.e., ARM2), did they use an appropriate minimum </w:t>
      </w:r>
      <w:r w:rsidRPr="00CB0597">
        <w:t>ambient</w:t>
      </w:r>
      <w:r>
        <w:t xml:space="preserve"> </w:t>
      </w:r>
      <w:r w:rsidRPr="00150E0D">
        <w:t>NO</w:t>
      </w:r>
      <w:r w:rsidRPr="00150E0D">
        <w:rPr>
          <w:vertAlign w:val="subscript"/>
        </w:rPr>
        <w:t>2</w:t>
      </w:r>
      <w:r w:rsidR="00CB0597">
        <w:t>-to-oxides of nitrogen (</w:t>
      </w:r>
      <w:r>
        <w:t>NOx</w:t>
      </w:r>
      <w:r w:rsidR="00CB0597">
        <w:t>)</w:t>
      </w:r>
      <w:r>
        <w:t xml:space="preserve"> ratio? </w:t>
      </w:r>
    </w:p>
    <w:p w14:paraId="3434C0B6" w14:textId="55676BD0" w:rsidR="00F20D3A" w:rsidRDefault="00F54C7D" w:rsidP="00F20D3A">
      <w:pPr>
        <w:pStyle w:val="ListParagraph"/>
        <w:numPr>
          <w:ilvl w:val="0"/>
          <w:numId w:val="68"/>
        </w:numPr>
        <w:spacing w:after="120"/>
        <w:contextualSpacing w:val="0"/>
      </w:pPr>
      <w:r>
        <w:t xml:space="preserve">If the applicant used </w:t>
      </w:r>
      <w:r w:rsidR="00587D68">
        <w:t>a Tier</w:t>
      </w:r>
      <w:r w:rsidR="007B5CDB">
        <w:t> </w:t>
      </w:r>
      <w:r w:rsidR="00587D68">
        <w:t>3 approach</w:t>
      </w:r>
      <w:r>
        <w:t xml:space="preserve"> (i.e., OLM or PVMRM)</w:t>
      </w:r>
      <w:r w:rsidR="00587D68">
        <w:t>:</w:t>
      </w:r>
    </w:p>
    <w:p w14:paraId="3A0F9274" w14:textId="55654EB7" w:rsidR="00F20D3A" w:rsidRDefault="00F20D3A" w:rsidP="00F20D3A">
      <w:pPr>
        <w:pStyle w:val="ListParagraph"/>
        <w:numPr>
          <w:ilvl w:val="1"/>
          <w:numId w:val="68"/>
        </w:numPr>
        <w:spacing w:after="120"/>
        <w:contextualSpacing w:val="0"/>
      </w:pPr>
      <w:r>
        <w:t>Did they use representative hourly</w:t>
      </w:r>
      <w:hyperlink w:anchor="OzoneData" w:history="1">
        <w:r w:rsidRPr="00E63340">
          <w:rPr>
            <w:rStyle w:val="Hyperlink"/>
          </w:rPr>
          <w:t xml:space="preserve"> ozone data</w:t>
        </w:r>
      </w:hyperlink>
      <w:r>
        <w:t>?</w:t>
      </w:r>
    </w:p>
    <w:p w14:paraId="0E716D03" w14:textId="5C0B2C60" w:rsidR="00587D68" w:rsidRDefault="00F20D3A" w:rsidP="00F20D3A">
      <w:pPr>
        <w:pStyle w:val="ListParagraph"/>
        <w:numPr>
          <w:ilvl w:val="1"/>
          <w:numId w:val="68"/>
        </w:numPr>
        <w:spacing w:after="120"/>
        <w:contextualSpacing w:val="0"/>
      </w:pPr>
      <w:r>
        <w:t>Did they use an appropriate NO</w:t>
      </w:r>
      <w:r w:rsidRPr="0033092C">
        <w:rPr>
          <w:vertAlign w:val="subscript"/>
        </w:rPr>
        <w:t>2</w:t>
      </w:r>
      <w:r>
        <w:t xml:space="preserve">/NOx </w:t>
      </w:r>
      <w:hyperlink w:anchor="InStackRatio" w:history="1">
        <w:r w:rsidRPr="00E63340">
          <w:rPr>
            <w:rStyle w:val="Hyperlink"/>
          </w:rPr>
          <w:t>in-stack ratio (ISR)</w:t>
        </w:r>
      </w:hyperlink>
      <w:r>
        <w:t xml:space="preserve"> for each EU?</w:t>
      </w:r>
    </w:p>
    <w:p w14:paraId="478D06D0" w14:textId="25E3B16C" w:rsidR="00565C35" w:rsidRDefault="00D7786D" w:rsidP="00DB4222">
      <w:pPr>
        <w:pStyle w:val="ListParagraph"/>
        <w:numPr>
          <w:ilvl w:val="0"/>
          <w:numId w:val="68"/>
        </w:numPr>
        <w:spacing w:after="120"/>
        <w:contextualSpacing w:val="0"/>
      </w:pPr>
      <w:r>
        <w:t>If the application is subject to PSD-review, did you discuss the OLM/PVMRM analysis with R10, as required under Section 4.2.3.4</w:t>
      </w:r>
      <w:r w:rsidR="008F461C">
        <w:t>(</w:t>
      </w:r>
      <w:r>
        <w:t>e</w:t>
      </w:r>
      <w:r w:rsidR="008F461C">
        <w:t>)</w:t>
      </w:r>
      <w:r>
        <w:t xml:space="preserve"> of the </w:t>
      </w:r>
      <w:r w:rsidRPr="00196955">
        <w:t>Guideline</w:t>
      </w:r>
      <w:r>
        <w:t xml:space="preserve">?  </w:t>
      </w:r>
    </w:p>
    <w:p w14:paraId="18C9A61E" w14:textId="78082768" w:rsidR="00587D68" w:rsidRDefault="00D7786D" w:rsidP="002016E8">
      <w:pPr>
        <w:pStyle w:val="ListParagraph"/>
        <w:spacing w:after="120"/>
        <w:ind w:left="900" w:right="180"/>
        <w:contextualSpacing w:val="0"/>
      </w:pPr>
      <w:r w:rsidRPr="00565C35">
        <w:rPr>
          <w:u w:val="single"/>
        </w:rPr>
        <w:t>Note</w:t>
      </w:r>
      <w:r>
        <w:t xml:space="preserve">: </w:t>
      </w:r>
      <w:r w:rsidR="00565C35" w:rsidRPr="00E368E8">
        <w:rPr>
          <w:i/>
        </w:rPr>
        <w:t xml:space="preserve">R10 does not require a project-specific discussion prior to using OLM/PVMRM in a </w:t>
      </w:r>
      <w:r w:rsidR="00036A1A" w:rsidRPr="00E368E8">
        <w:rPr>
          <w:i/>
        </w:rPr>
        <w:t xml:space="preserve">modeling analysis submitted as part of a </w:t>
      </w:r>
      <w:r w:rsidR="00565C35" w:rsidRPr="00E368E8">
        <w:rPr>
          <w:i/>
        </w:rPr>
        <w:t>minor permit application.  They stated, “Instead, consultation for routine minor NSR can be fulfilled by the general ongoing informal communication between Region 10 and Alaska regarding Alaska’s methods and experience applying Tier 3 models</w:t>
      </w:r>
      <w:r w:rsidR="00565C35">
        <w:t>.”</w:t>
      </w:r>
      <w:bookmarkStart w:id="6" w:name="_Ref482619858"/>
      <w:r w:rsidR="00036A1A">
        <w:t xml:space="preserve"> </w:t>
      </w:r>
      <w:r w:rsidR="00565C35">
        <w:rPr>
          <w:rStyle w:val="FootnoteReference"/>
        </w:rPr>
        <w:footnoteReference w:id="5"/>
      </w:r>
      <w:bookmarkEnd w:id="6"/>
    </w:p>
    <w:p w14:paraId="0AF69B47" w14:textId="698C15FA" w:rsidR="00E63340" w:rsidRDefault="00E63340" w:rsidP="00DB4222">
      <w:pPr>
        <w:pStyle w:val="ListParagraph"/>
        <w:numPr>
          <w:ilvl w:val="0"/>
          <w:numId w:val="68"/>
        </w:numPr>
        <w:spacing w:after="120"/>
        <w:contextualSpacing w:val="0"/>
      </w:pPr>
      <w:r>
        <w:t xml:space="preserve">If </w:t>
      </w:r>
      <w:r w:rsidR="00660297">
        <w:t xml:space="preserve">the applicant used </w:t>
      </w:r>
      <w:r>
        <w:t xml:space="preserve">a model other than AERMOD, </w:t>
      </w:r>
      <w:r w:rsidR="005F7DFA">
        <w:t>did the</w:t>
      </w:r>
      <w:r w:rsidR="00660297">
        <w:t>y</w:t>
      </w:r>
      <w:r w:rsidR="005F7DFA">
        <w:t xml:space="preserve"> provide</w:t>
      </w:r>
      <w:r>
        <w:t xml:space="preserve"> sufficient </w:t>
      </w:r>
      <w:r w:rsidR="005F7DFA">
        <w:t xml:space="preserve">information for you </w:t>
      </w:r>
      <w:r>
        <w:t xml:space="preserve">to </w:t>
      </w:r>
      <w:r w:rsidR="005F7DFA">
        <w:t xml:space="preserve">confirm whether </w:t>
      </w:r>
      <w:r>
        <w:t>the</w:t>
      </w:r>
      <w:r w:rsidR="005F7DFA">
        <w:t>y appropriately applied</w:t>
      </w:r>
      <w:r>
        <w:t xml:space="preserve"> </w:t>
      </w:r>
      <w:r w:rsidR="00F54C7D">
        <w:t>OLM/PVMRM</w:t>
      </w:r>
      <w:r>
        <w:t>?</w:t>
      </w:r>
    </w:p>
    <w:p w14:paraId="31AFA61F" w14:textId="77777777" w:rsidR="00E63340" w:rsidRDefault="00E63340" w:rsidP="005B1567">
      <w:pPr>
        <w:keepNext/>
      </w:pPr>
      <w:hyperlink w:anchor="PM25Modeling" w:history="1">
        <w:r w:rsidRPr="00E63340">
          <w:rPr>
            <w:rStyle w:val="Hyperlink"/>
          </w:rPr>
          <w:t>PM-2.5</w:t>
        </w:r>
      </w:hyperlink>
    </w:p>
    <w:p w14:paraId="3A84B6FF" w14:textId="464F6E6A" w:rsidR="00E63340" w:rsidRDefault="0022659A" w:rsidP="00953AF4">
      <w:pPr>
        <w:pStyle w:val="ListParagraph"/>
        <w:numPr>
          <w:ilvl w:val="0"/>
          <w:numId w:val="69"/>
        </w:numPr>
      </w:pPr>
      <w:r>
        <w:t xml:space="preserve">If the applicant conducted a cumulative </w:t>
      </w:r>
      <w:r w:rsidR="008D2810">
        <w:t xml:space="preserve">PM-2.5 </w:t>
      </w:r>
      <w:r>
        <w:t>impact analysis, did they adequately account for secondary PM-2.5 formation</w:t>
      </w:r>
      <w:r w:rsidR="00E63340">
        <w:t>?</w:t>
      </w:r>
    </w:p>
    <w:p w14:paraId="106D3646" w14:textId="16B20C5C" w:rsidR="00E63340" w:rsidRDefault="00D33044" w:rsidP="00E63340">
      <w:hyperlink w:anchor="OtherPollutants" w:history="1">
        <w:r>
          <w:rPr>
            <w:rStyle w:val="Hyperlink"/>
          </w:rPr>
          <w:t>Possible</w:t>
        </w:r>
        <w:r w:rsidRPr="00E63340">
          <w:rPr>
            <w:rStyle w:val="Hyperlink"/>
          </w:rPr>
          <w:t xml:space="preserve"> </w:t>
        </w:r>
        <w:r>
          <w:rPr>
            <w:rStyle w:val="Hyperlink"/>
          </w:rPr>
          <w:t>PSD</w:t>
        </w:r>
      </w:hyperlink>
      <w:r>
        <w:rPr>
          <w:rStyle w:val="Hyperlink"/>
        </w:rPr>
        <w:t xml:space="preserve"> Considerations</w:t>
      </w:r>
    </w:p>
    <w:p w14:paraId="327F214B" w14:textId="5C8C4ADF" w:rsidR="00A927C6" w:rsidRPr="00FD0F66" w:rsidRDefault="00D33044" w:rsidP="00953AF4">
      <w:pPr>
        <w:pStyle w:val="ListParagraph"/>
        <w:numPr>
          <w:ilvl w:val="0"/>
          <w:numId w:val="69"/>
        </w:numPr>
      </w:pPr>
      <w:r>
        <w:t>If warranted, d</w:t>
      </w:r>
      <w:r w:rsidR="00A927C6">
        <w:t>id the applicant follow the Interagency Workgroup on Air Quality Modeling and</w:t>
      </w:r>
      <w:r w:rsidR="00A927C6" w:rsidRPr="00A927C6">
        <w:rPr>
          <w:snapToGrid w:val="0"/>
        </w:rPr>
        <w:t xml:space="preserve"> </w:t>
      </w:r>
      <w:r w:rsidR="00A927C6" w:rsidRPr="00197CBE">
        <w:rPr>
          <w:i/>
          <w:snapToGrid w:val="0"/>
        </w:rPr>
        <w:t>Federal Land Managers’ Air Quality Related Values Workgroup</w:t>
      </w:r>
      <w:r w:rsidR="00A927C6">
        <w:rPr>
          <w:snapToGrid w:val="0"/>
        </w:rPr>
        <w:t xml:space="preserve"> </w:t>
      </w:r>
      <w:r w:rsidR="00A927C6">
        <w:rPr>
          <w:snapToGrid w:val="0"/>
        </w:rPr>
        <w:lastRenderedPageBreak/>
        <w:t>(</w:t>
      </w:r>
      <w:hyperlink r:id="rId28" w:history="1">
        <w:r w:rsidR="00A927C6" w:rsidRPr="00CD6C64">
          <w:rPr>
            <w:rStyle w:val="Hyperlink"/>
            <w:snapToGrid w:val="0"/>
          </w:rPr>
          <w:t>FLAG</w:t>
        </w:r>
      </w:hyperlink>
      <w:r w:rsidR="00A927C6">
        <w:rPr>
          <w:snapToGrid w:val="0"/>
        </w:rPr>
        <w:t xml:space="preserve">) </w:t>
      </w:r>
      <w:r w:rsidR="007A26EC">
        <w:t xml:space="preserve">guidance </w:t>
      </w:r>
      <w:r w:rsidR="00A927C6">
        <w:t xml:space="preserve">to account for the formation of pollutants that contribute to regional haze?  </w:t>
      </w:r>
    </w:p>
    <w:p w14:paraId="522D0912" w14:textId="77777777" w:rsidR="006810F8" w:rsidRPr="00F33FC9" w:rsidRDefault="006810F8" w:rsidP="00542061">
      <w:pPr>
        <w:keepNext/>
        <w:keepLines/>
        <w:rPr>
          <w:b/>
          <w:i/>
        </w:rPr>
      </w:pPr>
      <w:hyperlink w:anchor="Downwash" w:history="1">
        <w:r w:rsidRPr="00591744">
          <w:rPr>
            <w:rStyle w:val="Hyperlink"/>
            <w:b/>
            <w:i/>
          </w:rPr>
          <w:t>Building Information and Downwash</w:t>
        </w:r>
      </w:hyperlink>
    </w:p>
    <w:p w14:paraId="24C1D4AD" w14:textId="77777777" w:rsidR="006810F8" w:rsidRDefault="006810F8" w:rsidP="002F0491">
      <w:pPr>
        <w:keepNext/>
        <w:keepLines/>
        <w:spacing w:after="120"/>
        <w:ind w:left="360"/>
        <w:rPr>
          <w:u w:val="single"/>
        </w:rPr>
      </w:pPr>
      <w:r w:rsidRPr="00D84115">
        <w:rPr>
          <w:u w:val="single"/>
        </w:rPr>
        <w:t>AERMOD</w:t>
      </w:r>
    </w:p>
    <w:p w14:paraId="3B08C238" w14:textId="689600B0" w:rsidR="006810F8" w:rsidRPr="00D84115" w:rsidRDefault="006810F8" w:rsidP="002F0491">
      <w:pPr>
        <w:keepNext/>
        <w:keepLines/>
        <w:ind w:left="360"/>
      </w:pPr>
      <w:r>
        <w:t xml:space="preserve">AERMOD uses building dimensions developed by the Building Profile Input Program for PRIME (BPIPPRM) for </w:t>
      </w:r>
      <w:r w:rsidR="00F30451">
        <w:t>incorporating downwash into the analysis</w:t>
      </w:r>
      <w:r>
        <w:t>.</w:t>
      </w:r>
    </w:p>
    <w:p w14:paraId="5A0FC239" w14:textId="77777777" w:rsidR="006810F8" w:rsidRPr="00C20833" w:rsidRDefault="006810F8" w:rsidP="00DB4222">
      <w:pPr>
        <w:pStyle w:val="ListParagraph"/>
        <w:numPr>
          <w:ilvl w:val="0"/>
          <w:numId w:val="59"/>
        </w:numPr>
        <w:spacing w:after="120"/>
        <w:contextualSpacing w:val="0"/>
      </w:pPr>
      <w:r w:rsidRPr="00C20833">
        <w:t xml:space="preserve">Review any Good Engineering Practice analyses.  Does the analysis agree with the maps and dimensions provided?  </w:t>
      </w:r>
    </w:p>
    <w:p w14:paraId="299AE36B" w14:textId="5A86BC06" w:rsidR="006810F8" w:rsidRDefault="006810F8" w:rsidP="00DB4222">
      <w:pPr>
        <w:pStyle w:val="ListParagraph"/>
        <w:numPr>
          <w:ilvl w:val="0"/>
          <w:numId w:val="59"/>
        </w:numPr>
        <w:spacing w:after="120"/>
        <w:contextualSpacing w:val="0"/>
      </w:pPr>
      <w:r>
        <w:t>R</w:t>
      </w:r>
      <w:r w:rsidRPr="00C20833">
        <w:t xml:space="preserve">eview the building information to ensure all </w:t>
      </w:r>
      <w:r w:rsidR="00F30451">
        <w:t>structures</w:t>
      </w:r>
      <w:r w:rsidRPr="00C20833">
        <w:t xml:space="preserve"> are accounted for that could impact pollutant dispersion</w:t>
      </w:r>
      <w:r w:rsidR="00F30451">
        <w:t xml:space="preserve">.  Are the EU and building locations consistent </w:t>
      </w:r>
      <w:r>
        <w:t xml:space="preserve">with the </w:t>
      </w:r>
      <w:r w:rsidR="00F30451">
        <w:t xml:space="preserve">facility </w:t>
      </w:r>
      <w:r>
        <w:t>plot plan</w:t>
      </w:r>
      <w:r w:rsidR="00F30451">
        <w:t>?  Are the stack and building heights reasonable and consistent with any other information available for this stationary source (e.g., photos from a recent ADEC inspection)?</w:t>
      </w:r>
      <w:r w:rsidRPr="00C20833">
        <w:t xml:space="preserve">  </w:t>
      </w:r>
    </w:p>
    <w:p w14:paraId="36134A20" w14:textId="1F86C214" w:rsidR="006810F8" w:rsidRDefault="006810F8" w:rsidP="00DB4222">
      <w:pPr>
        <w:pStyle w:val="ListParagraph"/>
        <w:numPr>
          <w:ilvl w:val="1"/>
          <w:numId w:val="59"/>
        </w:numPr>
        <w:spacing w:after="120"/>
        <w:contextualSpacing w:val="0"/>
      </w:pPr>
      <w:r>
        <w:t xml:space="preserve">Use of </w:t>
      </w:r>
      <w:r w:rsidR="002A59F8">
        <w:t xml:space="preserve">a </w:t>
      </w:r>
      <w:proofErr w:type="gramStart"/>
      <w:r w:rsidR="006A5D05">
        <w:t>third</w:t>
      </w:r>
      <w:r w:rsidR="002A59F8">
        <w:t xml:space="preserve"> </w:t>
      </w:r>
      <w:r>
        <w:t>party</w:t>
      </w:r>
      <w:proofErr w:type="gramEnd"/>
      <w:r>
        <w:t xml:space="preserve"> </w:t>
      </w:r>
      <w:r w:rsidR="002A59F8">
        <w:t xml:space="preserve">GUI </w:t>
      </w:r>
      <w:r>
        <w:t>allows a visual comparison of the spatial relationships between the EUs and buildings</w:t>
      </w:r>
      <w:r w:rsidR="008C7424">
        <w:t>.</w:t>
      </w:r>
    </w:p>
    <w:p w14:paraId="28B873DD" w14:textId="57101872" w:rsidR="00B560B0" w:rsidRDefault="006810F8" w:rsidP="00DB4222">
      <w:pPr>
        <w:pStyle w:val="ListParagraph"/>
        <w:numPr>
          <w:ilvl w:val="1"/>
          <w:numId w:val="59"/>
        </w:numPr>
        <w:spacing w:after="120"/>
        <w:contextualSpacing w:val="0"/>
      </w:pPr>
      <w:r>
        <w:t xml:space="preserve">Check </w:t>
      </w:r>
      <w:proofErr w:type="spellStart"/>
      <w:r w:rsidRPr="00C20833">
        <w:t>AirFacs</w:t>
      </w:r>
      <w:proofErr w:type="spellEnd"/>
      <w:r>
        <w:t xml:space="preserve"> for possible photographs</w:t>
      </w:r>
      <w:r w:rsidRPr="00C20833">
        <w:t xml:space="preserve"> of the stacks (which can help provide a visual assessment of the relative building to stack ratio</w:t>
      </w:r>
      <w:r>
        <w:t>)</w:t>
      </w:r>
      <w:r w:rsidR="008C7424">
        <w:t>.</w:t>
      </w:r>
    </w:p>
    <w:p w14:paraId="1D0F87B1" w14:textId="6AA70593" w:rsidR="006810F8" w:rsidRDefault="00B560B0" w:rsidP="00DB4222">
      <w:pPr>
        <w:pStyle w:val="ListParagraph"/>
        <w:numPr>
          <w:ilvl w:val="1"/>
          <w:numId w:val="59"/>
        </w:numPr>
        <w:spacing w:after="120"/>
        <w:contextualSpacing w:val="0"/>
      </w:pPr>
      <w:r>
        <w:t>Consult current or previous compliance inspectors who have been assigned to an existing stationary source. They may recall the configuration of stacks and the general layout of the facility from their on-site inspections.</w:t>
      </w:r>
    </w:p>
    <w:p w14:paraId="77D55183" w14:textId="63DDA75A" w:rsidR="006810F8" w:rsidRDefault="006810F8" w:rsidP="006810F8">
      <w:pPr>
        <w:pStyle w:val="ListParagraph"/>
        <w:numPr>
          <w:ilvl w:val="0"/>
          <w:numId w:val="59"/>
        </w:numPr>
      </w:pPr>
      <w:r>
        <w:t>Did the applicant</w:t>
      </w:r>
      <w:r w:rsidRPr="00C20833">
        <w:t xml:space="preserve"> use true base elevations in their BPIP</w:t>
      </w:r>
      <w:r>
        <w:t>PRM</w:t>
      </w:r>
      <w:r w:rsidRPr="00C20833">
        <w:t xml:space="preserve"> run o</w:t>
      </w:r>
      <w:r>
        <w:t xml:space="preserve">r </w:t>
      </w:r>
      <w:r w:rsidR="00542061">
        <w:t>take</w:t>
      </w:r>
      <w:r>
        <w:t xml:space="preserve"> the simpler approach of </w:t>
      </w:r>
      <w:r w:rsidRPr="00C20833">
        <w:t xml:space="preserve">using “0” for all </w:t>
      </w:r>
      <w:r>
        <w:t>elevations</w:t>
      </w:r>
      <w:r w:rsidR="007F38CD">
        <w:t xml:space="preserve">?  </w:t>
      </w:r>
      <w:r>
        <w:t xml:space="preserve">If the modeling is for a reasonably flat area, this assumption may be fine.  For even moderately more complex terrain, the true base elevations </w:t>
      </w:r>
      <w:r w:rsidR="00542061">
        <w:t>should</w:t>
      </w:r>
      <w:r>
        <w:t xml:space="preserve"> be used</w:t>
      </w:r>
      <w:r w:rsidR="00542061">
        <w:t xml:space="preserve"> for all </w:t>
      </w:r>
      <w:r w:rsidR="00ED225D">
        <w:t>EU</w:t>
      </w:r>
      <w:r w:rsidR="00542061">
        <w:t>s, receptors, and structures</w:t>
      </w:r>
      <w:r>
        <w:t>.</w:t>
      </w:r>
    </w:p>
    <w:p w14:paraId="2062D82C" w14:textId="7F4452D5" w:rsidR="002F0491" w:rsidRPr="002F0491" w:rsidRDefault="002F0491" w:rsidP="002F0491">
      <w:pPr>
        <w:keepNext/>
        <w:keepLines/>
        <w:spacing w:after="120"/>
        <w:ind w:left="360"/>
        <w:rPr>
          <w:u w:val="single"/>
        </w:rPr>
      </w:pPr>
      <w:r w:rsidRPr="002F0491">
        <w:rPr>
          <w:snapToGrid w:val="0"/>
          <w:u w:val="single"/>
        </w:rPr>
        <w:t>Offshore and Coastal Dispersion (OCD)</w:t>
      </w:r>
      <w:r>
        <w:rPr>
          <w:snapToGrid w:val="0"/>
          <w:u w:val="single"/>
        </w:rPr>
        <w:t xml:space="preserve"> </w:t>
      </w:r>
    </w:p>
    <w:p w14:paraId="615E95AB" w14:textId="330BA1B4" w:rsidR="002F0491" w:rsidRDefault="002F0491" w:rsidP="002F0491">
      <w:pPr>
        <w:ind w:left="360"/>
      </w:pPr>
      <w:r>
        <w:t xml:space="preserve">The downwash algorithm in OCD is </w:t>
      </w:r>
      <w:proofErr w:type="gramStart"/>
      <w:r>
        <w:t>fairly simple</w:t>
      </w:r>
      <w:proofErr w:type="gramEnd"/>
      <w:r>
        <w:t xml:space="preserve"> in that it is based on a single building height and width per EU.  OCD Version 5 will not accept data from BPIPPRM.  Applicants should generally use the height and width of the dominant structure near each EU in their OCD analysis.</w:t>
      </w:r>
    </w:p>
    <w:p w14:paraId="7FC54DF4" w14:textId="728CE2B8" w:rsidR="006810F8" w:rsidRPr="00F33FC9" w:rsidRDefault="00902356" w:rsidP="002F33F9">
      <w:pPr>
        <w:keepNext/>
      </w:pPr>
      <w:hyperlink w:anchor="Receptors" w:history="1">
        <w:r w:rsidRPr="00FD0F66">
          <w:rPr>
            <w:rStyle w:val="Hyperlink"/>
            <w:b/>
            <w:bCs/>
            <w:i/>
          </w:rPr>
          <w:t>Receptors</w:t>
        </w:r>
      </w:hyperlink>
      <w:r w:rsidRPr="00F33FC9">
        <w:rPr>
          <w:b/>
          <w:bCs/>
          <w:i/>
        </w:rPr>
        <w:t xml:space="preserve"> </w:t>
      </w:r>
    </w:p>
    <w:p w14:paraId="53446C29" w14:textId="28AAB936" w:rsidR="00E368E8" w:rsidRDefault="00734679" w:rsidP="00DB4222">
      <w:pPr>
        <w:pStyle w:val="ListParagraph"/>
        <w:numPr>
          <w:ilvl w:val="0"/>
          <w:numId w:val="60"/>
        </w:numPr>
        <w:spacing w:after="120"/>
        <w:contextualSpacing w:val="0"/>
      </w:pPr>
      <w:r>
        <w:t>Check the location of the applicant’s</w:t>
      </w:r>
      <w:r w:rsidR="00902356" w:rsidRPr="00F33FC9">
        <w:t xml:space="preserve"> </w:t>
      </w:r>
      <w:hyperlink w:anchor="AmbientAirBoundary" w:history="1">
        <w:r w:rsidR="00902356" w:rsidRPr="00FD0F66">
          <w:rPr>
            <w:rStyle w:val="Hyperlink"/>
          </w:rPr>
          <w:t xml:space="preserve">ambient </w:t>
        </w:r>
        <w:r w:rsidR="00FD0F66" w:rsidRPr="00FD0F66">
          <w:rPr>
            <w:rStyle w:val="Hyperlink"/>
          </w:rPr>
          <w:t xml:space="preserve">air </w:t>
        </w:r>
        <w:r w:rsidR="00902356" w:rsidRPr="00FD0F66">
          <w:rPr>
            <w:rStyle w:val="Hyperlink"/>
          </w:rPr>
          <w:t>boundary</w:t>
        </w:r>
      </w:hyperlink>
      <w:r w:rsidR="00902356" w:rsidRPr="00F33FC9">
        <w:t xml:space="preserve"> </w:t>
      </w:r>
      <w:r>
        <w:t xml:space="preserve">and whether they have </w:t>
      </w:r>
      <w:proofErr w:type="gramStart"/>
      <w:r>
        <w:t>an adequate</w:t>
      </w:r>
      <w:proofErr w:type="gramEnd"/>
      <w:r>
        <w:t xml:space="preserve"> means for precluding </w:t>
      </w:r>
      <w:r w:rsidR="00902356" w:rsidRPr="00F33FC9">
        <w:t xml:space="preserve">public access.  </w:t>
      </w:r>
    </w:p>
    <w:p w14:paraId="4F4C8AE4" w14:textId="02F64946" w:rsidR="008D76DD" w:rsidRDefault="00902356" w:rsidP="00E368E8">
      <w:pPr>
        <w:pStyle w:val="ListParagraph"/>
        <w:spacing w:after="120"/>
        <w:ind w:left="900" w:right="90"/>
        <w:contextualSpacing w:val="0"/>
      </w:pPr>
      <w:r w:rsidRPr="008D76DD">
        <w:rPr>
          <w:u w:val="single"/>
        </w:rPr>
        <w:t>Note</w:t>
      </w:r>
      <w:proofErr w:type="gramStart"/>
      <w:r>
        <w:t xml:space="preserve">: </w:t>
      </w:r>
      <w:r w:rsidR="00DA074E">
        <w:t xml:space="preserve"> </w:t>
      </w:r>
      <w:r w:rsidR="008D76DD" w:rsidRPr="00E368E8">
        <w:rPr>
          <w:i/>
        </w:rPr>
        <w:t>You</w:t>
      </w:r>
      <w:proofErr w:type="gramEnd"/>
      <w:r w:rsidR="008D76DD" w:rsidRPr="00E368E8">
        <w:rPr>
          <w:i/>
        </w:rPr>
        <w:t xml:space="preserve"> </w:t>
      </w:r>
      <w:r w:rsidR="00DA074E" w:rsidRPr="00E368E8">
        <w:rPr>
          <w:i/>
        </w:rPr>
        <w:t>may</w:t>
      </w:r>
      <w:r w:rsidR="008D76DD" w:rsidRPr="00E368E8">
        <w:rPr>
          <w:i/>
        </w:rPr>
        <w:t xml:space="preserve"> see t</w:t>
      </w:r>
      <w:r w:rsidR="007319CC" w:rsidRPr="00E368E8">
        <w:rPr>
          <w:i/>
        </w:rPr>
        <w:t>he ambient air boundary referred to as the fence line or property boundary</w:t>
      </w:r>
      <w:r w:rsidR="001A1216" w:rsidRPr="00E368E8">
        <w:rPr>
          <w:i/>
        </w:rPr>
        <w:t xml:space="preserve"> and the terms used interchangeably</w:t>
      </w:r>
      <w:r w:rsidR="007319CC" w:rsidRPr="00E368E8">
        <w:rPr>
          <w:i/>
        </w:rPr>
        <w:t xml:space="preserve">.  Be sure the applicant </w:t>
      </w:r>
      <w:r w:rsidR="008F783A" w:rsidRPr="00E368E8">
        <w:rPr>
          <w:i/>
        </w:rPr>
        <w:t>correctly applied</w:t>
      </w:r>
      <w:r w:rsidR="007319CC" w:rsidRPr="00E368E8">
        <w:rPr>
          <w:i/>
        </w:rPr>
        <w:t xml:space="preserve"> </w:t>
      </w:r>
      <w:r w:rsidR="008F783A" w:rsidRPr="00E368E8">
        <w:rPr>
          <w:i/>
        </w:rPr>
        <w:t>EPA’s ambient air guidance</w:t>
      </w:r>
      <w:r w:rsidR="007319CC">
        <w:t>.</w:t>
      </w:r>
    </w:p>
    <w:p w14:paraId="11322126" w14:textId="77777777" w:rsidR="00D96B87" w:rsidRDefault="00902356" w:rsidP="00DB4222">
      <w:pPr>
        <w:pStyle w:val="ListParagraph"/>
        <w:numPr>
          <w:ilvl w:val="0"/>
          <w:numId w:val="60"/>
        </w:numPr>
        <w:spacing w:after="120"/>
        <w:contextualSpacing w:val="0"/>
      </w:pPr>
      <w:r w:rsidRPr="00F33FC9">
        <w:lastRenderedPageBreak/>
        <w:t xml:space="preserve">Receptors can be specified in numerous ways, especially for AERMOD.  </w:t>
      </w:r>
      <w:proofErr w:type="gramStart"/>
      <w:r w:rsidR="001A1216">
        <w:t>Is</w:t>
      </w:r>
      <w:proofErr w:type="gramEnd"/>
      <w:r w:rsidR="001A1216">
        <w:t xml:space="preserve"> the </w:t>
      </w:r>
      <w:r w:rsidR="00E47A77">
        <w:t xml:space="preserve">range and density </w:t>
      </w:r>
      <w:r w:rsidR="001A1216">
        <w:t xml:space="preserve">of receptors sufficient </w:t>
      </w:r>
      <w:r w:rsidR="00E47A77">
        <w:t xml:space="preserve">for finding </w:t>
      </w:r>
      <w:r w:rsidR="001A1216">
        <w:t xml:space="preserve">the maximum impact </w:t>
      </w:r>
      <w:r w:rsidR="00E47A77">
        <w:t>from the modeled sources</w:t>
      </w:r>
      <w:r w:rsidR="001A1216">
        <w:t>?</w:t>
      </w:r>
      <w:r>
        <w:t xml:space="preserve"> </w:t>
      </w:r>
      <w:r w:rsidRPr="00F33FC9">
        <w:t xml:space="preserve"> </w:t>
      </w:r>
    </w:p>
    <w:p w14:paraId="46793368" w14:textId="595A9B05" w:rsidR="00FD0F66" w:rsidRDefault="00D96B87" w:rsidP="00DB4222">
      <w:pPr>
        <w:pStyle w:val="ListParagraph"/>
        <w:numPr>
          <w:ilvl w:val="0"/>
          <w:numId w:val="60"/>
        </w:numPr>
        <w:spacing w:after="120"/>
        <w:contextualSpacing w:val="0"/>
      </w:pPr>
      <w:r>
        <w:t xml:space="preserve">Is the receptor grid used in </w:t>
      </w:r>
      <w:r w:rsidR="00123B33">
        <w:t xml:space="preserve">the </w:t>
      </w:r>
      <w:r>
        <w:t>cumulative impact analysis</w:t>
      </w:r>
      <w:r w:rsidR="00123B33">
        <w:t xml:space="preserve"> (if applicable)</w:t>
      </w:r>
      <w:r>
        <w:t xml:space="preserve"> limited to the modeling domain?  (See Section </w:t>
      </w:r>
      <w:r w:rsidR="00123B33">
        <w:t xml:space="preserve">9.2.2(d) of the Guideline.) </w:t>
      </w:r>
    </w:p>
    <w:p w14:paraId="32B5E9CF" w14:textId="007761F1" w:rsidR="001A1216" w:rsidRDefault="001A1216" w:rsidP="00DB4222">
      <w:pPr>
        <w:pStyle w:val="ListParagraph"/>
        <w:numPr>
          <w:ilvl w:val="0"/>
          <w:numId w:val="60"/>
        </w:numPr>
        <w:spacing w:after="120"/>
        <w:contextualSpacing w:val="0"/>
      </w:pPr>
      <w:r>
        <w:t xml:space="preserve">Are there any flagpole receptors?  </w:t>
      </w:r>
    </w:p>
    <w:p w14:paraId="705ED768" w14:textId="77777777" w:rsidR="00F15805" w:rsidRDefault="00902356" w:rsidP="00DB4222">
      <w:pPr>
        <w:pStyle w:val="ListParagraph"/>
        <w:numPr>
          <w:ilvl w:val="0"/>
          <w:numId w:val="60"/>
        </w:numPr>
        <w:spacing w:after="120"/>
        <w:contextualSpacing w:val="0"/>
      </w:pPr>
      <w:r>
        <w:t xml:space="preserve">Are </w:t>
      </w:r>
      <w:r w:rsidRPr="00F33FC9">
        <w:t xml:space="preserve">receptors </w:t>
      </w:r>
      <w:r>
        <w:t>located at</w:t>
      </w:r>
      <w:hyperlink w:anchor="WorkerHousing" w:history="1">
        <w:r w:rsidRPr="00FD0F66">
          <w:rPr>
            <w:rStyle w:val="Hyperlink"/>
          </w:rPr>
          <w:t xml:space="preserve"> worker housing</w:t>
        </w:r>
      </w:hyperlink>
      <w:r>
        <w:t>, if any (inside the ambient boundary</w:t>
      </w:r>
      <w:r w:rsidR="001A1216">
        <w:t>)</w:t>
      </w:r>
      <w:r>
        <w:t>?</w:t>
      </w:r>
    </w:p>
    <w:p w14:paraId="6B60FF15" w14:textId="77A7E4E3" w:rsidR="00E368E8" w:rsidRDefault="00956513" w:rsidP="00DB4222">
      <w:pPr>
        <w:pStyle w:val="ListParagraph"/>
        <w:numPr>
          <w:ilvl w:val="0"/>
          <w:numId w:val="60"/>
        </w:numPr>
        <w:spacing w:after="120"/>
        <w:contextualSpacing w:val="0"/>
      </w:pPr>
      <w:proofErr w:type="gramStart"/>
      <w:r>
        <w:t>Are</w:t>
      </w:r>
      <w:proofErr w:type="gramEnd"/>
      <w:r>
        <w:t xml:space="preserve"> any receptors placed within the ambient air boundary in areas that are not actually ambient air? </w:t>
      </w:r>
      <w:proofErr w:type="gramStart"/>
      <w:r>
        <w:t>Modeled</w:t>
      </w:r>
      <w:proofErr w:type="gramEnd"/>
      <w:r>
        <w:t xml:space="preserve"> concentrations that exceed the value of the AAAQS are not actually violations if they do not occur in ambient air; therefore, placing receptors within the ambient air boundary (except for situations</w:t>
      </w:r>
      <w:r w:rsidR="00B74297">
        <w:t xml:space="preserve"> where that </w:t>
      </w:r>
      <w:proofErr w:type="gramStart"/>
      <w:r w:rsidR="00B74297">
        <w:t>particular area</w:t>
      </w:r>
      <w:proofErr w:type="gramEnd"/>
      <w:r w:rsidR="00B74297">
        <w:t xml:space="preserve"> is ambient air,</w:t>
      </w:r>
      <w:r>
        <w:t xml:space="preserve"> such as worker housing</w:t>
      </w:r>
      <w:r w:rsidR="00B74297">
        <w:t xml:space="preserve"> areas, </w:t>
      </w:r>
      <w:proofErr w:type="spellStart"/>
      <w:r w:rsidR="00B74297">
        <w:t>right-of-ways</w:t>
      </w:r>
      <w:proofErr w:type="spellEnd"/>
      <w:r w:rsidR="00B74297">
        <w:t>, or leases</w:t>
      </w:r>
      <w:r>
        <w:t xml:space="preserve">) is unnecessary and can lead to erroneous results. </w:t>
      </w:r>
    </w:p>
    <w:p w14:paraId="475A3B92" w14:textId="07126F23" w:rsidR="00956513" w:rsidRDefault="002E349D" w:rsidP="00E368E8">
      <w:pPr>
        <w:pStyle w:val="ListParagraph"/>
        <w:spacing w:after="120"/>
        <w:ind w:left="900" w:right="90"/>
        <w:contextualSpacing w:val="0"/>
      </w:pPr>
      <w:r>
        <w:rPr>
          <w:u w:val="single"/>
        </w:rPr>
        <w:t>Note</w:t>
      </w:r>
      <w:r>
        <w:t xml:space="preserve">: </w:t>
      </w:r>
      <w:r w:rsidRPr="00E368E8">
        <w:rPr>
          <w:i/>
        </w:rPr>
        <w:t xml:space="preserve">You may need to view an applicant’s receptor placement </w:t>
      </w:r>
      <w:proofErr w:type="gramStart"/>
      <w:r w:rsidRPr="00E368E8">
        <w:rPr>
          <w:i/>
        </w:rPr>
        <w:t>through the use of</w:t>
      </w:r>
      <w:proofErr w:type="gramEnd"/>
      <w:r w:rsidRPr="00E368E8">
        <w:rPr>
          <w:i/>
        </w:rPr>
        <w:t xml:space="preserve"> a GUI to reliably determine their physical location </w:t>
      </w:r>
      <w:proofErr w:type="gramStart"/>
      <w:r w:rsidRPr="00E368E8">
        <w:rPr>
          <w:i/>
        </w:rPr>
        <w:t>with regard to</w:t>
      </w:r>
      <w:proofErr w:type="gramEnd"/>
      <w:r w:rsidRPr="00E368E8">
        <w:rPr>
          <w:i/>
        </w:rPr>
        <w:t xml:space="preserve"> an ambient air boundary</w:t>
      </w:r>
      <w:r w:rsidR="00E368E8">
        <w:t>.</w:t>
      </w:r>
      <w:r w:rsidR="00956513">
        <w:t xml:space="preserve"> </w:t>
      </w:r>
    </w:p>
    <w:p w14:paraId="017AB209" w14:textId="7EA8373F" w:rsidR="00902356" w:rsidRDefault="00902356" w:rsidP="00DB4222">
      <w:pPr>
        <w:pStyle w:val="ListParagraph"/>
        <w:numPr>
          <w:ilvl w:val="0"/>
          <w:numId w:val="60"/>
        </w:numPr>
        <w:contextualSpacing w:val="0"/>
      </w:pPr>
      <w:r>
        <w:t>P</w:t>
      </w:r>
      <w:r w:rsidRPr="00F33FC9">
        <w:t xml:space="preserve">lotting the receptors </w:t>
      </w:r>
      <w:r w:rsidR="00E47A77">
        <w:t xml:space="preserve">and concentration isopleths </w:t>
      </w:r>
      <w:r w:rsidRPr="00F33FC9">
        <w:t xml:space="preserve">in a </w:t>
      </w:r>
      <w:proofErr w:type="gramStart"/>
      <w:r w:rsidRPr="00F33FC9">
        <w:t>third</w:t>
      </w:r>
      <w:r w:rsidR="002A59F8">
        <w:t xml:space="preserve"> </w:t>
      </w:r>
      <w:r w:rsidRPr="00F33FC9">
        <w:t>party</w:t>
      </w:r>
      <w:proofErr w:type="gramEnd"/>
      <w:r w:rsidRPr="00F33FC9">
        <w:t xml:space="preserve"> product specific </w:t>
      </w:r>
      <w:proofErr w:type="gramStart"/>
      <w:r w:rsidRPr="00F33FC9">
        <w:t>for</w:t>
      </w:r>
      <w:proofErr w:type="gramEnd"/>
      <w:r w:rsidRPr="00F33FC9">
        <w:t xml:space="preserve"> dispersion modeling</w:t>
      </w:r>
      <w:r>
        <w:t xml:space="preserve"> </w:t>
      </w:r>
      <w:r w:rsidRPr="00F33FC9">
        <w:t>or other software (e.g. Golden Sof</w:t>
      </w:r>
      <w:r w:rsidR="00AE7BF2">
        <w:t>t</w:t>
      </w:r>
      <w:r w:rsidRPr="00F33FC9">
        <w:t>ware’s Surfer</w:t>
      </w:r>
      <w:r w:rsidRPr="00F33FC9">
        <w:rPr>
          <w:vertAlign w:val="superscript"/>
        </w:rPr>
        <w:t>®</w:t>
      </w:r>
      <w:r w:rsidRPr="00F33FC9">
        <w:t xml:space="preserve">) </w:t>
      </w:r>
      <w:r>
        <w:t xml:space="preserve">will greatly assist you in </w:t>
      </w:r>
      <w:r w:rsidR="00471CB2">
        <w:t>evaluating the adequacy of the applicant’s receptor grid</w:t>
      </w:r>
      <w:r w:rsidRPr="00F33FC9">
        <w:t xml:space="preserve">.  </w:t>
      </w:r>
    </w:p>
    <w:p w14:paraId="5B0CC37B" w14:textId="77777777" w:rsidR="00902356" w:rsidRPr="00902356" w:rsidRDefault="00902356" w:rsidP="00471CB2">
      <w:pPr>
        <w:keepNext/>
        <w:rPr>
          <w:b/>
          <w:i/>
        </w:rPr>
      </w:pPr>
      <w:hyperlink w:anchor="OffSiteSources" w:history="1">
        <w:r w:rsidRPr="00591744">
          <w:rPr>
            <w:rStyle w:val="Hyperlink"/>
            <w:b/>
            <w:i/>
          </w:rPr>
          <w:t>Off</w:t>
        </w:r>
        <w:r w:rsidR="00A80D27">
          <w:rPr>
            <w:rStyle w:val="Hyperlink"/>
            <w:b/>
            <w:i/>
          </w:rPr>
          <w:t>-</w:t>
        </w:r>
        <w:r w:rsidRPr="00591744">
          <w:rPr>
            <w:rStyle w:val="Hyperlink"/>
            <w:b/>
            <w:i/>
          </w:rPr>
          <w:t>site Contributions and Background Air Quality Data</w:t>
        </w:r>
      </w:hyperlink>
    </w:p>
    <w:p w14:paraId="64269B73" w14:textId="1E2AA051" w:rsidR="00F05ECC" w:rsidRDefault="00906B4B" w:rsidP="00233E85">
      <w:r>
        <w:t xml:space="preserve">EPA </w:t>
      </w:r>
      <w:r w:rsidR="00313DAF">
        <w:t xml:space="preserve">no longer endorses their past practice of using the </w:t>
      </w:r>
      <w:r w:rsidR="00233E85">
        <w:t>significant impact a</w:t>
      </w:r>
      <w:r w:rsidR="00A80D27">
        <w:t xml:space="preserve">rea (SIA) to determine which off-site </w:t>
      </w:r>
      <w:r w:rsidR="00ED225D">
        <w:t xml:space="preserve">stationary </w:t>
      </w:r>
      <w:r w:rsidR="00A80D27">
        <w:t xml:space="preserve">sources </w:t>
      </w:r>
      <w:r w:rsidR="00313DAF">
        <w:t>should be included</w:t>
      </w:r>
      <w:r w:rsidR="00233E85">
        <w:t xml:space="preserve"> in </w:t>
      </w:r>
      <w:r w:rsidR="00313DAF">
        <w:t>a cumulative impact</w:t>
      </w:r>
      <w:r w:rsidR="00233E85">
        <w:t xml:space="preserve"> </w:t>
      </w:r>
      <w:proofErr w:type="gramStart"/>
      <w:r w:rsidR="00ED225D">
        <w:t>analysis</w:t>
      </w:r>
      <w:r>
        <w:t>;</w:t>
      </w:r>
      <w:proofErr w:type="gramEnd"/>
      <w:r>
        <w:t xml:space="preserve"> </w:t>
      </w:r>
      <w:r w:rsidR="00313DAF">
        <w:t xml:space="preserve">which they previously described </w:t>
      </w:r>
      <w:r w:rsidR="00D3537B">
        <w:t>in Chapter</w:t>
      </w:r>
      <w:r w:rsidR="007B5CDB">
        <w:t> </w:t>
      </w:r>
      <w:r w:rsidR="00D3537B">
        <w:t>C, Section</w:t>
      </w:r>
      <w:r w:rsidR="007B5CDB">
        <w:t> </w:t>
      </w:r>
      <w:r w:rsidR="00D3537B">
        <w:t>IV.C.1 of their October</w:t>
      </w:r>
      <w:r w:rsidR="007B5CDB">
        <w:t> </w:t>
      </w:r>
      <w:r w:rsidR="00D3537B">
        <w:t xml:space="preserve">1990 draft </w:t>
      </w:r>
      <w:r w:rsidR="00D3537B" w:rsidRPr="00D3537B">
        <w:rPr>
          <w:i/>
        </w:rPr>
        <w:t>New Source Review Workshop Manual</w:t>
      </w:r>
      <w:r w:rsidR="00D3537B">
        <w:rPr>
          <w:i/>
        </w:rPr>
        <w:t>.</w:t>
      </w:r>
      <w:r w:rsidR="00E300FA">
        <w:t xml:space="preserve">  </w:t>
      </w:r>
      <w:r w:rsidR="0055015E">
        <w:t xml:space="preserve">They have subsequently stated </w:t>
      </w:r>
      <w:r w:rsidR="006674C5">
        <w:t xml:space="preserve">that following the SIA approach “in a literal and uncritical manner may in many cases result in cumulative impact assessments that are overly conservative and could unnecessarily complicate the permitting process in some cases.” </w:t>
      </w:r>
      <w:bookmarkStart w:id="7" w:name="_Ref524531641"/>
      <w:r w:rsidR="0055015E">
        <w:rPr>
          <w:rStyle w:val="FootnoteReference"/>
        </w:rPr>
        <w:footnoteReference w:id="6"/>
      </w:r>
      <w:bookmarkEnd w:id="7"/>
    </w:p>
    <w:p w14:paraId="13B43914" w14:textId="22536DB8" w:rsidR="00233E85" w:rsidRDefault="00F05ECC" w:rsidP="00233E85">
      <w:r>
        <w:t xml:space="preserve">Section 8.3.3(b) of the Guideline states, “All sources in the vicinity of the source(s) under consideration for emissions limits that are </w:t>
      </w:r>
      <w:r w:rsidRPr="00F05ECC">
        <w:rPr>
          <w:b/>
          <w:i/>
          <w:u w:val="single"/>
        </w:rPr>
        <w:t>not</w:t>
      </w:r>
      <w:r>
        <w:t xml:space="preserve"> adequately represented by ambient monitoring data should be explicitly modeled” (emphasis added).  Assessing the adequacy of the ambient monitoring data for representing the off-site sources is, therefore, the key criteria for determining which off-site sources need to be modeled.  See Section 8.3 of the Guideline and Section </w:t>
      </w:r>
      <w:r>
        <w:fldChar w:fldCharType="begin"/>
      </w:r>
      <w:r>
        <w:instrText xml:space="preserve"> REF _Ref489945212 \w \h </w:instrText>
      </w:r>
      <w:r>
        <w:fldChar w:fldCharType="separate"/>
      </w:r>
      <w:r w:rsidR="00135FFD">
        <w:t>2.14.3</w:t>
      </w:r>
      <w:r>
        <w:fldChar w:fldCharType="end"/>
      </w:r>
      <w:r>
        <w:t xml:space="preserve"> of this manual for additional details and comments. </w:t>
      </w:r>
    </w:p>
    <w:p w14:paraId="03FE68B8" w14:textId="61E7F902" w:rsidR="00A80D27" w:rsidRDefault="00BD5A87" w:rsidP="00A80D27">
      <w:r>
        <w:t xml:space="preserve">Reiterating the key points: </w:t>
      </w:r>
      <w:r w:rsidR="006112AB">
        <w:t xml:space="preserve">when conducting a cumulative AAAQS analysis, </w:t>
      </w:r>
      <w:r w:rsidR="0075041C">
        <w:t xml:space="preserve">applicants should </w:t>
      </w:r>
      <w:r w:rsidR="005C11B9">
        <w:t xml:space="preserve">evaluate the adequacy of the background data and </w:t>
      </w:r>
      <w:r w:rsidR="0075041C">
        <w:t xml:space="preserve">explicitly model all </w:t>
      </w:r>
      <w:r>
        <w:t>n</w:t>
      </w:r>
      <w:r w:rsidR="00A80D27">
        <w:t xml:space="preserve">earby </w:t>
      </w:r>
      <w:r w:rsidR="006343AC">
        <w:t xml:space="preserve">stationary </w:t>
      </w:r>
      <w:r w:rsidR="00A80D27">
        <w:t>sources</w:t>
      </w:r>
      <w:r w:rsidR="005C11B9">
        <w:t xml:space="preserve"> that are not represented in the data</w:t>
      </w:r>
      <w:r w:rsidR="00A80D27">
        <w:t xml:space="preserve">.  </w:t>
      </w:r>
      <w:r w:rsidR="005C11B9">
        <w:t>D</w:t>
      </w:r>
      <w:r w:rsidR="006112AB">
        <w:t xml:space="preserve">istant stationary sources, along </w:t>
      </w:r>
      <w:r w:rsidR="006112AB">
        <w:lastRenderedPageBreak/>
        <w:t xml:space="preserve">with natural impacts, </w:t>
      </w:r>
      <w:r w:rsidR="005C11B9">
        <w:t xml:space="preserve">may generally be </w:t>
      </w:r>
      <w:r w:rsidR="006112AB">
        <w:t>represent</w:t>
      </w:r>
      <w:r w:rsidR="005C11B9">
        <w:t>ed</w:t>
      </w:r>
      <w:r w:rsidR="006112AB">
        <w:t xml:space="preserve"> </w:t>
      </w:r>
      <w:r w:rsidR="005C11B9">
        <w:t xml:space="preserve">through the </w:t>
      </w:r>
      <w:r w:rsidR="006112AB">
        <w:t>monitoring data</w:t>
      </w:r>
      <w:r w:rsidR="00A80D27">
        <w:t>.</w:t>
      </w:r>
      <w:r w:rsidR="006112AB">
        <w:t xml:space="preserve">  The applicant should </w:t>
      </w:r>
      <w:r w:rsidR="00B046F6">
        <w:t xml:space="preserve">likewise </w:t>
      </w:r>
      <w:r w:rsidR="006112AB">
        <w:t xml:space="preserve">generally model all nearby increment consuming sources, when conducting a cumulative increment analysis. </w:t>
      </w:r>
    </w:p>
    <w:p w14:paraId="52041403" w14:textId="4D86BA0F" w:rsidR="00233E85" w:rsidRDefault="00233E85" w:rsidP="00DB4222">
      <w:pPr>
        <w:pStyle w:val="ListParagraph"/>
        <w:numPr>
          <w:ilvl w:val="0"/>
          <w:numId w:val="67"/>
        </w:numPr>
        <w:spacing w:after="120"/>
        <w:contextualSpacing w:val="0"/>
      </w:pPr>
      <w:r>
        <w:t xml:space="preserve">Has the applicant identified nearby sources and </w:t>
      </w:r>
      <w:r w:rsidR="006112AB">
        <w:t xml:space="preserve">appropriately </w:t>
      </w:r>
      <w:r>
        <w:t xml:space="preserve">included </w:t>
      </w:r>
      <w:r w:rsidR="006112AB">
        <w:t xml:space="preserve">their impacts in the various </w:t>
      </w:r>
      <w:r w:rsidR="00974159">
        <w:t xml:space="preserve">cumulative impact </w:t>
      </w:r>
      <w:r w:rsidR="008208ED">
        <w:t>analysis</w:t>
      </w:r>
      <w:r w:rsidR="006112AB">
        <w:t xml:space="preserve"> (as applicable)</w:t>
      </w:r>
      <w:r>
        <w:t>?</w:t>
      </w:r>
    </w:p>
    <w:p w14:paraId="0180A7A3" w14:textId="76915C5B" w:rsidR="008208ED" w:rsidRDefault="008208ED" w:rsidP="00DB4222">
      <w:pPr>
        <w:pStyle w:val="ListParagraph"/>
        <w:numPr>
          <w:ilvl w:val="0"/>
          <w:numId w:val="67"/>
        </w:numPr>
        <w:spacing w:after="120"/>
        <w:contextualSpacing w:val="0"/>
      </w:pPr>
      <w:r>
        <w:t xml:space="preserve">Did the applicant include an appropriate </w:t>
      </w:r>
      <w:r w:rsidR="00974159">
        <w:t xml:space="preserve">ambient </w:t>
      </w:r>
      <w:r>
        <w:t xml:space="preserve">background </w:t>
      </w:r>
      <w:r w:rsidR="00974159">
        <w:t xml:space="preserve">concentration </w:t>
      </w:r>
      <w:r>
        <w:t>for each pollutant and averaging period (</w:t>
      </w:r>
      <w:r w:rsidR="00CD3984">
        <w:t>as</w:t>
      </w:r>
      <w:r>
        <w:t xml:space="preserve"> applicable)</w:t>
      </w:r>
      <w:r w:rsidR="006112AB">
        <w:t xml:space="preserve"> in their cumulative AAAQS analysis</w:t>
      </w:r>
      <w:r>
        <w:t>?</w:t>
      </w:r>
    </w:p>
    <w:p w14:paraId="3BAF629D" w14:textId="293FAB66" w:rsidR="00216848" w:rsidRPr="00216848" w:rsidRDefault="00216848" w:rsidP="00B10178">
      <w:pPr>
        <w:keepNext/>
        <w:rPr>
          <w:b/>
          <w:i/>
        </w:rPr>
      </w:pPr>
      <w:r w:rsidRPr="00216848">
        <w:rPr>
          <w:b/>
          <w:i/>
        </w:rPr>
        <w:t>Post-Processing Modeling Results</w:t>
      </w:r>
    </w:p>
    <w:p w14:paraId="5266F926" w14:textId="6048384E" w:rsidR="00216848" w:rsidRDefault="00216848" w:rsidP="00216848">
      <w:proofErr w:type="gramStart"/>
      <w:r>
        <w:t>Did</w:t>
      </w:r>
      <w:proofErr w:type="gramEnd"/>
      <w:r>
        <w:t xml:space="preserve"> the modeling results require post-processing, e.g. using LEADPOST to obtain the quarterly impacts from AERMOD?  If so, was the post-processing </w:t>
      </w:r>
      <w:r w:rsidR="00CD3984">
        <w:t>properly conducted?</w:t>
      </w:r>
      <w:r>
        <w:t xml:space="preserve">  Similarly, if CALPUFF was used to examine visibility impacts, was CALPOST properly applied?</w:t>
      </w:r>
    </w:p>
    <w:p w14:paraId="53711805" w14:textId="77777777" w:rsidR="00FD141F" w:rsidRDefault="00FD141F" w:rsidP="00216848">
      <w:r>
        <w:t>If additional post-processing was conducted without the use of model-associated postprocessors, is there sufficient explanation of the processing and analysis?  Are spreadsheets or other electronic files included in the submission?</w:t>
      </w:r>
    </w:p>
    <w:p w14:paraId="34B36344" w14:textId="77777777" w:rsidR="00E06022" w:rsidRDefault="00591744" w:rsidP="00CD3984">
      <w:pPr>
        <w:keepNext/>
        <w:rPr>
          <w:b/>
          <w:i/>
        </w:rPr>
      </w:pPr>
      <w:hyperlink w:anchor="AmbientAssessment" w:history="1">
        <w:r w:rsidRPr="00591744">
          <w:rPr>
            <w:rStyle w:val="Hyperlink"/>
            <w:b/>
            <w:i/>
          </w:rPr>
          <w:t>Ambient Air Assessments</w:t>
        </w:r>
      </w:hyperlink>
    </w:p>
    <w:p w14:paraId="60F3ED4F" w14:textId="77777777" w:rsidR="00E06022" w:rsidRDefault="00E06022" w:rsidP="00E06022">
      <w:r>
        <w:t xml:space="preserve">An applicant’s </w:t>
      </w:r>
      <w:proofErr w:type="gramStart"/>
      <w:r>
        <w:t>ultimate goal</w:t>
      </w:r>
      <w:proofErr w:type="gramEnd"/>
      <w:r>
        <w:t xml:space="preserve"> is to obtain the permit.  This is accomplished by demonstrating compliance with all the necessary provisions and regulations and air quality standards.</w:t>
      </w:r>
    </w:p>
    <w:p w14:paraId="08E3E617" w14:textId="77777777" w:rsidR="00FD0F66" w:rsidRPr="00E06022" w:rsidRDefault="00FD0F66" w:rsidP="00E06022">
      <w:pPr>
        <w:rPr>
          <w:b/>
          <w:i/>
        </w:rPr>
      </w:pPr>
      <w:r>
        <w:t xml:space="preserve">The type of permit being sought (minor or PSD) will </w:t>
      </w:r>
      <w:r w:rsidR="007319CC">
        <w:t>prescribe</w:t>
      </w:r>
      <w:r>
        <w:t xml:space="preserve"> the analyses required to be completed, but there are elements common to both.  </w:t>
      </w:r>
      <w:r w:rsidR="008208ED">
        <w:t>Below are</w:t>
      </w:r>
      <w:r>
        <w:t xml:space="preserve"> common elements with permit-specific elements in the next two sections.</w:t>
      </w:r>
    </w:p>
    <w:p w14:paraId="29FEB388" w14:textId="0CAA46C0" w:rsidR="005B1567" w:rsidRPr="00AB6E9C" w:rsidRDefault="005B1567" w:rsidP="00DB4222">
      <w:pPr>
        <w:pStyle w:val="ListParagraph"/>
        <w:numPr>
          <w:ilvl w:val="0"/>
          <w:numId w:val="63"/>
        </w:numPr>
        <w:spacing w:after="120"/>
        <w:contextualSpacing w:val="0"/>
      </w:pPr>
      <w:r>
        <w:rPr>
          <w:snapToGrid w:val="0"/>
        </w:rPr>
        <w:t xml:space="preserve">Was the ambient assessment conducted according to </w:t>
      </w:r>
      <w:hyperlink r:id="rId29" w:history="1">
        <w:r w:rsidRPr="005B1567">
          <w:rPr>
            <w:rStyle w:val="Hyperlink"/>
            <w:snapToGrid w:val="0"/>
          </w:rPr>
          <w:t>18 AAC 50.215</w:t>
        </w:r>
      </w:hyperlink>
      <w:r>
        <w:rPr>
          <w:snapToGrid w:val="0"/>
        </w:rPr>
        <w:t>(b) – (</w:t>
      </w:r>
      <w:r w:rsidR="00202D59">
        <w:rPr>
          <w:snapToGrid w:val="0"/>
        </w:rPr>
        <w:t>d</w:t>
      </w:r>
      <w:r>
        <w:rPr>
          <w:snapToGrid w:val="0"/>
        </w:rPr>
        <w:t>)</w:t>
      </w:r>
      <w:r w:rsidR="004C7F16">
        <w:rPr>
          <w:snapToGrid w:val="0"/>
        </w:rPr>
        <w:t>?</w:t>
      </w:r>
    </w:p>
    <w:p w14:paraId="2B3A4492" w14:textId="18F9A253" w:rsidR="00AB6E9C" w:rsidRPr="00AB6E9C" w:rsidRDefault="00AB6E9C" w:rsidP="00DB4222">
      <w:pPr>
        <w:pStyle w:val="ListParagraph"/>
        <w:numPr>
          <w:ilvl w:val="0"/>
          <w:numId w:val="63"/>
        </w:numPr>
        <w:spacing w:after="120"/>
        <w:contextualSpacing w:val="0"/>
      </w:pPr>
      <w:r>
        <w:rPr>
          <w:snapToGrid w:val="0"/>
        </w:rPr>
        <w:t xml:space="preserve">If the </w:t>
      </w:r>
      <w:r w:rsidR="004C7F16">
        <w:rPr>
          <w:snapToGrid w:val="0"/>
        </w:rPr>
        <w:t xml:space="preserve">applicant compared their project impact </w:t>
      </w:r>
      <w:r>
        <w:rPr>
          <w:snapToGrid w:val="0"/>
        </w:rPr>
        <w:t xml:space="preserve">to </w:t>
      </w:r>
      <w:r w:rsidR="004C7F16">
        <w:rPr>
          <w:snapToGrid w:val="0"/>
        </w:rPr>
        <w:t xml:space="preserve">the applicable </w:t>
      </w:r>
      <w:r>
        <w:rPr>
          <w:snapToGrid w:val="0"/>
        </w:rPr>
        <w:t xml:space="preserve">significant impact level (SIL), </w:t>
      </w:r>
      <w:r w:rsidR="004C7F16">
        <w:rPr>
          <w:snapToGrid w:val="0"/>
        </w:rPr>
        <w:t xml:space="preserve">did they come to the correct </w:t>
      </w:r>
      <w:r>
        <w:rPr>
          <w:snapToGrid w:val="0"/>
        </w:rPr>
        <w:t xml:space="preserve">conclusion </w:t>
      </w:r>
      <w:r w:rsidR="004C7F16">
        <w:rPr>
          <w:snapToGrid w:val="0"/>
        </w:rPr>
        <w:t xml:space="preserve">regarding the need for a cumulative impact analysis? </w:t>
      </w:r>
    </w:p>
    <w:p w14:paraId="7565588C" w14:textId="69DA1F82" w:rsidR="00AB6E9C" w:rsidRDefault="00AB6E9C" w:rsidP="002016E8">
      <w:pPr>
        <w:pStyle w:val="ListParagraph"/>
        <w:spacing w:after="120"/>
        <w:ind w:left="1260"/>
        <w:contextualSpacing w:val="0"/>
      </w:pPr>
      <w:r w:rsidRPr="00AB6E9C">
        <w:rPr>
          <w:snapToGrid w:val="0"/>
          <w:u w:val="single"/>
        </w:rPr>
        <w:t>Note</w:t>
      </w:r>
      <w:r>
        <w:rPr>
          <w:snapToGrid w:val="0"/>
        </w:rPr>
        <w:t xml:space="preserve">: </w:t>
      </w:r>
      <w:r w:rsidR="004C7F16" w:rsidRPr="00E368E8">
        <w:rPr>
          <w:i/>
          <w:snapToGrid w:val="0"/>
        </w:rPr>
        <w:t>A</w:t>
      </w:r>
      <w:r w:rsidRPr="00E368E8">
        <w:rPr>
          <w:i/>
          <w:snapToGrid w:val="0"/>
        </w:rPr>
        <w:t>pplicant</w:t>
      </w:r>
      <w:r w:rsidR="004C7F16" w:rsidRPr="00E368E8">
        <w:rPr>
          <w:i/>
          <w:snapToGrid w:val="0"/>
        </w:rPr>
        <w:t>s have the option of just conducting</w:t>
      </w:r>
      <w:r w:rsidRPr="00E368E8">
        <w:rPr>
          <w:i/>
          <w:snapToGrid w:val="0"/>
        </w:rPr>
        <w:t xml:space="preserve"> </w:t>
      </w:r>
      <w:r w:rsidR="009D2B82" w:rsidRPr="00E368E8">
        <w:rPr>
          <w:i/>
          <w:snapToGrid w:val="0"/>
        </w:rPr>
        <w:t xml:space="preserve">a </w:t>
      </w:r>
      <w:r w:rsidRPr="00E368E8">
        <w:rPr>
          <w:i/>
          <w:snapToGrid w:val="0"/>
        </w:rPr>
        <w:t xml:space="preserve">cumulative </w:t>
      </w:r>
      <w:r w:rsidR="004C7F16" w:rsidRPr="00E368E8">
        <w:rPr>
          <w:i/>
          <w:snapToGrid w:val="0"/>
        </w:rPr>
        <w:t xml:space="preserve">impact assessment without first going through a project impact </w:t>
      </w:r>
      <w:r w:rsidRPr="00E368E8">
        <w:rPr>
          <w:i/>
          <w:snapToGrid w:val="0"/>
        </w:rPr>
        <w:t>analysis</w:t>
      </w:r>
      <w:r>
        <w:rPr>
          <w:snapToGrid w:val="0"/>
        </w:rPr>
        <w:t>.</w:t>
      </w:r>
    </w:p>
    <w:p w14:paraId="4C02E5F3" w14:textId="286923F9" w:rsidR="00AB6E9C" w:rsidRDefault="00E06022" w:rsidP="00DB4222">
      <w:pPr>
        <w:pStyle w:val="ListParagraph"/>
        <w:numPr>
          <w:ilvl w:val="0"/>
          <w:numId w:val="63"/>
        </w:numPr>
        <w:spacing w:after="120"/>
        <w:contextualSpacing w:val="0"/>
      </w:pPr>
      <w:r>
        <w:t xml:space="preserve">Examine the </w:t>
      </w:r>
      <w:proofErr w:type="gramStart"/>
      <w:r>
        <w:t>analyses</w:t>
      </w:r>
      <w:proofErr w:type="gramEnd"/>
      <w:r>
        <w:t xml:space="preserve">.  </w:t>
      </w:r>
      <w:r w:rsidR="004C7F16">
        <w:t xml:space="preserve">Did the applicant demonstrate compliance with each </w:t>
      </w:r>
      <w:proofErr w:type="gramStart"/>
      <w:r w:rsidR="004C7F16">
        <w:t>AAAQS</w:t>
      </w:r>
      <w:proofErr w:type="gramEnd"/>
      <w:r w:rsidR="004C7F16">
        <w:t xml:space="preserve"> and increment triggered for the given permit classifications?  Did they provide the modeling files needed to review their </w:t>
      </w:r>
      <w:proofErr w:type="gramStart"/>
      <w:r w:rsidR="004C7F16">
        <w:t>analysis</w:t>
      </w:r>
      <w:proofErr w:type="gramEnd"/>
      <w:r w:rsidR="004C7F16">
        <w:t xml:space="preserve"> and did they present the</w:t>
      </w:r>
      <w:r>
        <w:t xml:space="preserve"> results in a format that </w:t>
      </w:r>
      <w:r w:rsidR="004C7F16">
        <w:t>you</w:t>
      </w:r>
      <w:r>
        <w:t xml:space="preserve"> can follow and understand?  </w:t>
      </w:r>
      <w:r w:rsidR="004C7F16">
        <w:t xml:space="preserve">If not, ask them to clarify what you don’t understand. </w:t>
      </w:r>
    </w:p>
    <w:p w14:paraId="263C751E" w14:textId="1B80B67F" w:rsidR="00E06022" w:rsidRDefault="00E06022" w:rsidP="00DB4222">
      <w:pPr>
        <w:pStyle w:val="ListParagraph"/>
        <w:numPr>
          <w:ilvl w:val="0"/>
          <w:numId w:val="63"/>
        </w:numPr>
        <w:spacing w:after="120"/>
        <w:contextualSpacing w:val="0"/>
      </w:pPr>
      <w:r>
        <w:t xml:space="preserve">Are </w:t>
      </w:r>
      <w:r w:rsidR="00803145">
        <w:t>the applicable Alaska Ambient Air Quality Standards (</w:t>
      </w:r>
      <w:r>
        <w:t>AAAQS</w:t>
      </w:r>
      <w:r w:rsidR="00803145">
        <w:t>)</w:t>
      </w:r>
      <w:r>
        <w:t xml:space="preserve">, increments, and other </w:t>
      </w:r>
      <w:r w:rsidR="00803145">
        <w:t xml:space="preserve">thresholds </w:t>
      </w:r>
      <w:r>
        <w:t>clearly identified for comparison to the modeling results?</w:t>
      </w:r>
    </w:p>
    <w:p w14:paraId="7865D191" w14:textId="5FC0EE07" w:rsidR="00E06022" w:rsidRDefault="00027B11" w:rsidP="00DB4222">
      <w:pPr>
        <w:pStyle w:val="ListParagraph"/>
        <w:numPr>
          <w:ilvl w:val="0"/>
          <w:numId w:val="63"/>
        </w:numPr>
        <w:spacing w:after="120"/>
        <w:contextualSpacing w:val="0"/>
      </w:pPr>
      <w:r>
        <w:lastRenderedPageBreak/>
        <w:t>Representative b</w:t>
      </w:r>
      <w:r w:rsidR="00E06022">
        <w:t xml:space="preserve">ackground air quality data are a required part of </w:t>
      </w:r>
      <w:r>
        <w:t xml:space="preserve">an </w:t>
      </w:r>
      <w:r w:rsidR="00E06022">
        <w:t xml:space="preserve">applicant’s </w:t>
      </w:r>
      <w:r>
        <w:t xml:space="preserve">cumulative AAAQS </w:t>
      </w:r>
      <w:r w:rsidR="00E06022">
        <w:t xml:space="preserve">analysis.  </w:t>
      </w:r>
      <w:proofErr w:type="gramStart"/>
      <w:r w:rsidR="00E06022">
        <w:t>Is</w:t>
      </w:r>
      <w:proofErr w:type="gramEnd"/>
      <w:r w:rsidR="00E06022">
        <w:t xml:space="preserve"> there adequate explanation and justification on what values were used?</w:t>
      </w:r>
    </w:p>
    <w:p w14:paraId="7525A76D" w14:textId="77777777" w:rsidR="008516DD" w:rsidRDefault="001578CE" w:rsidP="000958CC">
      <w:pPr>
        <w:pStyle w:val="Heading2"/>
      </w:pPr>
      <w:r>
        <w:tab/>
      </w:r>
      <w:bookmarkStart w:id="8" w:name="_Toc526778211"/>
      <w:r w:rsidR="00A40B4E">
        <w:t xml:space="preserve">Minor Permit </w:t>
      </w:r>
      <w:r w:rsidR="00EA13C1">
        <w:t>Modeling Review</w:t>
      </w:r>
      <w:bookmarkEnd w:id="8"/>
    </w:p>
    <w:p w14:paraId="4094F543" w14:textId="77777777" w:rsidR="005B1567" w:rsidRPr="00216848" w:rsidRDefault="005B1567" w:rsidP="00B10178">
      <w:pPr>
        <w:keepNext/>
        <w:rPr>
          <w:b/>
          <w:i/>
        </w:rPr>
      </w:pPr>
      <w:hyperlink w:anchor="FastTrack" w:history="1">
        <w:r w:rsidRPr="00216848">
          <w:rPr>
            <w:rStyle w:val="Hyperlink"/>
            <w:b/>
            <w:i/>
          </w:rPr>
          <w:t>Fast-Track Demonstration</w:t>
        </w:r>
      </w:hyperlink>
    </w:p>
    <w:p w14:paraId="2D91DE23" w14:textId="6EAFA221" w:rsidR="005B1567" w:rsidRDefault="005B1567">
      <w:r>
        <w:t>A fast-track demonstration</w:t>
      </w:r>
      <w:r w:rsidR="00A16052">
        <w:t xml:space="preserve"> under 18 AAC 50.542(b)</w:t>
      </w:r>
      <w:r>
        <w:t xml:space="preserve"> allows an applicant to receive a minor permit within 30 days of </w:t>
      </w:r>
      <w:proofErr w:type="gramStart"/>
      <w:r>
        <w:t>submitting an application</w:t>
      </w:r>
      <w:proofErr w:type="gramEnd"/>
      <w:r>
        <w:t xml:space="preserve"> if certain procedures are followed.</w:t>
      </w:r>
    </w:p>
    <w:p w14:paraId="5003B38A" w14:textId="77777777" w:rsidR="005B1567" w:rsidRDefault="005B1567" w:rsidP="00DB4222">
      <w:pPr>
        <w:pStyle w:val="ListParagraph"/>
        <w:numPr>
          <w:ilvl w:val="0"/>
          <w:numId w:val="70"/>
        </w:numPr>
        <w:spacing w:after="120"/>
        <w:contextualSpacing w:val="0"/>
      </w:pPr>
      <w:r>
        <w:t>Does the application qualify for fast-track procedures?  Be sure the area is not excluded from using fast-track procedures.</w:t>
      </w:r>
    </w:p>
    <w:p w14:paraId="390B9245" w14:textId="77777777" w:rsidR="005B1567" w:rsidRDefault="005B1567" w:rsidP="00953AF4">
      <w:pPr>
        <w:pStyle w:val="ListParagraph"/>
        <w:numPr>
          <w:ilvl w:val="0"/>
          <w:numId w:val="70"/>
        </w:numPr>
      </w:pPr>
      <w:r>
        <w:t>If a screening analysis was performed, is it complete and properly conducted?  This would include developing the screening meteorology.</w:t>
      </w:r>
    </w:p>
    <w:p w14:paraId="0BF73271" w14:textId="77777777" w:rsidR="00631345" w:rsidRDefault="001578CE" w:rsidP="000958CC">
      <w:pPr>
        <w:pStyle w:val="Heading2"/>
      </w:pPr>
      <w:r>
        <w:tab/>
      </w:r>
      <w:bookmarkStart w:id="9" w:name="_Toc526778212"/>
      <w:r w:rsidR="00A40B4E">
        <w:t xml:space="preserve">PSD Permit </w:t>
      </w:r>
      <w:r w:rsidR="00EA13C1">
        <w:t>Modeling Review</w:t>
      </w:r>
      <w:bookmarkEnd w:id="9"/>
    </w:p>
    <w:p w14:paraId="2556D692" w14:textId="082AE1B9" w:rsidR="00953AF4" w:rsidRDefault="00107813" w:rsidP="00953AF4">
      <w:pPr>
        <w:pStyle w:val="CommentText"/>
        <w:numPr>
          <w:ilvl w:val="0"/>
          <w:numId w:val="73"/>
        </w:numPr>
        <w:spacing w:after="120"/>
        <w:rPr>
          <w:sz w:val="24"/>
        </w:rPr>
      </w:pPr>
      <w:r w:rsidRPr="00953AF4">
        <w:rPr>
          <w:sz w:val="24"/>
        </w:rPr>
        <w:t xml:space="preserve">Under PSD permitting, the </w:t>
      </w:r>
      <w:r w:rsidR="00603267" w:rsidRPr="00035A8E">
        <w:rPr>
          <w:sz w:val="24"/>
        </w:rPr>
        <w:t>Federal Land Manager (FLM)</w:t>
      </w:r>
      <w:r w:rsidRPr="00953AF4">
        <w:rPr>
          <w:sz w:val="24"/>
        </w:rPr>
        <w:t xml:space="preserve"> </w:t>
      </w:r>
      <w:r w:rsidR="00182F37">
        <w:rPr>
          <w:sz w:val="24"/>
        </w:rPr>
        <w:t>must</w:t>
      </w:r>
      <w:r w:rsidR="00182F37" w:rsidRPr="00953AF4">
        <w:rPr>
          <w:sz w:val="24"/>
        </w:rPr>
        <w:t xml:space="preserve"> </w:t>
      </w:r>
      <w:r w:rsidRPr="00953AF4">
        <w:rPr>
          <w:sz w:val="24"/>
        </w:rPr>
        <w:t>be</w:t>
      </w:r>
      <w:r w:rsidR="00603267" w:rsidRPr="00953AF4">
        <w:rPr>
          <w:sz w:val="24"/>
        </w:rPr>
        <w:t xml:space="preserve"> notified of </w:t>
      </w:r>
      <w:r w:rsidR="00182F37">
        <w:rPr>
          <w:sz w:val="24"/>
        </w:rPr>
        <w:t xml:space="preserve">all PSD projects within 100 kilometers (km) of </w:t>
      </w:r>
      <w:r w:rsidR="00871FAB">
        <w:rPr>
          <w:sz w:val="24"/>
        </w:rPr>
        <w:t xml:space="preserve">the </w:t>
      </w:r>
      <w:r w:rsidR="00182F37">
        <w:rPr>
          <w:sz w:val="24"/>
        </w:rPr>
        <w:t xml:space="preserve">Class I area </w:t>
      </w:r>
      <w:r w:rsidR="00871FAB">
        <w:rPr>
          <w:sz w:val="24"/>
        </w:rPr>
        <w:t xml:space="preserve">that they manage, </w:t>
      </w:r>
      <w:r w:rsidR="00182F37">
        <w:rPr>
          <w:sz w:val="24"/>
        </w:rPr>
        <w:t>or “very large [PSD] sources” located beyond 100 km</w:t>
      </w:r>
      <w:r w:rsidRPr="00953AF4">
        <w:rPr>
          <w:sz w:val="24"/>
        </w:rPr>
        <w:t>.</w:t>
      </w:r>
      <w:r w:rsidR="00953AF4" w:rsidRPr="00953AF4">
        <w:rPr>
          <w:sz w:val="24"/>
        </w:rPr>
        <w:t xml:space="preserve">  </w:t>
      </w:r>
      <w:r w:rsidR="00182F37">
        <w:rPr>
          <w:sz w:val="24"/>
        </w:rPr>
        <w:t xml:space="preserve">Did you comply with the FLM notification requirements in 40 CFR 52.21(p)?  </w:t>
      </w:r>
      <w:r w:rsidR="00953AF4">
        <w:rPr>
          <w:sz w:val="24"/>
        </w:rPr>
        <w:t>D</w:t>
      </w:r>
      <w:r w:rsidR="00953AF4" w:rsidRPr="00953AF4">
        <w:rPr>
          <w:sz w:val="24"/>
        </w:rPr>
        <w:t>id the FLM want to be involved?  If so, to what extent?</w:t>
      </w:r>
    </w:p>
    <w:p w14:paraId="003E09DD" w14:textId="23CCDA24" w:rsidR="00207A9D" w:rsidRDefault="00871FAB" w:rsidP="00953AF4">
      <w:pPr>
        <w:pStyle w:val="CommentText"/>
        <w:numPr>
          <w:ilvl w:val="0"/>
          <w:numId w:val="73"/>
        </w:numPr>
        <w:spacing w:after="120"/>
        <w:rPr>
          <w:sz w:val="24"/>
        </w:rPr>
      </w:pPr>
      <w:r>
        <w:rPr>
          <w:sz w:val="24"/>
        </w:rPr>
        <w:t xml:space="preserve">Did the applicant provide </w:t>
      </w:r>
      <w:r w:rsidR="00207A9D">
        <w:rPr>
          <w:sz w:val="24"/>
        </w:rPr>
        <w:t xml:space="preserve">a Class I </w:t>
      </w:r>
      <w:r w:rsidR="00611D58">
        <w:rPr>
          <w:sz w:val="24"/>
        </w:rPr>
        <w:t>Air Quality Related Value (</w:t>
      </w:r>
      <w:r>
        <w:rPr>
          <w:sz w:val="24"/>
        </w:rPr>
        <w:t>AQRV</w:t>
      </w:r>
      <w:r w:rsidR="00611D58">
        <w:rPr>
          <w:sz w:val="24"/>
        </w:rPr>
        <w:t>)</w:t>
      </w:r>
      <w:r>
        <w:rPr>
          <w:sz w:val="24"/>
        </w:rPr>
        <w:t xml:space="preserve"> </w:t>
      </w:r>
      <w:r w:rsidR="00207A9D">
        <w:rPr>
          <w:sz w:val="24"/>
        </w:rPr>
        <w:t xml:space="preserve">analysis </w:t>
      </w:r>
      <w:r w:rsidR="00F26691">
        <w:rPr>
          <w:sz w:val="24"/>
        </w:rPr>
        <w:t xml:space="preserve">requested by the FLM </w:t>
      </w:r>
      <w:r w:rsidR="00207A9D">
        <w:rPr>
          <w:sz w:val="24"/>
        </w:rPr>
        <w:t xml:space="preserve">under </w:t>
      </w:r>
      <w:r w:rsidR="00207A9D" w:rsidRPr="00207A9D">
        <w:rPr>
          <w:sz w:val="24"/>
        </w:rPr>
        <w:t>40 CFR 52.21(p)(2)</w:t>
      </w:r>
      <w:r w:rsidR="00F26691">
        <w:rPr>
          <w:sz w:val="24"/>
        </w:rPr>
        <w:t>, if applicable</w:t>
      </w:r>
      <w:r w:rsidR="00207A9D">
        <w:rPr>
          <w:sz w:val="24"/>
        </w:rPr>
        <w:t>?</w:t>
      </w:r>
    </w:p>
    <w:p w14:paraId="308F3B38" w14:textId="6F6F9A3A" w:rsidR="00107813" w:rsidRDefault="00107813" w:rsidP="00DB4222">
      <w:pPr>
        <w:pStyle w:val="ListParagraph"/>
        <w:numPr>
          <w:ilvl w:val="0"/>
          <w:numId w:val="71"/>
        </w:numPr>
        <w:spacing w:after="120"/>
        <w:contextualSpacing w:val="0"/>
      </w:pPr>
      <w:r>
        <w:t xml:space="preserve">Were </w:t>
      </w:r>
      <w:r w:rsidR="0004554F">
        <w:t xml:space="preserve">the proper stack characteristics used for both increment baseline and increment consuming </w:t>
      </w:r>
      <w:r>
        <w:t>nearby</w:t>
      </w:r>
      <w:r w:rsidR="0004554F">
        <w:t xml:space="preserve"> stationary</w:t>
      </w:r>
      <w:r>
        <w:t xml:space="preserve"> sources?</w:t>
      </w:r>
      <w:r w:rsidR="0004554F">
        <w:t xml:space="preserve">  </w:t>
      </w:r>
    </w:p>
    <w:p w14:paraId="582336F5" w14:textId="5684F52C" w:rsidR="0004554F" w:rsidRDefault="0004554F" w:rsidP="002016E8">
      <w:pPr>
        <w:pStyle w:val="ListParagraph"/>
        <w:spacing w:after="120"/>
        <w:ind w:left="900"/>
        <w:contextualSpacing w:val="0"/>
      </w:pPr>
      <w:r w:rsidRPr="0004554F">
        <w:rPr>
          <w:u w:val="single"/>
        </w:rPr>
        <w:t>Note</w:t>
      </w:r>
      <w:proofErr w:type="gramStart"/>
      <w:r>
        <w:t xml:space="preserve">:  </w:t>
      </w:r>
      <w:r w:rsidRPr="00E368E8">
        <w:rPr>
          <w:i/>
        </w:rPr>
        <w:t>Actual</w:t>
      </w:r>
      <w:proofErr w:type="gramEnd"/>
      <w:r w:rsidRPr="00E368E8">
        <w:rPr>
          <w:i/>
        </w:rPr>
        <w:t xml:space="preserve"> emissions should be used to estimate baseline concentrations, </w:t>
      </w:r>
      <w:r w:rsidRPr="00E368E8">
        <w:rPr>
          <w:i/>
          <w:u w:val="single"/>
        </w:rPr>
        <w:t>not</w:t>
      </w:r>
      <w:r w:rsidRPr="00E368E8">
        <w:rPr>
          <w:i/>
        </w:rPr>
        <w:t xml:space="preserve"> potential emissions. The stack characteristics of the time should likewise be used, not the current stack height/design if there has been a subsequent change</w:t>
      </w:r>
      <w:r>
        <w:t>.</w:t>
      </w:r>
    </w:p>
    <w:p w14:paraId="586680F7" w14:textId="21218ED8" w:rsidR="00E354E3" w:rsidRDefault="00E354E3" w:rsidP="00DB4222">
      <w:pPr>
        <w:pStyle w:val="ListParagraph"/>
        <w:numPr>
          <w:ilvl w:val="0"/>
          <w:numId w:val="71"/>
        </w:numPr>
        <w:spacing w:after="120"/>
        <w:contextualSpacing w:val="0"/>
      </w:pPr>
      <w:r>
        <w:t>Did the applicant adequately include the “secondary emissions” in their ambient demonstrations, as required under 40</w:t>
      </w:r>
      <w:r w:rsidR="007B5CDB">
        <w:t> </w:t>
      </w:r>
      <w:r>
        <w:t>CFR</w:t>
      </w:r>
      <w:r w:rsidR="007B5CDB">
        <w:t> </w:t>
      </w:r>
      <w:r>
        <w:t>52.21(k)?  (See 40</w:t>
      </w:r>
      <w:r w:rsidR="007B5CDB">
        <w:t> </w:t>
      </w:r>
      <w:r>
        <w:t>CFR</w:t>
      </w:r>
      <w:r w:rsidR="007B5CDB">
        <w:t> </w:t>
      </w:r>
      <w:r>
        <w:t>52.21(b)(18) for EPA’s definition of “secondary emissions.”)</w:t>
      </w:r>
    </w:p>
    <w:p w14:paraId="01DFAD69" w14:textId="77777777" w:rsidR="00107813" w:rsidRDefault="00107813" w:rsidP="00DB4222">
      <w:pPr>
        <w:pStyle w:val="ListParagraph"/>
        <w:numPr>
          <w:ilvl w:val="0"/>
          <w:numId w:val="71"/>
        </w:numPr>
        <w:spacing w:after="120"/>
        <w:contextualSpacing w:val="0"/>
      </w:pPr>
      <w:r>
        <w:t>Are there any temporary construction activities for which an exclusion applies?</w:t>
      </w:r>
    </w:p>
    <w:p w14:paraId="32260464" w14:textId="05CC9396" w:rsidR="00973F64" w:rsidRDefault="00973F64" w:rsidP="00DB4222">
      <w:pPr>
        <w:pStyle w:val="ListParagraph"/>
        <w:numPr>
          <w:ilvl w:val="0"/>
          <w:numId w:val="71"/>
        </w:numPr>
        <w:spacing w:after="120"/>
        <w:contextualSpacing w:val="0"/>
      </w:pPr>
      <w:r>
        <w:t xml:space="preserve">If PM-2.5 was a triggered PSD-pollutant, did the analysis adequately </w:t>
      </w:r>
      <w:r w:rsidR="009226E8">
        <w:t xml:space="preserve">address </w:t>
      </w:r>
      <w:r>
        <w:t>the PM-2.5 impacts from secondary formation?</w:t>
      </w:r>
    </w:p>
    <w:p w14:paraId="5D337773" w14:textId="4AEB9E3F" w:rsidR="00603267" w:rsidRDefault="00603267" w:rsidP="00DB4222">
      <w:pPr>
        <w:pStyle w:val="ListParagraph"/>
        <w:numPr>
          <w:ilvl w:val="0"/>
          <w:numId w:val="71"/>
        </w:numPr>
        <w:spacing w:after="120"/>
        <w:contextualSpacing w:val="0"/>
      </w:pPr>
      <w:r>
        <w:t>W</w:t>
      </w:r>
      <w:r w:rsidR="00207A9D">
        <w:t>as</w:t>
      </w:r>
      <w:r>
        <w:t xml:space="preserve"> </w:t>
      </w:r>
      <w:r w:rsidR="00207A9D">
        <w:t>the</w:t>
      </w:r>
      <w:r>
        <w:t xml:space="preserve"> </w:t>
      </w:r>
      <w:r w:rsidR="00207A9D">
        <w:t>assessment of visibility impairment,</w:t>
      </w:r>
      <w:r>
        <w:t xml:space="preserve"> vegetation</w:t>
      </w:r>
      <w:r w:rsidR="00207A9D">
        <w:t>,</w:t>
      </w:r>
      <w:r>
        <w:t xml:space="preserve"> and soil </w:t>
      </w:r>
      <w:r w:rsidR="00207A9D">
        <w:t xml:space="preserve">impacts under 40 CFR 52.21(o) </w:t>
      </w:r>
      <w:r>
        <w:t>adequately addressed</w:t>
      </w:r>
      <w:r w:rsidR="00207A9D">
        <w:t xml:space="preserve">, e.g. through reliance upon the secondary </w:t>
      </w:r>
      <w:r w:rsidR="00177104">
        <w:t>National Ambient Air Quality Standards (</w:t>
      </w:r>
      <w:r w:rsidR="00207A9D">
        <w:t>NAAQS</w:t>
      </w:r>
      <w:r w:rsidR="00177104">
        <w:t>)</w:t>
      </w:r>
      <w:r>
        <w:t>?</w:t>
      </w:r>
    </w:p>
    <w:p w14:paraId="1A7A5D35" w14:textId="21DDD768" w:rsidR="00603267" w:rsidRPr="00107813" w:rsidRDefault="00603267" w:rsidP="00DB4222">
      <w:pPr>
        <w:pStyle w:val="ListParagraph"/>
        <w:numPr>
          <w:ilvl w:val="0"/>
          <w:numId w:val="71"/>
        </w:numPr>
        <w:spacing w:before="120" w:after="120"/>
        <w:contextualSpacing w:val="0"/>
        <w:rPr>
          <w:szCs w:val="22"/>
        </w:rPr>
      </w:pPr>
      <w:r w:rsidRPr="00107813">
        <w:rPr>
          <w:szCs w:val="22"/>
        </w:rPr>
        <w:t>Was a Class I are</w:t>
      </w:r>
      <w:r w:rsidR="00702401">
        <w:rPr>
          <w:szCs w:val="22"/>
        </w:rPr>
        <w:t>a</w:t>
      </w:r>
      <w:r w:rsidRPr="00107813">
        <w:rPr>
          <w:szCs w:val="22"/>
        </w:rPr>
        <w:t xml:space="preserve"> assessment required? </w:t>
      </w:r>
      <w:r w:rsidR="00107813" w:rsidRPr="00107813">
        <w:rPr>
          <w:szCs w:val="22"/>
        </w:rPr>
        <w:t xml:space="preserve"> </w:t>
      </w:r>
      <w:r w:rsidRPr="00107813">
        <w:rPr>
          <w:szCs w:val="22"/>
        </w:rPr>
        <w:t>Did ADEC consider FLM comments, if any were provided, in evaluating the assessment?</w:t>
      </w:r>
    </w:p>
    <w:p w14:paraId="63567957" w14:textId="7F401289" w:rsidR="00603267" w:rsidRPr="00107813" w:rsidRDefault="00107813" w:rsidP="00DB4222">
      <w:pPr>
        <w:pStyle w:val="ListParagraph"/>
        <w:numPr>
          <w:ilvl w:val="0"/>
          <w:numId w:val="71"/>
        </w:numPr>
        <w:tabs>
          <w:tab w:val="left" w:pos="1080"/>
        </w:tabs>
        <w:spacing w:before="120" w:after="120"/>
        <w:contextualSpacing w:val="0"/>
        <w:rPr>
          <w:szCs w:val="22"/>
        </w:rPr>
      </w:pPr>
      <w:r w:rsidRPr="00107813">
        <w:rPr>
          <w:szCs w:val="22"/>
        </w:rPr>
        <w:t>If a</w:t>
      </w:r>
      <w:r w:rsidR="00603267" w:rsidRPr="00107813">
        <w:rPr>
          <w:szCs w:val="22"/>
        </w:rPr>
        <w:t xml:space="preserve"> Class I assessment</w:t>
      </w:r>
      <w:r w:rsidRPr="00107813">
        <w:rPr>
          <w:szCs w:val="22"/>
        </w:rPr>
        <w:t xml:space="preserve"> was conducted, was the assessment</w:t>
      </w:r>
      <w:r w:rsidR="00603267" w:rsidRPr="00107813">
        <w:rPr>
          <w:szCs w:val="22"/>
        </w:rPr>
        <w:t xml:space="preserve"> acceptable?</w:t>
      </w:r>
    </w:p>
    <w:p w14:paraId="0779FC90" w14:textId="77777777" w:rsidR="004403A8" w:rsidRPr="00953AF4" w:rsidRDefault="00603267" w:rsidP="00DB4222">
      <w:pPr>
        <w:pStyle w:val="ListParagraph"/>
        <w:numPr>
          <w:ilvl w:val="0"/>
          <w:numId w:val="71"/>
        </w:numPr>
        <w:tabs>
          <w:tab w:val="left" w:pos="1260"/>
          <w:tab w:val="left" w:pos="1980"/>
        </w:tabs>
        <w:spacing w:before="120" w:after="120"/>
        <w:contextualSpacing w:val="0"/>
        <w:rPr>
          <w:color w:val="000000"/>
          <w:szCs w:val="22"/>
        </w:rPr>
      </w:pPr>
      <w:r>
        <w:lastRenderedPageBreak/>
        <w:t>If ozone</w:t>
      </w:r>
      <w:r w:rsidRPr="00107813">
        <w:rPr>
          <w:color w:val="000000"/>
          <w:szCs w:val="22"/>
        </w:rPr>
        <w:t xml:space="preserve"> was</w:t>
      </w:r>
      <w:r w:rsidRPr="00107813">
        <w:rPr>
          <w:color w:val="000000"/>
          <w:szCs w:val="22"/>
        </w:rPr>
        <w:tab/>
      </w:r>
      <w:r>
        <w:t>a triggered PSD-pollutant</w:t>
      </w:r>
      <w:r w:rsidRPr="00107813">
        <w:rPr>
          <w:color w:val="000000"/>
          <w:szCs w:val="22"/>
        </w:rPr>
        <w:t>, did the analysis adequately demonstrate the ambient air is protected?</w:t>
      </w:r>
    </w:p>
    <w:p w14:paraId="6DDAE0C0" w14:textId="646DDAB2" w:rsidR="004403A8" w:rsidRPr="004403A8" w:rsidRDefault="004403A8" w:rsidP="00DB4222">
      <w:pPr>
        <w:pStyle w:val="ListParagraph"/>
        <w:numPr>
          <w:ilvl w:val="0"/>
          <w:numId w:val="72"/>
        </w:numPr>
        <w:tabs>
          <w:tab w:val="left" w:pos="1260"/>
          <w:tab w:val="left" w:pos="1980"/>
        </w:tabs>
        <w:spacing w:before="120" w:after="120"/>
        <w:contextualSpacing w:val="0"/>
        <w:rPr>
          <w:color w:val="000000"/>
          <w:szCs w:val="22"/>
        </w:rPr>
      </w:pPr>
      <w:r>
        <w:t>Did the applicant meet the 40</w:t>
      </w:r>
      <w:r w:rsidR="007B5CDB">
        <w:t> </w:t>
      </w:r>
      <w:r>
        <w:t>CFR</w:t>
      </w:r>
      <w:r w:rsidR="007B5CDB">
        <w:t> </w:t>
      </w:r>
      <w:r>
        <w:t xml:space="preserve">52.21(m)(1) obligation for </w:t>
      </w:r>
      <w:hyperlink w:anchor="_Pre-construction_Monitoring" w:history="1">
        <w:r w:rsidRPr="00035A8E">
          <w:rPr>
            <w:rStyle w:val="Hyperlink"/>
          </w:rPr>
          <w:t>pre-construction monitoring</w:t>
        </w:r>
      </w:hyperlink>
      <w:r>
        <w:t xml:space="preserve"> – </w:t>
      </w:r>
      <w:r w:rsidR="0034070F">
        <w:t xml:space="preserve">i.e., </w:t>
      </w:r>
      <w:r>
        <w:t xml:space="preserve">collect </w:t>
      </w:r>
      <w:r w:rsidR="006C2A60">
        <w:t xml:space="preserve">local </w:t>
      </w:r>
      <w:r>
        <w:t xml:space="preserve">data, </w:t>
      </w:r>
      <w:r w:rsidR="006C2A60">
        <w:t xml:space="preserve">provide </w:t>
      </w:r>
      <w:r>
        <w:t xml:space="preserve">surrogate data, or </w:t>
      </w:r>
      <w:r w:rsidR="006C2A60">
        <w:t>d</w:t>
      </w:r>
      <w:r w:rsidR="006C2A60" w:rsidRPr="004403A8">
        <w:rPr>
          <w:color w:val="000000"/>
          <w:szCs w:val="22"/>
        </w:rPr>
        <w:t>emonstrat</w:t>
      </w:r>
      <w:r w:rsidR="006C2A60">
        <w:rPr>
          <w:color w:val="000000"/>
          <w:szCs w:val="22"/>
        </w:rPr>
        <w:t>e</w:t>
      </w:r>
      <w:r w:rsidR="006C2A60" w:rsidRPr="004403A8">
        <w:rPr>
          <w:color w:val="000000"/>
          <w:szCs w:val="22"/>
        </w:rPr>
        <w:t xml:space="preserve"> </w:t>
      </w:r>
      <w:r w:rsidRPr="004403A8">
        <w:rPr>
          <w:color w:val="000000"/>
          <w:szCs w:val="22"/>
        </w:rPr>
        <w:t xml:space="preserve">that </w:t>
      </w:r>
      <w:r w:rsidR="006C2A60">
        <w:rPr>
          <w:color w:val="000000"/>
          <w:szCs w:val="22"/>
        </w:rPr>
        <w:t xml:space="preserve">the </w:t>
      </w:r>
      <w:r w:rsidRPr="004403A8">
        <w:rPr>
          <w:color w:val="000000"/>
          <w:szCs w:val="22"/>
        </w:rPr>
        <w:t xml:space="preserve">project impacts are less than the </w:t>
      </w:r>
      <w:r w:rsidR="0034070F">
        <w:rPr>
          <w:color w:val="000000"/>
          <w:szCs w:val="22"/>
        </w:rPr>
        <w:t>applicable S</w:t>
      </w:r>
      <w:r w:rsidR="0034070F" w:rsidRPr="004403A8">
        <w:rPr>
          <w:color w:val="000000"/>
          <w:szCs w:val="22"/>
        </w:rPr>
        <w:t xml:space="preserve">ignificant </w:t>
      </w:r>
      <w:r w:rsidR="0034070F">
        <w:rPr>
          <w:color w:val="000000"/>
          <w:szCs w:val="22"/>
        </w:rPr>
        <w:t>M</w:t>
      </w:r>
      <w:r w:rsidR="0034070F" w:rsidRPr="004403A8">
        <w:rPr>
          <w:color w:val="000000"/>
          <w:szCs w:val="22"/>
        </w:rPr>
        <w:t xml:space="preserve">onitoring </w:t>
      </w:r>
      <w:r w:rsidR="0034070F">
        <w:rPr>
          <w:color w:val="000000"/>
          <w:szCs w:val="22"/>
        </w:rPr>
        <w:t>C</w:t>
      </w:r>
      <w:r w:rsidR="0034070F" w:rsidRPr="004403A8">
        <w:rPr>
          <w:color w:val="000000"/>
          <w:szCs w:val="22"/>
        </w:rPr>
        <w:t>oncentration</w:t>
      </w:r>
      <w:r w:rsidRPr="004403A8">
        <w:rPr>
          <w:color w:val="000000"/>
          <w:szCs w:val="22"/>
        </w:rPr>
        <w:t xml:space="preserve"> (SMC)?</w:t>
      </w:r>
      <w:r w:rsidR="000C7B25">
        <w:rPr>
          <w:color w:val="000000"/>
          <w:szCs w:val="22"/>
        </w:rPr>
        <w:t xml:space="preserve">  The answer to this</w:t>
      </w:r>
      <w:r w:rsidR="0014669A">
        <w:rPr>
          <w:color w:val="000000"/>
          <w:szCs w:val="22"/>
        </w:rPr>
        <w:t xml:space="preserve"> question may vary by </w:t>
      </w:r>
      <w:proofErr w:type="gramStart"/>
      <w:r w:rsidR="0014669A">
        <w:rPr>
          <w:color w:val="000000"/>
          <w:szCs w:val="22"/>
        </w:rPr>
        <w:t>pollutant</w:t>
      </w:r>
      <w:proofErr w:type="gramEnd"/>
      <w:r w:rsidR="0014669A">
        <w:rPr>
          <w:color w:val="000000"/>
          <w:szCs w:val="22"/>
        </w:rPr>
        <w:t>.</w:t>
      </w:r>
    </w:p>
    <w:p w14:paraId="32FC417F" w14:textId="77777777" w:rsidR="00BC156D" w:rsidRDefault="00321E4A">
      <w:pPr>
        <w:spacing w:after="0"/>
        <w:rPr>
          <w:snapToGrid w:val="0"/>
        </w:rPr>
      </w:pPr>
      <w:r>
        <w:rPr>
          <w:snapToGrid w:val="0"/>
        </w:rPr>
        <w:br w:type="page"/>
      </w:r>
    </w:p>
    <w:p w14:paraId="66D8F783" w14:textId="77777777" w:rsidR="00E255C0" w:rsidRPr="007E624E" w:rsidRDefault="000F2745" w:rsidP="00752CC4">
      <w:pPr>
        <w:pStyle w:val="Heading1"/>
        <w:rPr>
          <w:snapToGrid w:val="0"/>
        </w:rPr>
      </w:pPr>
      <w:bookmarkStart w:id="10" w:name="_Toc526778213"/>
      <w:r w:rsidRPr="00752CC4">
        <w:lastRenderedPageBreak/>
        <w:t>Detailed</w:t>
      </w:r>
      <w:r w:rsidRPr="007E624E">
        <w:rPr>
          <w:snapToGrid w:val="0"/>
        </w:rPr>
        <w:t xml:space="preserve"> Discussion</w:t>
      </w:r>
      <w:bookmarkEnd w:id="10"/>
    </w:p>
    <w:p w14:paraId="7D87ED50" w14:textId="341D531B" w:rsidR="00112A46" w:rsidRDefault="00347F0D" w:rsidP="00347F0D">
      <w:pPr>
        <w:rPr>
          <w:snapToGrid w:val="0"/>
        </w:rPr>
      </w:pPr>
      <w:r>
        <w:rPr>
          <w:snapToGrid w:val="0"/>
        </w:rPr>
        <w:t>Chapter</w:t>
      </w:r>
      <w:r w:rsidR="00194B07">
        <w:t> </w:t>
      </w:r>
      <w:r>
        <w:rPr>
          <w:snapToGrid w:val="0"/>
        </w:rPr>
        <w:t>2 of the review manual contains the following information.  Section</w:t>
      </w:r>
      <w:r w:rsidR="00194B07">
        <w:t> </w:t>
      </w:r>
      <w:r>
        <w:rPr>
          <w:snapToGrid w:val="0"/>
        </w:rPr>
        <w:t xml:space="preserve">2.1 provides general introductory material, including an overview of ADEC’s regulatory requirements, </w:t>
      </w:r>
      <w:r w:rsidR="00BB3EBC">
        <w:rPr>
          <w:snapToGrid w:val="0"/>
        </w:rPr>
        <w:t>and bo</w:t>
      </w:r>
      <w:r>
        <w:rPr>
          <w:snapToGrid w:val="0"/>
        </w:rPr>
        <w:t xml:space="preserve">th EPA and Federal Land Manager (FLM) </w:t>
      </w:r>
      <w:proofErr w:type="gramStart"/>
      <w:r>
        <w:rPr>
          <w:snapToGrid w:val="0"/>
        </w:rPr>
        <w:t>guidance;</w:t>
      </w:r>
      <w:proofErr w:type="gramEnd"/>
      <w:r>
        <w:rPr>
          <w:snapToGrid w:val="0"/>
        </w:rPr>
        <w:t xml:space="preserve"> and a background discussion on PSD increments.  Section</w:t>
      </w:r>
      <w:r w:rsidR="00194B07">
        <w:t> </w:t>
      </w:r>
      <w:r>
        <w:rPr>
          <w:snapToGrid w:val="0"/>
        </w:rPr>
        <w:t>2.2 presents an overview of a suggested procedure for performing an efficient review of an ambient air quality assessment.  Sections</w:t>
      </w:r>
      <w:r w:rsidR="00194B07">
        <w:t> </w:t>
      </w:r>
      <w:r>
        <w:rPr>
          <w:snapToGrid w:val="0"/>
        </w:rPr>
        <w:t xml:space="preserve">2.3 through 2.16 present detailed discussions and “expert tips” on various technical items, such as meteorological data processing and receptor grid generation.  </w:t>
      </w:r>
    </w:p>
    <w:p w14:paraId="3DCBFE1D" w14:textId="7B986D34" w:rsidR="00434BD6" w:rsidRDefault="00434BD6" w:rsidP="00434BD6">
      <w:pPr>
        <w:rPr>
          <w:snapToGrid w:val="0"/>
        </w:rPr>
      </w:pPr>
      <w:r>
        <w:rPr>
          <w:snapToGrid w:val="0"/>
        </w:rPr>
        <w:t>Additional details may be found in the appendices.  Appendix</w:t>
      </w:r>
      <w:r w:rsidR="00194B07">
        <w:t> </w:t>
      </w:r>
      <w:r>
        <w:rPr>
          <w:snapToGrid w:val="0"/>
        </w:rPr>
        <w:t>A presents additional information and expert tips on the dispersion models commonly used in New Source Review (NSR) ambient assessments, including VISCREEN, AERSCREEN, AERMOD, OCD, and CALPUFF.  Appendix</w:t>
      </w:r>
      <w:r w:rsidR="00194B07">
        <w:t> </w:t>
      </w:r>
      <w:r>
        <w:rPr>
          <w:snapToGrid w:val="0"/>
        </w:rPr>
        <w:t xml:space="preserve">B contains frequently asked questions about dispersion modeling.  </w:t>
      </w:r>
    </w:p>
    <w:p w14:paraId="56DB800B" w14:textId="77777777" w:rsidR="00434BD6" w:rsidRDefault="00434BD6" w:rsidP="00347F0D">
      <w:pPr>
        <w:rPr>
          <w:snapToGrid w:val="0"/>
        </w:rPr>
      </w:pPr>
    </w:p>
    <w:p w14:paraId="6B8B9BAA" w14:textId="77777777" w:rsidR="00112A46" w:rsidRDefault="00112A46">
      <w:pPr>
        <w:spacing w:after="0"/>
        <w:rPr>
          <w:snapToGrid w:val="0"/>
        </w:rPr>
      </w:pPr>
      <w:r>
        <w:rPr>
          <w:snapToGrid w:val="0"/>
        </w:rPr>
        <w:br w:type="page"/>
      </w:r>
    </w:p>
    <w:p w14:paraId="27767FBA" w14:textId="77777777" w:rsidR="00112A46" w:rsidRDefault="00112A46" w:rsidP="00112A46">
      <w:pPr>
        <w:spacing w:after="0"/>
        <w:rPr>
          <w:snapToGrid w:val="0"/>
        </w:rPr>
      </w:pPr>
    </w:p>
    <w:p w14:paraId="080EC7A8" w14:textId="77777777" w:rsidR="00112A46" w:rsidRDefault="00112A46" w:rsidP="00112A46">
      <w:pPr>
        <w:spacing w:after="0"/>
        <w:rPr>
          <w:snapToGrid w:val="0"/>
        </w:rPr>
      </w:pPr>
    </w:p>
    <w:p w14:paraId="3A0E3DA4" w14:textId="77777777" w:rsidR="00112A46" w:rsidRDefault="00112A46" w:rsidP="00112A46">
      <w:pPr>
        <w:spacing w:after="0"/>
        <w:rPr>
          <w:snapToGrid w:val="0"/>
        </w:rPr>
      </w:pPr>
    </w:p>
    <w:p w14:paraId="4F5F8C9A" w14:textId="77777777" w:rsidR="00112A46" w:rsidRDefault="00112A46" w:rsidP="00112A46">
      <w:pPr>
        <w:spacing w:after="0"/>
        <w:rPr>
          <w:snapToGrid w:val="0"/>
        </w:rPr>
      </w:pPr>
    </w:p>
    <w:p w14:paraId="1FA1C97D" w14:textId="77777777" w:rsidR="00112A46" w:rsidRDefault="00112A46" w:rsidP="00112A46">
      <w:pPr>
        <w:spacing w:after="0"/>
        <w:rPr>
          <w:snapToGrid w:val="0"/>
        </w:rPr>
      </w:pPr>
    </w:p>
    <w:p w14:paraId="1CBB7636" w14:textId="77777777" w:rsidR="00112A46" w:rsidRDefault="00112A46" w:rsidP="00112A46">
      <w:pPr>
        <w:spacing w:after="0"/>
        <w:rPr>
          <w:snapToGrid w:val="0"/>
        </w:rPr>
      </w:pPr>
    </w:p>
    <w:p w14:paraId="5EB2B920" w14:textId="77777777" w:rsidR="00112A46" w:rsidRDefault="00112A46" w:rsidP="00112A46">
      <w:pPr>
        <w:spacing w:after="0"/>
        <w:rPr>
          <w:snapToGrid w:val="0"/>
        </w:rPr>
      </w:pPr>
    </w:p>
    <w:p w14:paraId="0974F3B8" w14:textId="77777777" w:rsidR="00112A46" w:rsidRDefault="00112A46" w:rsidP="00112A46">
      <w:pPr>
        <w:spacing w:after="0"/>
        <w:rPr>
          <w:snapToGrid w:val="0"/>
        </w:rPr>
      </w:pPr>
    </w:p>
    <w:p w14:paraId="66B68D51" w14:textId="77777777" w:rsidR="00112A46" w:rsidRDefault="00112A46" w:rsidP="00112A46">
      <w:pPr>
        <w:spacing w:after="0"/>
        <w:rPr>
          <w:snapToGrid w:val="0"/>
        </w:rPr>
      </w:pPr>
    </w:p>
    <w:p w14:paraId="04585477" w14:textId="77777777" w:rsidR="00112A46" w:rsidRDefault="00112A46" w:rsidP="00112A46">
      <w:pPr>
        <w:spacing w:after="0"/>
        <w:rPr>
          <w:snapToGrid w:val="0"/>
        </w:rPr>
      </w:pPr>
    </w:p>
    <w:p w14:paraId="4BAD0C42" w14:textId="77777777" w:rsidR="00112A46" w:rsidRDefault="00112A46" w:rsidP="00112A46">
      <w:pPr>
        <w:spacing w:after="0"/>
        <w:rPr>
          <w:snapToGrid w:val="0"/>
        </w:rPr>
      </w:pPr>
    </w:p>
    <w:p w14:paraId="48BC0E34" w14:textId="77777777" w:rsidR="00112A46" w:rsidRDefault="00112A46" w:rsidP="00112A46">
      <w:pPr>
        <w:spacing w:after="0"/>
        <w:jc w:val="center"/>
        <w:rPr>
          <w:snapToGrid w:val="0"/>
        </w:rPr>
      </w:pPr>
      <w:r>
        <w:rPr>
          <w:snapToGrid w:val="0"/>
        </w:rPr>
        <w:t>(This page intentionally left blank)</w:t>
      </w:r>
    </w:p>
    <w:p w14:paraId="7179ACA4" w14:textId="77777777" w:rsidR="00112A46" w:rsidRPr="00BC156D" w:rsidRDefault="00112A46" w:rsidP="00112A46">
      <w:pPr>
        <w:spacing w:after="0"/>
        <w:rPr>
          <w:snapToGrid w:val="0"/>
        </w:rPr>
      </w:pPr>
      <w:r>
        <w:rPr>
          <w:snapToGrid w:val="0"/>
        </w:rPr>
        <w:br w:type="page"/>
      </w:r>
    </w:p>
    <w:p w14:paraId="2C9C559A" w14:textId="77777777" w:rsidR="009A01E5" w:rsidRDefault="00BC156D" w:rsidP="00BC156D">
      <w:pPr>
        <w:pStyle w:val="Heading2"/>
        <w:rPr>
          <w:snapToGrid w:val="0"/>
        </w:rPr>
      </w:pPr>
      <w:r>
        <w:rPr>
          <w:snapToGrid w:val="0"/>
        </w:rPr>
        <w:lastRenderedPageBreak/>
        <w:tab/>
      </w:r>
      <w:bookmarkStart w:id="11" w:name="_Toc526778214"/>
      <w:r w:rsidR="009A01E5">
        <w:rPr>
          <w:snapToGrid w:val="0"/>
        </w:rPr>
        <w:t>Introduction</w:t>
      </w:r>
      <w:bookmarkEnd w:id="2"/>
      <w:bookmarkEnd w:id="11"/>
      <w:r w:rsidR="009A01E5">
        <w:rPr>
          <w:snapToGrid w:val="0"/>
        </w:rPr>
        <w:t xml:space="preserve"> </w:t>
      </w:r>
      <w:bookmarkEnd w:id="3"/>
    </w:p>
    <w:p w14:paraId="048CB5D6" w14:textId="3A2902C0" w:rsidR="009A01E5" w:rsidRDefault="00941E6E">
      <w:pPr>
        <w:rPr>
          <w:snapToGrid w:val="0"/>
        </w:rPr>
      </w:pPr>
      <w:r>
        <w:rPr>
          <w:snapToGrid w:val="0"/>
        </w:rPr>
        <w:t>APP</w:t>
      </w:r>
      <w:r w:rsidR="00FA2294">
        <w:rPr>
          <w:snapToGrid w:val="0"/>
        </w:rPr>
        <w:t xml:space="preserve"> </w:t>
      </w:r>
      <w:r w:rsidR="009A01E5">
        <w:rPr>
          <w:snapToGrid w:val="0"/>
        </w:rPr>
        <w:t xml:space="preserve">developed this </w:t>
      </w:r>
      <w:r w:rsidR="00FA2294">
        <w:rPr>
          <w:snapToGrid w:val="0"/>
        </w:rPr>
        <w:t xml:space="preserve">Modeling Review </w:t>
      </w:r>
      <w:r w:rsidR="009A01E5">
        <w:rPr>
          <w:snapToGrid w:val="0"/>
        </w:rPr>
        <w:t xml:space="preserve">Procedures Manual to </w:t>
      </w:r>
      <w:r w:rsidR="00FA2294">
        <w:rPr>
          <w:snapToGrid w:val="0"/>
        </w:rPr>
        <w:t xml:space="preserve">provide </w:t>
      </w:r>
      <w:r w:rsidR="00FB742F">
        <w:rPr>
          <w:snapToGrid w:val="0"/>
        </w:rPr>
        <w:t xml:space="preserve">you, as the model reviewer, </w:t>
      </w:r>
      <w:r w:rsidR="001673C6">
        <w:rPr>
          <w:snapToGrid w:val="0"/>
        </w:rPr>
        <w:t xml:space="preserve">general </w:t>
      </w:r>
      <w:r w:rsidR="00FA2294">
        <w:rPr>
          <w:snapToGrid w:val="0"/>
        </w:rPr>
        <w:t xml:space="preserve">information </w:t>
      </w:r>
      <w:r w:rsidR="00FB742F">
        <w:rPr>
          <w:snapToGrid w:val="0"/>
        </w:rPr>
        <w:t xml:space="preserve">you </w:t>
      </w:r>
      <w:r w:rsidR="00FA2294">
        <w:rPr>
          <w:snapToGrid w:val="0"/>
        </w:rPr>
        <w:t xml:space="preserve">should know for efficiently reviewing a permit applicant’s ambient demonstration.  </w:t>
      </w:r>
      <w:r w:rsidR="00F0242C">
        <w:rPr>
          <w:snapToGrid w:val="0"/>
        </w:rPr>
        <w:t xml:space="preserve">However, </w:t>
      </w:r>
      <w:r w:rsidR="00B24B8E">
        <w:rPr>
          <w:snapToGrid w:val="0"/>
        </w:rPr>
        <w:t>it</w:t>
      </w:r>
      <w:r w:rsidR="00F0242C">
        <w:rPr>
          <w:snapToGrid w:val="0"/>
        </w:rPr>
        <w:t xml:space="preserve"> should </w:t>
      </w:r>
      <w:r w:rsidR="00F0242C" w:rsidRPr="00F0242C">
        <w:rPr>
          <w:i/>
          <w:snapToGrid w:val="0"/>
        </w:rPr>
        <w:t>not</w:t>
      </w:r>
      <w:r w:rsidR="00F0242C">
        <w:rPr>
          <w:snapToGrid w:val="0"/>
        </w:rPr>
        <w:t xml:space="preserve"> be used in lieu of sound judgment, or </w:t>
      </w:r>
      <w:r w:rsidR="00B24B8E">
        <w:rPr>
          <w:snapToGrid w:val="0"/>
        </w:rPr>
        <w:t xml:space="preserve">to circumvent </w:t>
      </w:r>
      <w:r w:rsidR="00F0242C">
        <w:rPr>
          <w:snapToGrid w:val="0"/>
        </w:rPr>
        <w:t xml:space="preserve">the modeling requirements listed in </w:t>
      </w:r>
      <w:hyperlink r:id="rId30" w:history="1">
        <w:r w:rsidR="00F0242C" w:rsidRPr="00AF0CC3">
          <w:rPr>
            <w:rStyle w:val="Hyperlink"/>
            <w:snapToGrid w:val="0"/>
          </w:rPr>
          <w:t>18</w:t>
        </w:r>
        <w:r w:rsidR="00803250" w:rsidRPr="00AF0CC3">
          <w:rPr>
            <w:rStyle w:val="Hyperlink"/>
          </w:rPr>
          <w:t> </w:t>
        </w:r>
        <w:r w:rsidR="00F0242C" w:rsidRPr="00AF0CC3">
          <w:rPr>
            <w:rStyle w:val="Hyperlink"/>
            <w:snapToGrid w:val="0"/>
          </w:rPr>
          <w:t>AAC</w:t>
        </w:r>
        <w:r w:rsidR="00803250" w:rsidRPr="00AF0CC3">
          <w:rPr>
            <w:rStyle w:val="Hyperlink"/>
          </w:rPr>
          <w:t> </w:t>
        </w:r>
        <w:r w:rsidR="00F0242C" w:rsidRPr="00AF0CC3">
          <w:rPr>
            <w:rStyle w:val="Hyperlink"/>
            <w:snapToGrid w:val="0"/>
          </w:rPr>
          <w:t>50.215</w:t>
        </w:r>
      </w:hyperlink>
      <w:r w:rsidR="00F0242C">
        <w:rPr>
          <w:snapToGrid w:val="0"/>
        </w:rPr>
        <w:t xml:space="preserve"> </w:t>
      </w:r>
      <w:r w:rsidR="00480075">
        <w:rPr>
          <w:snapToGrid w:val="0"/>
        </w:rPr>
        <w:t xml:space="preserve">or the </w:t>
      </w:r>
      <w:hyperlink r:id="rId31" w:history="1">
        <w:r w:rsidR="00F0242C" w:rsidRPr="00196955">
          <w:rPr>
            <w:rStyle w:val="Hyperlink"/>
            <w:snapToGrid w:val="0"/>
          </w:rPr>
          <w:t>Guideline</w:t>
        </w:r>
      </w:hyperlink>
      <w:r w:rsidR="009071E0">
        <w:rPr>
          <w:snapToGrid w:val="0"/>
        </w:rPr>
        <w:t xml:space="preserve"> </w:t>
      </w:r>
      <w:r w:rsidR="00F0242C">
        <w:rPr>
          <w:snapToGrid w:val="0"/>
        </w:rPr>
        <w:t xml:space="preserve">– which </w:t>
      </w:r>
      <w:r w:rsidR="00B24B8E">
        <w:rPr>
          <w:snapToGrid w:val="0"/>
        </w:rPr>
        <w:t>is</w:t>
      </w:r>
      <w:r w:rsidR="00F0242C">
        <w:rPr>
          <w:snapToGrid w:val="0"/>
        </w:rPr>
        <w:t xml:space="preserve"> adopted by reference in </w:t>
      </w:r>
      <w:hyperlink r:id="rId32" w:history="1">
        <w:r w:rsidR="00F0242C" w:rsidRPr="00AF0CC3">
          <w:rPr>
            <w:rStyle w:val="Hyperlink"/>
            <w:snapToGrid w:val="0"/>
          </w:rPr>
          <w:t>18</w:t>
        </w:r>
        <w:r w:rsidR="00803250" w:rsidRPr="00AF0CC3">
          <w:rPr>
            <w:rStyle w:val="Hyperlink"/>
          </w:rPr>
          <w:t> </w:t>
        </w:r>
        <w:r w:rsidR="00F0242C" w:rsidRPr="00AF0CC3">
          <w:rPr>
            <w:rStyle w:val="Hyperlink"/>
            <w:snapToGrid w:val="0"/>
          </w:rPr>
          <w:t>AAC</w:t>
        </w:r>
        <w:r w:rsidR="00803250" w:rsidRPr="00AF0CC3">
          <w:rPr>
            <w:rStyle w:val="Hyperlink"/>
          </w:rPr>
          <w:t> </w:t>
        </w:r>
        <w:r w:rsidR="00F0242C" w:rsidRPr="00AF0CC3">
          <w:rPr>
            <w:rStyle w:val="Hyperlink"/>
            <w:snapToGrid w:val="0"/>
          </w:rPr>
          <w:t>50.040</w:t>
        </w:r>
      </w:hyperlink>
      <w:r w:rsidR="00F0242C">
        <w:rPr>
          <w:snapToGrid w:val="0"/>
        </w:rPr>
        <w:t xml:space="preserve">(f).  </w:t>
      </w:r>
      <w:r w:rsidR="00FB742F">
        <w:rPr>
          <w:snapToGrid w:val="0"/>
        </w:rPr>
        <w:t xml:space="preserve">You </w:t>
      </w:r>
      <w:r w:rsidR="00B47D95">
        <w:rPr>
          <w:snapToGrid w:val="0"/>
        </w:rPr>
        <w:t xml:space="preserve">should also utilize the guidance documents posted on </w:t>
      </w:r>
      <w:r w:rsidR="0070044B">
        <w:rPr>
          <w:snapToGrid w:val="0"/>
        </w:rPr>
        <w:t>APP</w:t>
      </w:r>
      <w:r w:rsidR="002A0366">
        <w:rPr>
          <w:snapToGrid w:val="0"/>
        </w:rPr>
        <w:t xml:space="preserve">’s </w:t>
      </w:r>
      <w:r w:rsidR="00B47D95">
        <w:rPr>
          <w:snapToGrid w:val="0"/>
        </w:rPr>
        <w:t xml:space="preserve">modeling web-page (see </w:t>
      </w:r>
      <w:hyperlink r:id="rId33" w:history="1">
        <w:r w:rsidR="00AA7180" w:rsidRPr="00B33BF5">
          <w:rPr>
            <w:rStyle w:val="Hyperlink"/>
          </w:rPr>
          <w:t>http://dec.alaska.gov/air/air-permit/dispersion-modeling/</w:t>
        </w:r>
      </w:hyperlink>
      <w:r w:rsidR="00B47D95">
        <w:rPr>
          <w:snapToGrid w:val="0"/>
        </w:rPr>
        <w:t xml:space="preserve">) and the </w:t>
      </w:r>
      <w:r w:rsidR="009B3EC2">
        <w:rPr>
          <w:snapToGrid w:val="0"/>
        </w:rPr>
        <w:t xml:space="preserve">information posted on </w:t>
      </w:r>
      <w:r w:rsidR="00B47D95">
        <w:rPr>
          <w:snapToGrid w:val="0"/>
        </w:rPr>
        <w:t xml:space="preserve">EPA’s </w:t>
      </w:r>
      <w:r w:rsidR="0092574B">
        <w:rPr>
          <w:snapToGrid w:val="0"/>
        </w:rPr>
        <w:t xml:space="preserve">Support Center for Regulatory Atmospheric Modeling (SCRAM) </w:t>
      </w:r>
      <w:r w:rsidR="00B47D95">
        <w:rPr>
          <w:snapToGrid w:val="0"/>
        </w:rPr>
        <w:t>web</w:t>
      </w:r>
      <w:r w:rsidR="0092574B">
        <w:rPr>
          <w:snapToGrid w:val="0"/>
        </w:rPr>
        <w:t xml:space="preserve">site </w:t>
      </w:r>
      <w:r w:rsidR="00B47D95">
        <w:rPr>
          <w:snapToGrid w:val="0"/>
        </w:rPr>
        <w:t xml:space="preserve">(see </w:t>
      </w:r>
      <w:hyperlink r:id="rId34" w:history="1">
        <w:r w:rsidR="0043433F">
          <w:rPr>
            <w:rStyle w:val="Hyperlink"/>
            <w:snapToGrid w:val="0"/>
          </w:rPr>
          <w:t>https://www.epa.gov/scram</w:t>
        </w:r>
      </w:hyperlink>
      <w:r w:rsidR="00B47D95">
        <w:rPr>
          <w:snapToGrid w:val="0"/>
        </w:rPr>
        <w:t xml:space="preserve">).  </w:t>
      </w:r>
    </w:p>
    <w:p w14:paraId="7FE0FA00" w14:textId="445CC63C" w:rsidR="00AD4B13" w:rsidRDefault="009A01E5" w:rsidP="00E73B9F">
      <w:pPr>
        <w:rPr>
          <w:i/>
          <w:snapToGrid w:val="0"/>
        </w:rPr>
      </w:pPr>
      <w:r w:rsidRPr="00CA5310">
        <w:rPr>
          <w:i/>
          <w:snapToGrid w:val="0"/>
          <w:u w:val="single"/>
        </w:rPr>
        <w:t>Disclaimer</w:t>
      </w:r>
      <w:r>
        <w:rPr>
          <w:snapToGrid w:val="0"/>
        </w:rPr>
        <w:t xml:space="preserve">.  </w:t>
      </w:r>
      <w:r>
        <w:rPr>
          <w:i/>
          <w:snapToGrid w:val="0"/>
        </w:rPr>
        <w:t xml:space="preserve">This manual provides guidance for reviewing common modeling assessments.  </w:t>
      </w:r>
      <w:r w:rsidR="0092574B">
        <w:rPr>
          <w:i/>
          <w:snapToGrid w:val="0"/>
        </w:rPr>
        <w:t>I</w:t>
      </w:r>
      <w:r>
        <w:rPr>
          <w:i/>
          <w:snapToGrid w:val="0"/>
        </w:rPr>
        <w:t xml:space="preserve">t does not cover all cases that could </w:t>
      </w:r>
      <w:r w:rsidR="003E55CE">
        <w:rPr>
          <w:i/>
          <w:snapToGrid w:val="0"/>
        </w:rPr>
        <w:t xml:space="preserve">arise </w:t>
      </w:r>
      <w:r>
        <w:rPr>
          <w:i/>
          <w:snapToGrid w:val="0"/>
        </w:rPr>
        <w:t xml:space="preserve">or have arisen in Alaska. </w:t>
      </w:r>
    </w:p>
    <w:p w14:paraId="642BF964" w14:textId="77777777" w:rsidR="009A01E5" w:rsidRDefault="001578CE" w:rsidP="00AD4B13">
      <w:pPr>
        <w:pStyle w:val="Heading3"/>
        <w:rPr>
          <w:snapToGrid w:val="0"/>
        </w:rPr>
      </w:pPr>
      <w:bookmarkStart w:id="12" w:name="_Toc43521191"/>
      <w:r>
        <w:rPr>
          <w:snapToGrid w:val="0"/>
        </w:rPr>
        <w:tab/>
      </w:r>
      <w:bookmarkStart w:id="13" w:name="_Toc526778215"/>
      <w:r w:rsidR="009A01E5">
        <w:rPr>
          <w:snapToGrid w:val="0"/>
        </w:rPr>
        <w:t>Perspective</w:t>
      </w:r>
      <w:bookmarkEnd w:id="13"/>
    </w:p>
    <w:p w14:paraId="060B5643" w14:textId="77777777" w:rsidR="009A01E5" w:rsidRDefault="009A01E5" w:rsidP="00077223">
      <w:pPr>
        <w:spacing w:after="120"/>
      </w:pPr>
      <w:r>
        <w:t xml:space="preserve">By its nature, ambient air quality modeling is very detail oriented.  As human beings, we are prone to errors. </w:t>
      </w:r>
    </w:p>
    <w:p w14:paraId="7BF8EF26" w14:textId="77777777" w:rsidR="009A01E5" w:rsidRDefault="009A01E5" w:rsidP="00077223">
      <w:pPr>
        <w:spacing w:after="60"/>
        <w:ind w:left="720"/>
        <w:rPr>
          <w:i/>
        </w:rPr>
      </w:pPr>
      <w:r>
        <w:rPr>
          <w:i/>
        </w:rPr>
        <w:t>Key point:</w:t>
      </w:r>
    </w:p>
    <w:p w14:paraId="17FB8875" w14:textId="77777777" w:rsidR="009A01E5" w:rsidRDefault="009A01E5" w:rsidP="000F6041">
      <w:pPr>
        <w:pStyle w:val="BodyTextIndent2"/>
        <w:spacing w:after="120"/>
      </w:pPr>
      <w:r>
        <w:t xml:space="preserve">Nearly every modeling analysis contains errors of some kind.  </w:t>
      </w:r>
    </w:p>
    <w:p w14:paraId="27AEA987" w14:textId="77777777" w:rsidR="009A01E5" w:rsidRDefault="009A01E5" w:rsidP="000F6041">
      <w:pPr>
        <w:spacing w:after="120"/>
        <w:ind w:left="720"/>
        <w:rPr>
          <w:i/>
        </w:rPr>
      </w:pPr>
      <w:r>
        <w:rPr>
          <w:i/>
        </w:rPr>
        <w:t>Your job is not only to identify these errors, but to discern their significance</w:t>
      </w:r>
      <w:r w:rsidR="003E55CE">
        <w:rPr>
          <w:i/>
        </w:rPr>
        <w:t xml:space="preserve"> and, as needed, to provide feedback to the applicant</w:t>
      </w:r>
      <w:r>
        <w:rPr>
          <w:i/>
        </w:rPr>
        <w:t xml:space="preserve">. </w:t>
      </w:r>
    </w:p>
    <w:p w14:paraId="72AA5C48" w14:textId="05FE5758" w:rsidR="009A01E5" w:rsidRDefault="001F45F7">
      <w:r>
        <w:t xml:space="preserve">The analysis does not need to be “perfect” </w:t>
      </w:r>
      <w:proofErr w:type="gramStart"/>
      <w:r>
        <w:t>in order to</w:t>
      </w:r>
      <w:proofErr w:type="gramEnd"/>
      <w:r>
        <w:t xml:space="preserve"> proceed with a permit decision.  Some </w:t>
      </w:r>
      <w:r w:rsidR="0018551D">
        <w:t xml:space="preserve">errors </w:t>
      </w:r>
      <w:r>
        <w:t xml:space="preserve">may have trivial </w:t>
      </w:r>
      <w:r w:rsidR="00E71E3E">
        <w:t xml:space="preserve">or inconsequential </w:t>
      </w:r>
      <w:r>
        <w:t xml:space="preserve">influence on the </w:t>
      </w:r>
      <w:r w:rsidR="0018551D">
        <w:t xml:space="preserve">results and </w:t>
      </w:r>
      <w:r>
        <w:t>conclusion</w:t>
      </w:r>
      <w:r w:rsidR="0018551D">
        <w:t xml:space="preserve">. </w:t>
      </w:r>
      <w:r w:rsidR="00E71E3E">
        <w:t>If you’re uncertain</w:t>
      </w:r>
      <w:r w:rsidR="009A01E5">
        <w:t>, you can correct a mistake and rerun the model to determine if the change is significant. If not, you can document the change and continue with the review, without delaying the review process.</w:t>
      </w:r>
      <w:r w:rsidR="00AC1998">
        <w:t xml:space="preserve"> If the mistake appears to be more substantive, then it</w:t>
      </w:r>
      <w:r w:rsidR="006432B4">
        <w:t>’</w:t>
      </w:r>
      <w:r w:rsidR="00AC1998">
        <w:t>s best to have the applicant correct it.</w:t>
      </w:r>
    </w:p>
    <w:p w14:paraId="0CA337DC" w14:textId="77777777" w:rsidR="009A01E5" w:rsidRDefault="009A01E5">
      <w:r>
        <w:t xml:space="preserve">Attitude plays a key role in expediting the modeling review.  While </w:t>
      </w:r>
      <w:r w:rsidR="00F524C3">
        <w:t xml:space="preserve">you, as a reviewer, are </w:t>
      </w:r>
      <w:r>
        <w:t>responsib</w:t>
      </w:r>
      <w:r w:rsidR="00F524C3">
        <w:t>le</w:t>
      </w:r>
      <w:r>
        <w:t xml:space="preserve"> </w:t>
      </w:r>
      <w:r w:rsidR="003E3099">
        <w:t xml:space="preserve">for </w:t>
      </w:r>
      <w:r>
        <w:t xml:space="preserve">ensuring that a technically correct ambient impact analysis was conducted, you must also not serve as a stop gap to the process.  Consequently, having a “client-service” perspective is also required.  You should ask what you can do to help the process along.  While reviewing the modeling files, you are encouraged to conduct sensitivity tests of a questionable input </w:t>
      </w:r>
      <w:proofErr w:type="gramStart"/>
      <w:r>
        <w:t>parameter, or</w:t>
      </w:r>
      <w:proofErr w:type="gramEnd"/>
      <w:r>
        <w:t xml:space="preserve"> make small changes if needed. </w:t>
      </w:r>
    </w:p>
    <w:p w14:paraId="6CA2B694" w14:textId="77777777" w:rsidR="009A01E5" w:rsidRDefault="009A01E5">
      <w:r>
        <w:t xml:space="preserve">Finally, </w:t>
      </w:r>
      <w:r w:rsidR="00DA246C">
        <w:t>judgment</w:t>
      </w:r>
      <w:r>
        <w:t xml:space="preserve"> is often required in knowing how much to review.  You often don’t have the luxury of reviewing every detail of the analysis.  While this manual offers guidance on many aspects of conducting a modeling review, it can’t address every scenario. Perhaps the following quote will offer some guidance….</w:t>
      </w:r>
    </w:p>
    <w:p w14:paraId="39434CCB" w14:textId="77777777" w:rsidR="009A01E5" w:rsidRDefault="009A01E5">
      <w:pPr>
        <w:jc w:val="center"/>
        <w:rPr>
          <w:i/>
        </w:rPr>
      </w:pPr>
      <w:r>
        <w:rPr>
          <w:i/>
        </w:rPr>
        <w:t>“The closer they are to the standard (or increment), the harder you look”.</w:t>
      </w:r>
    </w:p>
    <w:p w14:paraId="65E5D97E" w14:textId="79AE8220" w:rsidR="009A01E5" w:rsidRDefault="009A01E5" w:rsidP="00407F48">
      <w:pPr>
        <w:numPr>
          <w:ilvl w:val="0"/>
          <w:numId w:val="28"/>
        </w:numPr>
        <w:jc w:val="right"/>
        <w:rPr>
          <w:i/>
        </w:rPr>
      </w:pPr>
      <w:r>
        <w:rPr>
          <w:i/>
        </w:rPr>
        <w:t xml:space="preserve">Rob Wilson, </w:t>
      </w:r>
      <w:r w:rsidR="009977F4">
        <w:rPr>
          <w:i/>
        </w:rPr>
        <w:t>R</w:t>
      </w:r>
      <w:r>
        <w:rPr>
          <w:i/>
        </w:rPr>
        <w:t>10</w:t>
      </w:r>
    </w:p>
    <w:p w14:paraId="3DD59722" w14:textId="77777777" w:rsidR="009A01E5" w:rsidRDefault="001578CE" w:rsidP="001578CE">
      <w:pPr>
        <w:pStyle w:val="Heading3"/>
        <w:rPr>
          <w:snapToGrid w:val="0"/>
        </w:rPr>
      </w:pPr>
      <w:r>
        <w:rPr>
          <w:snapToGrid w:val="0"/>
        </w:rPr>
        <w:lastRenderedPageBreak/>
        <w:tab/>
      </w:r>
      <w:bookmarkStart w:id="14" w:name="_Ref440024282"/>
      <w:bookmarkStart w:id="15" w:name="_Toc526778216"/>
      <w:r w:rsidR="009A01E5">
        <w:rPr>
          <w:snapToGrid w:val="0"/>
        </w:rPr>
        <w:t>ADEC Regulatory Requirements</w:t>
      </w:r>
      <w:bookmarkEnd w:id="12"/>
      <w:bookmarkEnd w:id="14"/>
      <w:bookmarkEnd w:id="15"/>
    </w:p>
    <w:p w14:paraId="33DC310B" w14:textId="0AE24F37" w:rsidR="009933D5" w:rsidRDefault="009A01E5">
      <w:pPr>
        <w:rPr>
          <w:snapToGrid w:val="0"/>
        </w:rPr>
      </w:pPr>
      <w:r>
        <w:rPr>
          <w:snapToGrid w:val="0"/>
        </w:rPr>
        <w:t xml:space="preserve">ADEC’s air quality control regulations are in </w:t>
      </w:r>
      <w:hyperlink r:id="rId35" w:history="1">
        <w:r w:rsidRPr="00AF0CC3">
          <w:rPr>
            <w:rStyle w:val="Hyperlink"/>
            <w:snapToGrid w:val="0"/>
          </w:rPr>
          <w:t>18</w:t>
        </w:r>
        <w:r w:rsidR="004C7104" w:rsidRPr="00AF0CC3">
          <w:rPr>
            <w:rStyle w:val="Hyperlink"/>
          </w:rPr>
          <w:t> </w:t>
        </w:r>
        <w:r w:rsidRPr="00AF0CC3">
          <w:rPr>
            <w:rStyle w:val="Hyperlink"/>
            <w:snapToGrid w:val="0"/>
          </w:rPr>
          <w:t>AAC</w:t>
        </w:r>
        <w:r w:rsidR="004C7104" w:rsidRPr="00AF0CC3">
          <w:rPr>
            <w:rStyle w:val="Hyperlink"/>
          </w:rPr>
          <w:t> </w:t>
        </w:r>
        <w:r w:rsidRPr="00AF0CC3">
          <w:rPr>
            <w:rStyle w:val="Hyperlink"/>
            <w:snapToGrid w:val="0"/>
          </w:rPr>
          <w:t>50</w:t>
        </w:r>
        <w:bookmarkStart w:id="16" w:name="_Ref359998845"/>
      </w:hyperlink>
      <w:r w:rsidR="00FD5EEC">
        <w:rPr>
          <w:snapToGrid w:val="0"/>
        </w:rPr>
        <w:t>.</w:t>
      </w:r>
      <w:r>
        <w:rPr>
          <w:rStyle w:val="FootnoteReference"/>
          <w:snapToGrid w:val="0"/>
        </w:rPr>
        <w:footnoteReference w:id="7"/>
      </w:r>
      <w:bookmarkEnd w:id="16"/>
      <w:r>
        <w:rPr>
          <w:snapToGrid w:val="0"/>
        </w:rPr>
        <w:t xml:space="preserve">  </w:t>
      </w:r>
      <w:r w:rsidR="00EC5AFF">
        <w:rPr>
          <w:snapToGrid w:val="0"/>
        </w:rPr>
        <w:t xml:space="preserve">The permitting and ambient demonstration requirements for </w:t>
      </w:r>
      <w:r w:rsidR="00EC5AFF" w:rsidRPr="009933D5">
        <w:rPr>
          <w:b/>
          <w:i/>
          <w:snapToGrid w:val="0"/>
        </w:rPr>
        <w:t>major</w:t>
      </w:r>
      <w:r w:rsidR="00EC5AFF">
        <w:rPr>
          <w:snapToGrid w:val="0"/>
        </w:rPr>
        <w:t xml:space="preserve"> stationary sources are in</w:t>
      </w:r>
      <w:r>
        <w:rPr>
          <w:snapToGrid w:val="0"/>
        </w:rPr>
        <w:t xml:space="preserve"> </w:t>
      </w:r>
      <w:r w:rsidRPr="009933D5">
        <w:rPr>
          <w:b/>
          <w:snapToGrid w:val="0"/>
        </w:rPr>
        <w:t>Article</w:t>
      </w:r>
      <w:r w:rsidR="00194B07">
        <w:t> </w:t>
      </w:r>
      <w:r w:rsidRPr="009933D5">
        <w:rPr>
          <w:b/>
          <w:snapToGrid w:val="0"/>
        </w:rPr>
        <w:t>3</w:t>
      </w:r>
      <w:r w:rsidR="00EC5AFF">
        <w:rPr>
          <w:snapToGrid w:val="0"/>
        </w:rPr>
        <w:t xml:space="preserve">, and the permitting and ambient demonstration requirements for </w:t>
      </w:r>
      <w:r w:rsidR="00EC5AFF" w:rsidRPr="009933D5">
        <w:rPr>
          <w:b/>
          <w:i/>
          <w:snapToGrid w:val="0"/>
        </w:rPr>
        <w:t>minor</w:t>
      </w:r>
      <w:r w:rsidR="00EC5AFF">
        <w:rPr>
          <w:snapToGrid w:val="0"/>
        </w:rPr>
        <w:t xml:space="preserve"> permit applicants are in </w:t>
      </w:r>
      <w:r w:rsidR="00BA12E4" w:rsidRPr="009933D5">
        <w:rPr>
          <w:b/>
          <w:snapToGrid w:val="0"/>
        </w:rPr>
        <w:t>Article</w:t>
      </w:r>
      <w:r w:rsidR="00194B07">
        <w:t> </w:t>
      </w:r>
      <w:r w:rsidR="00EC5AFF" w:rsidRPr="009933D5">
        <w:rPr>
          <w:b/>
          <w:snapToGrid w:val="0"/>
        </w:rPr>
        <w:t>5</w:t>
      </w:r>
      <w:r>
        <w:rPr>
          <w:snapToGrid w:val="0"/>
        </w:rPr>
        <w:t>.</w:t>
      </w:r>
      <w:r w:rsidR="007A09A7">
        <w:rPr>
          <w:snapToGrid w:val="0"/>
        </w:rPr>
        <w:t xml:space="preserve"> </w:t>
      </w:r>
      <w:r>
        <w:rPr>
          <w:snapToGrid w:val="0"/>
        </w:rPr>
        <w:t xml:space="preserve"> </w:t>
      </w:r>
      <w:r w:rsidR="00D82CF1">
        <w:rPr>
          <w:snapToGrid w:val="0"/>
        </w:rPr>
        <w:t>ADEC may also request an ambient demonstration (modeling analysis) as part of an ambient air quality investigation under 18</w:t>
      </w:r>
      <w:r w:rsidR="00053A34" w:rsidRPr="008E3429">
        <w:t> </w:t>
      </w:r>
      <w:r w:rsidR="00D82CF1">
        <w:rPr>
          <w:snapToGrid w:val="0"/>
        </w:rPr>
        <w:t>AAC</w:t>
      </w:r>
      <w:r w:rsidR="00053A34" w:rsidRPr="008E3429">
        <w:t> </w:t>
      </w:r>
      <w:r w:rsidR="00D82CF1">
        <w:rPr>
          <w:snapToGrid w:val="0"/>
        </w:rPr>
        <w:t xml:space="preserve">50.201. </w:t>
      </w:r>
      <w:r w:rsidR="00EC5AFF">
        <w:rPr>
          <w:snapToGrid w:val="0"/>
        </w:rPr>
        <w:t xml:space="preserve"> </w:t>
      </w:r>
    </w:p>
    <w:p w14:paraId="4613BD75" w14:textId="7AD2D7A5" w:rsidR="009A01E5" w:rsidRDefault="009A01E5">
      <w:pPr>
        <w:rPr>
          <w:snapToGrid w:val="0"/>
        </w:rPr>
      </w:pPr>
      <w:hyperlink r:id="rId36" w:history="1">
        <w:r w:rsidRPr="00AF0CC3">
          <w:rPr>
            <w:rStyle w:val="Hyperlink"/>
            <w:snapToGrid w:val="0"/>
          </w:rPr>
          <w:t>18</w:t>
        </w:r>
        <w:r w:rsidR="004C7104" w:rsidRPr="00AF0CC3">
          <w:rPr>
            <w:rStyle w:val="Hyperlink"/>
          </w:rPr>
          <w:t> </w:t>
        </w:r>
        <w:r w:rsidRPr="00AF0CC3">
          <w:rPr>
            <w:rStyle w:val="Hyperlink"/>
            <w:snapToGrid w:val="0"/>
          </w:rPr>
          <w:t>AAC</w:t>
        </w:r>
        <w:r w:rsidR="004C7104" w:rsidRPr="00AF0CC3">
          <w:rPr>
            <w:rStyle w:val="Hyperlink"/>
          </w:rPr>
          <w:t> </w:t>
        </w:r>
        <w:r w:rsidRPr="00AF0CC3">
          <w:rPr>
            <w:rStyle w:val="Hyperlink"/>
            <w:snapToGrid w:val="0"/>
          </w:rPr>
          <w:t>50.215</w:t>
        </w:r>
      </w:hyperlink>
      <w:r>
        <w:rPr>
          <w:snapToGrid w:val="0"/>
        </w:rPr>
        <w:t xml:space="preserve"> contains additional requirements </w:t>
      </w:r>
      <w:r w:rsidR="003B3E66">
        <w:rPr>
          <w:snapToGrid w:val="0"/>
        </w:rPr>
        <w:t xml:space="preserve">regarding the data and techniques </w:t>
      </w:r>
      <w:r>
        <w:rPr>
          <w:snapToGrid w:val="0"/>
        </w:rPr>
        <w:t xml:space="preserve">for </w:t>
      </w:r>
      <w:r w:rsidR="003B3E66">
        <w:rPr>
          <w:snapToGrid w:val="0"/>
        </w:rPr>
        <w:t>conducting ambient air quality analysis</w:t>
      </w:r>
      <w:r>
        <w:rPr>
          <w:snapToGrid w:val="0"/>
        </w:rPr>
        <w:t xml:space="preserve">. </w:t>
      </w:r>
      <w:r w:rsidR="00EC5AFF">
        <w:rPr>
          <w:snapToGrid w:val="0"/>
        </w:rPr>
        <w:t xml:space="preserve"> ADEC has also adopted various federal provisions by reference in 18</w:t>
      </w:r>
      <w:r w:rsidR="00053A34" w:rsidRPr="008E3429">
        <w:t> </w:t>
      </w:r>
      <w:r w:rsidR="00EC5AFF">
        <w:rPr>
          <w:snapToGrid w:val="0"/>
        </w:rPr>
        <w:t>AAC</w:t>
      </w:r>
      <w:r w:rsidR="00053A34" w:rsidRPr="008E3429">
        <w:t> </w:t>
      </w:r>
      <w:r w:rsidR="00EC5AFF">
        <w:rPr>
          <w:snapToGrid w:val="0"/>
        </w:rPr>
        <w:t xml:space="preserve">50.035 – 040.  </w:t>
      </w:r>
      <w:r w:rsidR="003B3E66">
        <w:rPr>
          <w:snapToGrid w:val="0"/>
        </w:rPr>
        <w:t>Alaska’s</w:t>
      </w:r>
      <w:r w:rsidRPr="00465CA1">
        <w:rPr>
          <w:snapToGrid w:val="0"/>
        </w:rPr>
        <w:t xml:space="preserve"> </w:t>
      </w:r>
      <w:r w:rsidR="003B3E66">
        <w:rPr>
          <w:snapToGrid w:val="0"/>
        </w:rPr>
        <w:t xml:space="preserve">Ambient </w:t>
      </w:r>
      <w:r w:rsidRPr="00465CA1">
        <w:rPr>
          <w:snapToGrid w:val="0"/>
        </w:rPr>
        <w:t xml:space="preserve">Air Quality Standards </w:t>
      </w:r>
      <w:r w:rsidR="003B3E66">
        <w:rPr>
          <w:snapToGrid w:val="0"/>
        </w:rPr>
        <w:t xml:space="preserve">(AAAQS) </w:t>
      </w:r>
      <w:r w:rsidRPr="00465CA1">
        <w:rPr>
          <w:snapToGrid w:val="0"/>
        </w:rPr>
        <w:t xml:space="preserve">and </w:t>
      </w:r>
      <w:r w:rsidR="00BA12E4" w:rsidRPr="00465CA1">
        <w:rPr>
          <w:snapToGrid w:val="0"/>
        </w:rPr>
        <w:t xml:space="preserve">maximum allowable increases (increments) </w:t>
      </w:r>
      <w:r w:rsidRPr="00465CA1">
        <w:rPr>
          <w:snapToGrid w:val="0"/>
        </w:rPr>
        <w:t xml:space="preserve">are listed in </w:t>
      </w:r>
      <w:hyperlink r:id="rId37" w:history="1">
        <w:r w:rsidRPr="00AF0CC3">
          <w:rPr>
            <w:rStyle w:val="Hyperlink"/>
            <w:snapToGrid w:val="0"/>
          </w:rPr>
          <w:t>18</w:t>
        </w:r>
        <w:r w:rsidR="004C7104" w:rsidRPr="00AF0CC3">
          <w:rPr>
            <w:rStyle w:val="Hyperlink"/>
          </w:rPr>
          <w:t> </w:t>
        </w:r>
        <w:r w:rsidRPr="00AF0CC3">
          <w:rPr>
            <w:rStyle w:val="Hyperlink"/>
            <w:snapToGrid w:val="0"/>
          </w:rPr>
          <w:t>AAC</w:t>
        </w:r>
        <w:r w:rsidR="004C7104" w:rsidRPr="00AF0CC3">
          <w:rPr>
            <w:rStyle w:val="Hyperlink"/>
          </w:rPr>
          <w:t> </w:t>
        </w:r>
        <w:r w:rsidRPr="00AF0CC3">
          <w:rPr>
            <w:rStyle w:val="Hyperlink"/>
            <w:snapToGrid w:val="0"/>
          </w:rPr>
          <w:t>50</w:t>
        </w:r>
        <w:r w:rsidR="00BA12E4" w:rsidRPr="00AF0CC3">
          <w:rPr>
            <w:rStyle w:val="Hyperlink"/>
            <w:snapToGrid w:val="0"/>
          </w:rPr>
          <w:t>.010</w:t>
        </w:r>
      </w:hyperlink>
      <w:r w:rsidR="00BA12E4" w:rsidRPr="00465CA1">
        <w:rPr>
          <w:snapToGrid w:val="0"/>
        </w:rPr>
        <w:t xml:space="preserve"> and </w:t>
      </w:r>
      <w:hyperlink r:id="rId38" w:history="1">
        <w:r w:rsidR="00BA12E4" w:rsidRPr="00AF0CC3">
          <w:rPr>
            <w:rStyle w:val="Hyperlink"/>
            <w:snapToGrid w:val="0"/>
          </w:rPr>
          <w:t>18</w:t>
        </w:r>
        <w:r w:rsidR="004C7104" w:rsidRPr="00AF0CC3">
          <w:rPr>
            <w:rStyle w:val="Hyperlink"/>
          </w:rPr>
          <w:t> </w:t>
        </w:r>
        <w:r w:rsidR="00BA12E4" w:rsidRPr="00AF0CC3">
          <w:rPr>
            <w:rStyle w:val="Hyperlink"/>
            <w:snapToGrid w:val="0"/>
          </w:rPr>
          <w:t>AAC</w:t>
        </w:r>
        <w:r w:rsidR="004C7104" w:rsidRPr="00AF0CC3">
          <w:rPr>
            <w:rStyle w:val="Hyperlink"/>
          </w:rPr>
          <w:t> </w:t>
        </w:r>
        <w:r w:rsidR="00BA12E4" w:rsidRPr="00AF0CC3">
          <w:rPr>
            <w:rStyle w:val="Hyperlink"/>
            <w:snapToGrid w:val="0"/>
          </w:rPr>
          <w:t>50.020</w:t>
        </w:r>
      </w:hyperlink>
      <w:r w:rsidR="00181832">
        <w:rPr>
          <w:snapToGrid w:val="0"/>
        </w:rPr>
        <w:t>, respectively</w:t>
      </w:r>
      <w:r>
        <w:rPr>
          <w:snapToGrid w:val="0"/>
        </w:rPr>
        <w:t xml:space="preserve">.  </w:t>
      </w:r>
      <w:r w:rsidR="004C7104">
        <w:rPr>
          <w:snapToGrid w:val="0"/>
        </w:rPr>
        <w:t xml:space="preserve">There are four “air quality control regions,” which are listed in </w:t>
      </w:r>
      <w:hyperlink r:id="rId39" w:history="1">
        <w:r w:rsidR="004C7104" w:rsidRPr="00AF0CC3">
          <w:rPr>
            <w:rStyle w:val="Hyperlink"/>
            <w:snapToGrid w:val="0"/>
          </w:rPr>
          <w:t>18</w:t>
        </w:r>
        <w:r w:rsidR="004C7104" w:rsidRPr="00AF0CC3">
          <w:rPr>
            <w:rStyle w:val="Hyperlink"/>
          </w:rPr>
          <w:t> </w:t>
        </w:r>
        <w:r w:rsidR="004C7104" w:rsidRPr="00AF0CC3">
          <w:rPr>
            <w:rStyle w:val="Hyperlink"/>
            <w:snapToGrid w:val="0"/>
          </w:rPr>
          <w:t>AAC</w:t>
        </w:r>
        <w:r w:rsidR="004C7104" w:rsidRPr="00AF0CC3">
          <w:rPr>
            <w:rStyle w:val="Hyperlink"/>
          </w:rPr>
          <w:t> </w:t>
        </w:r>
        <w:r w:rsidR="004C7104" w:rsidRPr="00AF0CC3">
          <w:rPr>
            <w:rStyle w:val="Hyperlink"/>
            <w:snapToGrid w:val="0"/>
          </w:rPr>
          <w:t>50.015</w:t>
        </w:r>
      </w:hyperlink>
      <w:r w:rsidR="004C7104">
        <w:rPr>
          <w:snapToGrid w:val="0"/>
        </w:rPr>
        <w:t xml:space="preserve">(c)(1) and illustrated </w:t>
      </w:r>
      <w:r w:rsidR="00E845BC">
        <w:rPr>
          <w:snapToGrid w:val="0"/>
        </w:rPr>
        <w:t xml:space="preserve">below </w:t>
      </w:r>
      <w:r w:rsidR="004C7104">
        <w:rPr>
          <w:snapToGrid w:val="0"/>
        </w:rPr>
        <w:t xml:space="preserve">in </w:t>
      </w:r>
      <w:r w:rsidR="001E7185">
        <w:rPr>
          <w:snapToGrid w:val="0"/>
        </w:rPr>
        <w:fldChar w:fldCharType="begin"/>
      </w:r>
      <w:r w:rsidR="001E7185">
        <w:rPr>
          <w:snapToGrid w:val="0"/>
        </w:rPr>
        <w:instrText xml:space="preserve"> REF _Ref371085507 \h </w:instrText>
      </w:r>
      <w:r w:rsidR="001E7185">
        <w:rPr>
          <w:snapToGrid w:val="0"/>
        </w:rPr>
      </w:r>
      <w:r w:rsidR="001E7185">
        <w:rPr>
          <w:snapToGrid w:val="0"/>
        </w:rPr>
        <w:fldChar w:fldCharType="separate"/>
      </w:r>
      <w:r w:rsidR="00135FFD">
        <w:t xml:space="preserve">Figure </w:t>
      </w:r>
      <w:r w:rsidR="00135FFD">
        <w:rPr>
          <w:noProof/>
        </w:rPr>
        <w:t>1</w:t>
      </w:r>
      <w:r w:rsidR="001E7185">
        <w:rPr>
          <w:snapToGrid w:val="0"/>
        </w:rPr>
        <w:fldChar w:fldCharType="end"/>
      </w:r>
      <w:r w:rsidR="006E281D" w:rsidRPr="00465CA1">
        <w:rPr>
          <w:snapToGrid w:val="0"/>
        </w:rPr>
        <w:t>.</w:t>
      </w:r>
      <w:r w:rsidR="006E281D">
        <w:rPr>
          <w:snapToGrid w:val="0"/>
        </w:rPr>
        <w:t xml:space="preserve">  </w:t>
      </w:r>
      <w:r>
        <w:rPr>
          <w:snapToGrid w:val="0"/>
        </w:rPr>
        <w:t xml:space="preserve">ADEC does not require </w:t>
      </w:r>
      <w:r w:rsidR="00D82CF1">
        <w:rPr>
          <w:snapToGrid w:val="0"/>
        </w:rPr>
        <w:t xml:space="preserve">permit </w:t>
      </w:r>
      <w:r>
        <w:rPr>
          <w:snapToGrid w:val="0"/>
        </w:rPr>
        <w:t xml:space="preserve">applicants to model </w:t>
      </w:r>
      <w:r w:rsidR="00D82CF1">
        <w:rPr>
          <w:snapToGrid w:val="0"/>
        </w:rPr>
        <w:t>“</w:t>
      </w:r>
      <w:r>
        <w:rPr>
          <w:snapToGrid w:val="0"/>
        </w:rPr>
        <w:t>air toxics</w:t>
      </w:r>
      <w:r w:rsidR="00D82CF1">
        <w:rPr>
          <w:snapToGrid w:val="0"/>
        </w:rPr>
        <w:t>”</w:t>
      </w:r>
      <w:r w:rsidR="00A34EA5">
        <w:rPr>
          <w:snapToGrid w:val="0"/>
        </w:rPr>
        <w:t xml:space="preserve"> emissions, unless it’s specifically requested as part of an 18</w:t>
      </w:r>
      <w:r w:rsidR="00A34EA5" w:rsidRPr="008E3429">
        <w:t> </w:t>
      </w:r>
      <w:r w:rsidR="00A34EA5">
        <w:rPr>
          <w:snapToGrid w:val="0"/>
        </w:rPr>
        <w:t>AAC</w:t>
      </w:r>
      <w:r w:rsidR="00A34EA5" w:rsidRPr="008E3429">
        <w:t> </w:t>
      </w:r>
      <w:r w:rsidR="00A34EA5">
        <w:rPr>
          <w:snapToGrid w:val="0"/>
        </w:rPr>
        <w:t>50.201 ambient air quality investigation</w:t>
      </w:r>
      <w:r>
        <w:rPr>
          <w:snapToGrid w:val="0"/>
        </w:rPr>
        <w:t>.</w:t>
      </w:r>
    </w:p>
    <w:p w14:paraId="42D064E2" w14:textId="77777777" w:rsidR="00C12C9A" w:rsidRDefault="00C12C9A">
      <w:pPr>
        <w:rPr>
          <w:snapToGrid w:val="0"/>
        </w:rPr>
      </w:pPr>
    </w:p>
    <w:p w14:paraId="10A9F84F" w14:textId="77777777" w:rsidR="00004BF5" w:rsidRDefault="000632BE" w:rsidP="00004BF5">
      <w:pPr>
        <w:keepNext/>
        <w:jc w:val="center"/>
      </w:pPr>
      <w:r>
        <w:rPr>
          <w:noProof/>
        </w:rPr>
        <w:drawing>
          <wp:inline distT="0" distB="0" distL="0" distR="0" wp14:anchorId="7D52C74E" wp14:editId="51E28FA7">
            <wp:extent cx="5421145" cy="3034701"/>
            <wp:effectExtent l="19050" t="19050" r="27155" b="13299"/>
            <wp:docPr id="5" name="Picture 4" descr="map of control regions in Ala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map of control regions in Alaska"/>
                    <pic:cNvPicPr/>
                  </pic:nvPicPr>
                  <pic:blipFill>
                    <a:blip r:embed="rId40" cstate="print"/>
                    <a:stretch>
                      <a:fillRect/>
                    </a:stretch>
                  </pic:blipFill>
                  <pic:spPr>
                    <a:xfrm>
                      <a:off x="0" y="0"/>
                      <a:ext cx="5421145" cy="3034701"/>
                    </a:xfrm>
                    <a:prstGeom prst="rect">
                      <a:avLst/>
                    </a:prstGeom>
                    <a:ln>
                      <a:solidFill>
                        <a:schemeClr val="tx1"/>
                      </a:solidFill>
                    </a:ln>
                  </pic:spPr>
                </pic:pic>
              </a:graphicData>
            </a:graphic>
          </wp:inline>
        </w:drawing>
      </w:r>
    </w:p>
    <w:p w14:paraId="63A7BB0D" w14:textId="7A7FEBE9" w:rsidR="00653BE6" w:rsidRDefault="00004BF5" w:rsidP="00004BF5">
      <w:pPr>
        <w:pStyle w:val="Caption"/>
        <w:jc w:val="center"/>
      </w:pPr>
      <w:bookmarkStart w:id="17" w:name="_Ref371085507"/>
      <w:bookmarkStart w:id="18" w:name="_Toc360016187"/>
      <w:bookmarkStart w:id="19" w:name="_Toc526778344"/>
      <w:r>
        <w:t xml:space="preserve">Figure </w:t>
      </w:r>
      <w:r w:rsidR="00B560B0">
        <w:rPr>
          <w:noProof/>
        </w:rPr>
        <w:fldChar w:fldCharType="begin"/>
      </w:r>
      <w:r w:rsidR="00B560B0">
        <w:rPr>
          <w:noProof/>
        </w:rPr>
        <w:instrText xml:space="preserve"> SEQ Figure \* ARABIC </w:instrText>
      </w:r>
      <w:r w:rsidR="00B560B0">
        <w:rPr>
          <w:noProof/>
        </w:rPr>
        <w:fldChar w:fldCharType="separate"/>
      </w:r>
      <w:r w:rsidR="00135FFD">
        <w:rPr>
          <w:noProof/>
        </w:rPr>
        <w:t>1</w:t>
      </w:r>
      <w:r w:rsidR="00B560B0">
        <w:rPr>
          <w:noProof/>
        </w:rPr>
        <w:fldChar w:fldCharType="end"/>
      </w:r>
      <w:bookmarkEnd w:id="17"/>
      <w:r>
        <w:t>.  Air Quality Control regions in Alaska</w:t>
      </w:r>
      <w:bookmarkEnd w:id="18"/>
      <w:bookmarkEnd w:id="19"/>
    </w:p>
    <w:p w14:paraId="7551EC2F" w14:textId="315F205E" w:rsidR="00E45A73" w:rsidRDefault="00E45A73" w:rsidP="00E45A73">
      <w:pPr>
        <w:rPr>
          <w:snapToGrid w:val="0"/>
        </w:rPr>
      </w:pPr>
      <w:r>
        <w:rPr>
          <w:snapToGrid w:val="0"/>
        </w:rPr>
        <w:t>PSD applicants must also conduct an analysis of the impact from the project and associated growth on visibility, vegetation and soil, in addition to demonstrating compliance with the PSD-triggered criteria pollutants.  PSD applicants may also need to conduct an AQRV analysis, consistent with the Class</w:t>
      </w:r>
      <w:r w:rsidR="00194B07">
        <w:t> </w:t>
      </w:r>
      <w:r>
        <w:rPr>
          <w:snapToGrid w:val="0"/>
        </w:rPr>
        <w:t>I area FLM requirements, to assess the impacts within a “nearby” Class</w:t>
      </w:r>
      <w:r w:rsidR="00194B07">
        <w:t> </w:t>
      </w:r>
      <w:r>
        <w:rPr>
          <w:snapToGrid w:val="0"/>
        </w:rPr>
        <w:t>I area.</w:t>
      </w:r>
    </w:p>
    <w:p w14:paraId="34BFBF16" w14:textId="77777777" w:rsidR="009A01E5" w:rsidRDefault="001578CE" w:rsidP="00E255C0">
      <w:pPr>
        <w:pStyle w:val="Heading3"/>
        <w:rPr>
          <w:snapToGrid w:val="0"/>
        </w:rPr>
      </w:pPr>
      <w:bookmarkStart w:id="20" w:name="_Toc43521192"/>
      <w:r>
        <w:rPr>
          <w:snapToGrid w:val="0"/>
        </w:rPr>
        <w:lastRenderedPageBreak/>
        <w:tab/>
      </w:r>
      <w:bookmarkStart w:id="21" w:name="_Ref490479971"/>
      <w:bookmarkStart w:id="22" w:name="_Toc526778217"/>
      <w:r w:rsidR="009A01E5">
        <w:rPr>
          <w:snapToGrid w:val="0"/>
        </w:rPr>
        <w:t>EPA Guidance on General Modeling Procedures</w:t>
      </w:r>
      <w:bookmarkEnd w:id="20"/>
      <w:bookmarkEnd w:id="21"/>
      <w:bookmarkEnd w:id="22"/>
    </w:p>
    <w:p w14:paraId="7461DD68" w14:textId="6C68DBAA" w:rsidR="00727923" w:rsidRDefault="009A01E5">
      <w:pPr>
        <w:rPr>
          <w:snapToGrid w:val="0"/>
        </w:rPr>
      </w:pPr>
      <w:r>
        <w:rPr>
          <w:snapToGrid w:val="0"/>
        </w:rPr>
        <w:t>EPA</w:t>
      </w:r>
      <w:r w:rsidR="00EF18F2">
        <w:rPr>
          <w:snapToGrid w:val="0"/>
        </w:rPr>
        <w:t>’</w:t>
      </w:r>
      <w:r>
        <w:rPr>
          <w:snapToGrid w:val="0"/>
        </w:rPr>
        <w:t xml:space="preserve">s guidance for performing air quality analyses is set forth in the </w:t>
      </w:r>
      <w:hyperlink r:id="rId41" w:history="1">
        <w:r w:rsidR="00C9400C" w:rsidRPr="00196955">
          <w:rPr>
            <w:rStyle w:val="Hyperlink"/>
            <w:snapToGrid w:val="0"/>
          </w:rPr>
          <w:t>Guideline</w:t>
        </w:r>
      </w:hyperlink>
      <w:r>
        <w:rPr>
          <w:snapToGrid w:val="0"/>
        </w:rPr>
        <w:t xml:space="preserve">, codified </w:t>
      </w:r>
      <w:r w:rsidR="00DB507A">
        <w:rPr>
          <w:snapToGrid w:val="0"/>
        </w:rPr>
        <w:t xml:space="preserve">in </w:t>
      </w:r>
      <w:r>
        <w:rPr>
          <w:snapToGrid w:val="0"/>
        </w:rPr>
        <w:t>40 C</w:t>
      </w:r>
      <w:r w:rsidR="00A57C17">
        <w:rPr>
          <w:snapToGrid w:val="0"/>
        </w:rPr>
        <w:t>.</w:t>
      </w:r>
      <w:r>
        <w:rPr>
          <w:snapToGrid w:val="0"/>
        </w:rPr>
        <w:t>F</w:t>
      </w:r>
      <w:r w:rsidR="00A57C17">
        <w:rPr>
          <w:snapToGrid w:val="0"/>
        </w:rPr>
        <w:t>.</w:t>
      </w:r>
      <w:r>
        <w:rPr>
          <w:snapToGrid w:val="0"/>
        </w:rPr>
        <w:t>R</w:t>
      </w:r>
      <w:r w:rsidR="00A57C17">
        <w:rPr>
          <w:snapToGrid w:val="0"/>
        </w:rPr>
        <w:t>.</w:t>
      </w:r>
      <w:r>
        <w:rPr>
          <w:snapToGrid w:val="0"/>
        </w:rPr>
        <w:t xml:space="preserve"> Part 51 Appendix W</w:t>
      </w:r>
      <w:r w:rsidR="003B47F2">
        <w:rPr>
          <w:snapToGrid w:val="0"/>
        </w:rPr>
        <w:t xml:space="preserve">, which is adopted by reference in </w:t>
      </w:r>
      <w:hyperlink r:id="rId42" w:history="1">
        <w:r w:rsidR="003B47F2" w:rsidRPr="00AF0CC3">
          <w:rPr>
            <w:rStyle w:val="Hyperlink"/>
            <w:snapToGrid w:val="0"/>
          </w:rPr>
          <w:t>18 AAC 50.040</w:t>
        </w:r>
      </w:hyperlink>
      <w:r w:rsidR="003B47F2">
        <w:rPr>
          <w:snapToGrid w:val="0"/>
        </w:rPr>
        <w:t>(f)</w:t>
      </w:r>
      <w:r>
        <w:rPr>
          <w:snapToGrid w:val="0"/>
        </w:rPr>
        <w:t xml:space="preserve">. </w:t>
      </w:r>
      <w:r w:rsidR="00C228D9">
        <w:rPr>
          <w:snapToGrid w:val="0"/>
        </w:rPr>
        <w:t xml:space="preserve"> </w:t>
      </w:r>
      <w:r>
        <w:rPr>
          <w:snapToGrid w:val="0"/>
        </w:rPr>
        <w:t xml:space="preserve">Modeling analyses are typically performed in two phases: a preliminary </w:t>
      </w:r>
      <w:r w:rsidR="00AC72AE">
        <w:rPr>
          <w:snapToGrid w:val="0"/>
        </w:rPr>
        <w:t xml:space="preserve">project impact </w:t>
      </w:r>
      <w:r>
        <w:rPr>
          <w:snapToGrid w:val="0"/>
        </w:rPr>
        <w:t>analysis</w:t>
      </w:r>
      <w:r w:rsidR="00C04EA3">
        <w:rPr>
          <w:rStyle w:val="FootnoteReference"/>
          <w:snapToGrid w:val="0"/>
        </w:rPr>
        <w:footnoteReference w:id="8"/>
      </w:r>
      <w:r>
        <w:rPr>
          <w:snapToGrid w:val="0"/>
        </w:rPr>
        <w:t xml:space="preserve"> and a </w:t>
      </w:r>
      <w:r w:rsidR="00AC72AE">
        <w:rPr>
          <w:snapToGrid w:val="0"/>
        </w:rPr>
        <w:t xml:space="preserve">cumulative </w:t>
      </w:r>
      <w:r>
        <w:rPr>
          <w:snapToGrid w:val="0"/>
        </w:rPr>
        <w:t xml:space="preserve">impact analysis.  </w:t>
      </w:r>
    </w:p>
    <w:p w14:paraId="5BFCC361" w14:textId="49294B28" w:rsidR="00BB327E" w:rsidRDefault="009A01E5">
      <w:pPr>
        <w:rPr>
          <w:snapToGrid w:val="0"/>
        </w:rPr>
      </w:pPr>
      <w:r>
        <w:rPr>
          <w:snapToGrid w:val="0"/>
        </w:rPr>
        <w:t xml:space="preserve">In the </w:t>
      </w:r>
      <w:r w:rsidR="00727923">
        <w:rPr>
          <w:snapToGrid w:val="0"/>
        </w:rPr>
        <w:t xml:space="preserve">project impact </w:t>
      </w:r>
      <w:r>
        <w:rPr>
          <w:snapToGrid w:val="0"/>
        </w:rPr>
        <w:t xml:space="preserve">analysis, the </w:t>
      </w:r>
      <w:r w:rsidR="00875077">
        <w:rPr>
          <w:snapToGrid w:val="0"/>
        </w:rPr>
        <w:t>applicant</w:t>
      </w:r>
      <w:r w:rsidR="00424774">
        <w:rPr>
          <w:snapToGrid w:val="0"/>
        </w:rPr>
        <w:t xml:space="preserve"> </w:t>
      </w:r>
      <w:r w:rsidR="00727923">
        <w:rPr>
          <w:snapToGrid w:val="0"/>
        </w:rPr>
        <w:t xml:space="preserve">models the </w:t>
      </w:r>
      <w:r>
        <w:rPr>
          <w:snapToGrid w:val="0"/>
        </w:rPr>
        <w:t xml:space="preserve">emissions from </w:t>
      </w:r>
      <w:r w:rsidR="00BB327E">
        <w:rPr>
          <w:snapToGrid w:val="0"/>
        </w:rPr>
        <w:t xml:space="preserve">just </w:t>
      </w:r>
      <w:r>
        <w:rPr>
          <w:snapToGrid w:val="0"/>
        </w:rPr>
        <w:t>the proposed project (</w:t>
      </w:r>
      <w:r w:rsidR="00AC72AE">
        <w:rPr>
          <w:snapToGrid w:val="0"/>
        </w:rPr>
        <w:t xml:space="preserve">i.e., the </w:t>
      </w:r>
      <w:r>
        <w:rPr>
          <w:snapToGrid w:val="0"/>
        </w:rPr>
        <w:t>emission</w:t>
      </w:r>
      <w:r w:rsidR="004246AF">
        <w:rPr>
          <w:snapToGrid w:val="0"/>
        </w:rPr>
        <w:t>s</w:t>
      </w:r>
      <w:r>
        <w:rPr>
          <w:snapToGrid w:val="0"/>
        </w:rPr>
        <w:t xml:space="preserve"> </w:t>
      </w:r>
      <w:proofErr w:type="gramStart"/>
      <w:r>
        <w:rPr>
          <w:snapToGrid w:val="0"/>
        </w:rPr>
        <w:t>increases</w:t>
      </w:r>
      <w:proofErr w:type="gramEnd"/>
      <w:r>
        <w:rPr>
          <w:snapToGrid w:val="0"/>
        </w:rPr>
        <w:t xml:space="preserve"> </w:t>
      </w:r>
      <w:r w:rsidR="00AC72AE">
        <w:rPr>
          <w:snapToGrid w:val="0"/>
        </w:rPr>
        <w:t>associated with the permit application</w:t>
      </w:r>
      <w:r>
        <w:rPr>
          <w:snapToGrid w:val="0"/>
        </w:rPr>
        <w:t xml:space="preserve">).  The results of the </w:t>
      </w:r>
      <w:r w:rsidR="00A27D4B">
        <w:rPr>
          <w:snapToGrid w:val="0"/>
        </w:rPr>
        <w:t xml:space="preserve">project impact </w:t>
      </w:r>
      <w:r>
        <w:rPr>
          <w:snapToGrid w:val="0"/>
        </w:rPr>
        <w:t xml:space="preserve">analysis </w:t>
      </w:r>
      <w:r w:rsidR="00424774">
        <w:rPr>
          <w:snapToGrid w:val="0"/>
        </w:rPr>
        <w:t xml:space="preserve">are </w:t>
      </w:r>
      <w:r w:rsidR="00BB327E">
        <w:rPr>
          <w:snapToGrid w:val="0"/>
        </w:rPr>
        <w:t xml:space="preserve">then </w:t>
      </w:r>
      <w:r w:rsidR="00AC72AE">
        <w:rPr>
          <w:snapToGrid w:val="0"/>
        </w:rPr>
        <w:t>compared to the applicable significant impact level (SIL) in Table</w:t>
      </w:r>
      <w:r w:rsidR="00194B07">
        <w:t> </w:t>
      </w:r>
      <w:r w:rsidR="00AC72AE">
        <w:rPr>
          <w:snapToGrid w:val="0"/>
        </w:rPr>
        <w:t xml:space="preserve">5 of </w:t>
      </w:r>
      <w:hyperlink r:id="rId43" w:history="1">
        <w:r w:rsidR="00AC72AE" w:rsidRPr="00AF0CC3">
          <w:rPr>
            <w:rStyle w:val="Hyperlink"/>
            <w:snapToGrid w:val="0"/>
          </w:rPr>
          <w:t>18 AAC 50.215</w:t>
        </w:r>
      </w:hyperlink>
      <w:r w:rsidR="00AC72AE">
        <w:rPr>
          <w:snapToGrid w:val="0"/>
        </w:rPr>
        <w:t>(d) to determine whether the impacts are significant</w:t>
      </w:r>
      <w:r w:rsidR="004E6829">
        <w:rPr>
          <w:snapToGrid w:val="0"/>
        </w:rPr>
        <w:t>.</w:t>
      </w:r>
      <w:r w:rsidR="00004BF5">
        <w:rPr>
          <w:rStyle w:val="FootnoteReference"/>
          <w:snapToGrid w:val="0"/>
        </w:rPr>
        <w:footnoteReference w:id="9"/>
      </w:r>
      <w:r w:rsidR="00AC72AE">
        <w:rPr>
          <w:snapToGrid w:val="0"/>
        </w:rPr>
        <w:t xml:space="preserve"> If they are, </w:t>
      </w:r>
      <w:r>
        <w:rPr>
          <w:snapToGrid w:val="0"/>
        </w:rPr>
        <w:t xml:space="preserve">the applicant must perform a </w:t>
      </w:r>
      <w:r w:rsidR="00AC72AE">
        <w:rPr>
          <w:snapToGrid w:val="0"/>
        </w:rPr>
        <w:t xml:space="preserve">cumulative </w:t>
      </w:r>
      <w:r>
        <w:rPr>
          <w:snapToGrid w:val="0"/>
        </w:rPr>
        <w:t>impact analysis</w:t>
      </w:r>
      <w:r w:rsidR="00AC72AE">
        <w:rPr>
          <w:snapToGrid w:val="0"/>
        </w:rPr>
        <w:t xml:space="preserve"> to demonstrate compliance with the applicable </w:t>
      </w:r>
      <w:r w:rsidR="007F636A">
        <w:rPr>
          <w:snapToGrid w:val="0"/>
        </w:rPr>
        <w:t>AAAQS</w:t>
      </w:r>
      <w:r w:rsidR="00AC72AE">
        <w:rPr>
          <w:snapToGrid w:val="0"/>
        </w:rPr>
        <w:t xml:space="preserve"> or increment</w:t>
      </w:r>
      <w:r>
        <w:rPr>
          <w:snapToGrid w:val="0"/>
        </w:rPr>
        <w:t xml:space="preserve">. </w:t>
      </w:r>
      <w:r w:rsidR="004246AF">
        <w:rPr>
          <w:snapToGrid w:val="0"/>
        </w:rPr>
        <w:t xml:space="preserve"> </w:t>
      </w:r>
      <w:r w:rsidR="00B00F83">
        <w:rPr>
          <w:snapToGrid w:val="0"/>
        </w:rPr>
        <w:t>Background concentrations, and off-site impacts, are not included in the project impact analysis.  However, t</w:t>
      </w:r>
      <w:r w:rsidR="00BB327E">
        <w:rPr>
          <w:snapToGrid w:val="0"/>
        </w:rPr>
        <w:t>he applicant may need to assess the effect of various operating loads</w:t>
      </w:r>
      <w:r w:rsidR="00B00F83">
        <w:rPr>
          <w:snapToGrid w:val="0"/>
        </w:rPr>
        <w:t xml:space="preserve"> (</w:t>
      </w:r>
      <w:r w:rsidR="00BB327E">
        <w:rPr>
          <w:snapToGrid w:val="0"/>
        </w:rPr>
        <w:t xml:space="preserve">see Section </w:t>
      </w:r>
      <w:r w:rsidR="00BB327E">
        <w:rPr>
          <w:snapToGrid w:val="0"/>
        </w:rPr>
        <w:fldChar w:fldCharType="begin"/>
      </w:r>
      <w:r w:rsidR="00BB327E">
        <w:rPr>
          <w:snapToGrid w:val="0"/>
        </w:rPr>
        <w:instrText xml:space="preserve"> REF _Ref439925499 \w \h </w:instrText>
      </w:r>
      <w:r w:rsidR="00BB327E">
        <w:rPr>
          <w:snapToGrid w:val="0"/>
        </w:rPr>
      </w:r>
      <w:r w:rsidR="00BB327E">
        <w:rPr>
          <w:snapToGrid w:val="0"/>
        </w:rPr>
        <w:fldChar w:fldCharType="separate"/>
      </w:r>
      <w:r w:rsidR="00135FFD">
        <w:rPr>
          <w:snapToGrid w:val="0"/>
        </w:rPr>
        <w:t>2.7.5</w:t>
      </w:r>
      <w:r w:rsidR="00BB327E">
        <w:rPr>
          <w:snapToGrid w:val="0"/>
        </w:rPr>
        <w:fldChar w:fldCharType="end"/>
      </w:r>
      <w:r w:rsidR="00B00F83">
        <w:rPr>
          <w:snapToGrid w:val="0"/>
        </w:rPr>
        <w:t>)</w:t>
      </w:r>
      <w:r w:rsidR="00BB327E">
        <w:rPr>
          <w:snapToGrid w:val="0"/>
        </w:rPr>
        <w:t xml:space="preserve">, to ensure that the maximum project impacts are not underestimated.  </w:t>
      </w:r>
    </w:p>
    <w:p w14:paraId="3B126EE8" w14:textId="6C85E771" w:rsidR="009A01E5" w:rsidRDefault="009A01E5" w:rsidP="002016E8">
      <w:pPr>
        <w:ind w:left="360" w:right="540"/>
        <w:rPr>
          <w:snapToGrid w:val="0"/>
        </w:rPr>
      </w:pPr>
      <w:r w:rsidRPr="00A27D4B">
        <w:rPr>
          <w:snapToGrid w:val="0"/>
          <w:u w:val="single"/>
        </w:rPr>
        <w:t>Note</w:t>
      </w:r>
      <w:r>
        <w:rPr>
          <w:snapToGrid w:val="0"/>
        </w:rPr>
        <w:t xml:space="preserve">: </w:t>
      </w:r>
      <w:r w:rsidR="00AC72AE" w:rsidRPr="00E368E8">
        <w:rPr>
          <w:i/>
          <w:snapToGrid w:val="0"/>
        </w:rPr>
        <w:t xml:space="preserve">Applicants may </w:t>
      </w:r>
      <w:r w:rsidR="00A27D4B" w:rsidRPr="00E368E8">
        <w:rPr>
          <w:i/>
          <w:snapToGrid w:val="0"/>
        </w:rPr>
        <w:t xml:space="preserve">generally </w:t>
      </w:r>
      <w:r w:rsidR="00AC72AE" w:rsidRPr="00E368E8">
        <w:rPr>
          <w:i/>
          <w:snapToGrid w:val="0"/>
        </w:rPr>
        <w:t>bypass the project impact analysis if they want</w:t>
      </w:r>
      <w:r w:rsidR="00A27D4B" w:rsidRPr="00E368E8">
        <w:rPr>
          <w:i/>
          <w:snapToGrid w:val="0"/>
        </w:rPr>
        <w:t>, and instead, just conduct a cumulative impact analysis</w:t>
      </w:r>
      <w:r w:rsidR="00AC72AE" w:rsidRPr="00E368E8">
        <w:rPr>
          <w:i/>
          <w:snapToGrid w:val="0"/>
        </w:rPr>
        <w:t xml:space="preserve">. </w:t>
      </w:r>
      <w:r w:rsidR="004246AF" w:rsidRPr="00E368E8">
        <w:rPr>
          <w:i/>
          <w:snapToGrid w:val="0"/>
        </w:rPr>
        <w:t xml:space="preserve"> </w:t>
      </w:r>
      <w:r w:rsidR="00AC72AE" w:rsidRPr="00E368E8">
        <w:rPr>
          <w:i/>
          <w:snapToGrid w:val="0"/>
        </w:rPr>
        <w:t>This can save them and ADEC time, especially if it’s clear that the project impacts will likely exceed the SILs</w:t>
      </w:r>
      <w:r w:rsidR="00147D26" w:rsidRPr="00E368E8">
        <w:rPr>
          <w:i/>
        </w:rPr>
        <w:t>.</w:t>
      </w:r>
      <w:r w:rsidR="00A27D4B" w:rsidRPr="00E368E8">
        <w:rPr>
          <w:i/>
        </w:rPr>
        <w:t xml:space="preserve">  The only exception would be for a minor permit applicant in a non-attainment area who needs to demonstrate compliance with the non-attainment </w:t>
      </w:r>
      <w:r w:rsidR="005E27EC" w:rsidRPr="00E368E8">
        <w:rPr>
          <w:i/>
        </w:rPr>
        <w:t>pollutant</w:t>
      </w:r>
      <w:r w:rsidR="00A27D4B" w:rsidRPr="00E368E8">
        <w:rPr>
          <w:i/>
        </w:rPr>
        <w:t>.  In this case, the applicant must demonstrate that their project impacts are less than the applicable SIL since the cumulative impacts are known to exceed the AAAQS</w:t>
      </w:r>
      <w:r w:rsidR="00A27D4B">
        <w:t>.</w:t>
      </w:r>
    </w:p>
    <w:p w14:paraId="290DE273" w14:textId="77777777" w:rsidR="0051442D" w:rsidRDefault="0051442D">
      <w:pPr>
        <w:rPr>
          <w:snapToGrid w:val="0"/>
        </w:rPr>
      </w:pPr>
      <w:r>
        <w:rPr>
          <w:snapToGrid w:val="0"/>
        </w:rPr>
        <w:t xml:space="preserve">In the cumulative impact analysis, the applicant must estimate what the total air quality concentration, or total increment concentration, would be (as applicable).  This means the concentration from non-project sources must be included in the analysis. </w:t>
      </w:r>
    </w:p>
    <w:p w14:paraId="4D3591CC" w14:textId="5C4E7C53" w:rsidR="000F6041" w:rsidRDefault="0051442D">
      <w:pPr>
        <w:rPr>
          <w:snapToGrid w:val="0"/>
        </w:rPr>
      </w:pPr>
      <w:r>
        <w:rPr>
          <w:snapToGrid w:val="0"/>
        </w:rPr>
        <w:t xml:space="preserve">EPA’s recommended approach for incorporating the impact from non-project sources has changed over time.  </w:t>
      </w:r>
      <w:r w:rsidR="00353881">
        <w:rPr>
          <w:snapToGrid w:val="0"/>
        </w:rPr>
        <w:t xml:space="preserve">EPA previously recommended in </w:t>
      </w:r>
      <w:r w:rsidR="003F484A">
        <w:rPr>
          <w:snapToGrid w:val="0"/>
        </w:rPr>
        <w:t>their</w:t>
      </w:r>
      <w:r w:rsidR="00353881">
        <w:rPr>
          <w:snapToGrid w:val="0"/>
        </w:rPr>
        <w:t xml:space="preserve"> </w:t>
      </w:r>
      <w:r w:rsidR="00353881" w:rsidRPr="00353881">
        <w:rPr>
          <w:snapToGrid w:val="0"/>
        </w:rPr>
        <w:t>draft</w:t>
      </w:r>
      <w:r w:rsidR="00353881">
        <w:rPr>
          <w:snapToGrid w:val="0"/>
        </w:rPr>
        <w:t xml:space="preserve"> </w:t>
      </w:r>
      <w:r w:rsidR="00353881" w:rsidRPr="00353881">
        <w:rPr>
          <w:i/>
          <w:snapToGrid w:val="0"/>
        </w:rPr>
        <w:t>New Source Review Workshop Manual</w:t>
      </w:r>
      <w:r w:rsidR="00C668A3">
        <w:rPr>
          <w:snapToGrid w:val="0"/>
        </w:rPr>
        <w:t>,</w:t>
      </w:r>
      <w:r w:rsidR="00D53E4B">
        <w:rPr>
          <w:rStyle w:val="FootnoteReference"/>
          <w:snapToGrid w:val="0"/>
        </w:rPr>
        <w:footnoteReference w:id="10"/>
      </w:r>
      <w:r w:rsidR="00C668A3">
        <w:rPr>
          <w:snapToGrid w:val="0"/>
        </w:rPr>
        <w:t xml:space="preserve"> </w:t>
      </w:r>
      <w:r w:rsidR="00353881">
        <w:rPr>
          <w:snapToGrid w:val="0"/>
        </w:rPr>
        <w:t xml:space="preserve">that </w:t>
      </w:r>
      <w:r w:rsidR="00004BF5">
        <w:rPr>
          <w:snapToGrid w:val="0"/>
        </w:rPr>
        <w:t xml:space="preserve">the applicant </w:t>
      </w:r>
      <w:r w:rsidR="009A01E5">
        <w:rPr>
          <w:snapToGrid w:val="0"/>
        </w:rPr>
        <w:t xml:space="preserve">determine the extent of the geographical area for which the </w:t>
      </w:r>
      <w:r>
        <w:rPr>
          <w:snapToGrid w:val="0"/>
        </w:rPr>
        <w:t xml:space="preserve">project </w:t>
      </w:r>
      <w:r w:rsidR="009A01E5">
        <w:rPr>
          <w:snapToGrid w:val="0"/>
        </w:rPr>
        <w:t>impact exceed</w:t>
      </w:r>
      <w:r>
        <w:rPr>
          <w:snapToGrid w:val="0"/>
        </w:rPr>
        <w:t>ed</w:t>
      </w:r>
      <w:r w:rsidR="009A01E5">
        <w:rPr>
          <w:snapToGrid w:val="0"/>
        </w:rPr>
        <w:t xml:space="preserve"> </w:t>
      </w:r>
      <w:r w:rsidR="00D53E4B">
        <w:rPr>
          <w:snapToGrid w:val="0"/>
        </w:rPr>
        <w:t>a given</w:t>
      </w:r>
      <w:r w:rsidR="009A01E5">
        <w:rPr>
          <w:snapToGrid w:val="0"/>
        </w:rPr>
        <w:t xml:space="preserve"> SIL.  This </w:t>
      </w:r>
      <w:r w:rsidR="000F6041">
        <w:rPr>
          <w:snapToGrid w:val="0"/>
        </w:rPr>
        <w:t>was</w:t>
      </w:r>
      <w:r w:rsidR="009A01E5">
        <w:rPr>
          <w:snapToGrid w:val="0"/>
        </w:rPr>
        <w:t xml:space="preserve"> referred to as determining the “significant impact area” (SIA).</w:t>
      </w:r>
      <w:r w:rsidR="00D71C16">
        <w:rPr>
          <w:snapToGrid w:val="0"/>
        </w:rPr>
        <w:t xml:space="preserve">  </w:t>
      </w:r>
      <w:r w:rsidR="00946A0C">
        <w:rPr>
          <w:snapToGrid w:val="0"/>
        </w:rPr>
        <w:t xml:space="preserve">The applicant </w:t>
      </w:r>
      <w:r>
        <w:rPr>
          <w:snapToGrid w:val="0"/>
        </w:rPr>
        <w:t xml:space="preserve">would then </w:t>
      </w:r>
      <w:r w:rsidR="00353881">
        <w:rPr>
          <w:snapToGrid w:val="0"/>
        </w:rPr>
        <w:t>model</w:t>
      </w:r>
      <w:r>
        <w:rPr>
          <w:snapToGrid w:val="0"/>
        </w:rPr>
        <w:t xml:space="preserve"> the</w:t>
      </w:r>
      <w:r w:rsidR="00AE262A">
        <w:rPr>
          <w:snapToGrid w:val="0"/>
        </w:rPr>
        <w:t xml:space="preserve"> emissions from both the proposed </w:t>
      </w:r>
      <w:r>
        <w:rPr>
          <w:snapToGrid w:val="0"/>
        </w:rPr>
        <w:t>project</w:t>
      </w:r>
      <w:r w:rsidR="00AE262A">
        <w:rPr>
          <w:snapToGrid w:val="0"/>
        </w:rPr>
        <w:t xml:space="preserve"> and other existing sources </w:t>
      </w:r>
      <w:r w:rsidR="004E6829">
        <w:rPr>
          <w:snapToGrid w:val="0"/>
        </w:rPr>
        <w:t>with</w:t>
      </w:r>
      <w:r w:rsidR="00AE262A">
        <w:rPr>
          <w:snapToGrid w:val="0"/>
        </w:rPr>
        <w:t>in the SIA</w:t>
      </w:r>
      <w:r w:rsidR="00353881">
        <w:rPr>
          <w:snapToGrid w:val="0"/>
        </w:rPr>
        <w:t xml:space="preserve"> in the cumulative impact analysis</w:t>
      </w:r>
      <w:r w:rsidR="00AE262A">
        <w:rPr>
          <w:snapToGrid w:val="0"/>
        </w:rPr>
        <w:t xml:space="preserve">. </w:t>
      </w:r>
      <w:r w:rsidR="00D53E4B">
        <w:rPr>
          <w:snapToGrid w:val="0"/>
        </w:rPr>
        <w:t xml:space="preserve"> The draft manual stated the SIA could not extend beyond 50 km – which is the maximum range of a </w:t>
      </w:r>
      <w:r w:rsidR="00B3574B">
        <w:rPr>
          <w:snapToGrid w:val="0"/>
        </w:rPr>
        <w:t xml:space="preserve">“Gaussian” dispersion </w:t>
      </w:r>
      <w:r w:rsidR="00D53E4B">
        <w:rPr>
          <w:snapToGrid w:val="0"/>
        </w:rPr>
        <w:t>model</w:t>
      </w:r>
      <w:r w:rsidR="00B3574B">
        <w:rPr>
          <w:snapToGrid w:val="0"/>
        </w:rPr>
        <w:t xml:space="preserve">.  However, </w:t>
      </w:r>
      <w:r w:rsidR="004D6453">
        <w:rPr>
          <w:snapToGrid w:val="0"/>
        </w:rPr>
        <w:t xml:space="preserve">the draft manual stated that </w:t>
      </w:r>
      <w:r w:rsidR="00D53E4B">
        <w:rPr>
          <w:snapToGrid w:val="0"/>
        </w:rPr>
        <w:t xml:space="preserve">applicants may nevertheless </w:t>
      </w:r>
      <w:r w:rsidR="004D6453">
        <w:rPr>
          <w:snapToGrid w:val="0"/>
        </w:rPr>
        <w:t>need</w:t>
      </w:r>
      <w:r w:rsidR="00D53E4B">
        <w:rPr>
          <w:snapToGrid w:val="0"/>
        </w:rPr>
        <w:t xml:space="preserve"> to include </w:t>
      </w:r>
      <w:r w:rsidR="004D6453">
        <w:rPr>
          <w:snapToGrid w:val="0"/>
        </w:rPr>
        <w:t>large sources located beyond the SIA</w:t>
      </w:r>
      <w:r w:rsidR="00B3574B">
        <w:rPr>
          <w:snapToGrid w:val="0"/>
        </w:rPr>
        <w:t>,</w:t>
      </w:r>
      <w:r w:rsidR="00D53E4B">
        <w:rPr>
          <w:snapToGrid w:val="0"/>
        </w:rPr>
        <w:t xml:space="preserve"> if </w:t>
      </w:r>
      <w:r w:rsidR="00B3574B">
        <w:rPr>
          <w:snapToGrid w:val="0"/>
        </w:rPr>
        <w:t xml:space="preserve">it appeared that </w:t>
      </w:r>
      <w:r w:rsidR="00D53E4B">
        <w:rPr>
          <w:snapToGrid w:val="0"/>
        </w:rPr>
        <w:t>th</w:t>
      </w:r>
      <w:r w:rsidR="00B3574B">
        <w:rPr>
          <w:snapToGrid w:val="0"/>
        </w:rPr>
        <w:t>ose sources had significant concentrations that overlapped with the applicant’s SIA</w:t>
      </w:r>
      <w:r w:rsidR="00D53E4B">
        <w:rPr>
          <w:snapToGrid w:val="0"/>
        </w:rPr>
        <w:t xml:space="preserve">. </w:t>
      </w:r>
    </w:p>
    <w:p w14:paraId="1B271EF2" w14:textId="0F96C36D" w:rsidR="00AE262A" w:rsidRDefault="00E57F57" w:rsidP="00AE262A">
      <w:pPr>
        <w:rPr>
          <w:snapToGrid w:val="0"/>
        </w:rPr>
      </w:pPr>
      <w:r>
        <w:rPr>
          <w:snapToGrid w:val="0"/>
        </w:rPr>
        <w:lastRenderedPageBreak/>
        <w:t xml:space="preserve">The </w:t>
      </w:r>
      <w:r w:rsidR="00296FBC">
        <w:rPr>
          <w:snapToGrid w:val="0"/>
        </w:rPr>
        <w:t xml:space="preserve">2016 version of the </w:t>
      </w:r>
      <w:r w:rsidR="00296FBC" w:rsidRPr="00196955">
        <w:rPr>
          <w:snapToGrid w:val="0"/>
        </w:rPr>
        <w:t>Guideline</w:t>
      </w:r>
      <w:r w:rsidR="00296FBC">
        <w:rPr>
          <w:snapToGrid w:val="0"/>
        </w:rPr>
        <w:t xml:space="preserve"> limits the maximum range for including off-site sources to just those </w:t>
      </w:r>
      <w:r w:rsidR="00B3574B">
        <w:rPr>
          <w:snapToGrid w:val="0"/>
        </w:rPr>
        <w:t xml:space="preserve">off-site </w:t>
      </w:r>
      <w:r w:rsidR="00296FBC">
        <w:rPr>
          <w:snapToGrid w:val="0"/>
        </w:rPr>
        <w:t xml:space="preserve">sources located within the </w:t>
      </w:r>
      <w:r w:rsidR="00B3574B">
        <w:rPr>
          <w:snapToGrid w:val="0"/>
        </w:rPr>
        <w:t xml:space="preserve">SIA, or </w:t>
      </w:r>
      <w:r w:rsidR="00C2383B">
        <w:rPr>
          <w:snapToGrid w:val="0"/>
        </w:rPr>
        <w:t xml:space="preserve">within </w:t>
      </w:r>
      <w:r w:rsidR="00B3574B">
        <w:rPr>
          <w:snapToGrid w:val="0"/>
        </w:rPr>
        <w:t>50 km of the applicant’s source, whichever is less</w:t>
      </w:r>
      <w:r w:rsidR="004E6829">
        <w:rPr>
          <w:snapToGrid w:val="0"/>
        </w:rPr>
        <w:t xml:space="preserve">.  </w:t>
      </w:r>
      <w:r w:rsidR="007A246F">
        <w:rPr>
          <w:snapToGrid w:val="0"/>
        </w:rPr>
        <w:t>EPA</w:t>
      </w:r>
      <w:r w:rsidR="004E6829">
        <w:rPr>
          <w:snapToGrid w:val="0"/>
        </w:rPr>
        <w:t xml:space="preserve"> </w:t>
      </w:r>
      <w:r w:rsidR="00B3574B">
        <w:rPr>
          <w:snapToGrid w:val="0"/>
        </w:rPr>
        <w:t xml:space="preserve">calls this area the “modeling domain” in Section 8.1 of the Guideline.  </w:t>
      </w:r>
      <w:r w:rsidR="00C2383B">
        <w:rPr>
          <w:snapToGrid w:val="0"/>
        </w:rPr>
        <w:t xml:space="preserve">Section 8.3 of the </w:t>
      </w:r>
      <w:r w:rsidR="00C2383B" w:rsidRPr="00196955">
        <w:rPr>
          <w:snapToGrid w:val="0"/>
        </w:rPr>
        <w:t>Guideline</w:t>
      </w:r>
      <w:r w:rsidR="00C2383B">
        <w:rPr>
          <w:snapToGrid w:val="0"/>
        </w:rPr>
        <w:t xml:space="preserve"> further indicates that when demonstrating compliance with an ambient air quality standard, the impact from most off-site sources could likely be represented through ambient monitoring data.  </w:t>
      </w:r>
      <w:r w:rsidR="00B3574B">
        <w:rPr>
          <w:snapToGrid w:val="0"/>
        </w:rPr>
        <w:t xml:space="preserve">EPA </w:t>
      </w:r>
      <w:r w:rsidR="00C2383B">
        <w:rPr>
          <w:snapToGrid w:val="0"/>
        </w:rPr>
        <w:t>has further stated in various venues that that the past approach of modeling all sources within the SIA, and large sources beyond the SIA, may lead to overly conservative results</w:t>
      </w:r>
      <w:r w:rsidR="00AE262A">
        <w:rPr>
          <w:snapToGrid w:val="0"/>
        </w:rPr>
        <w:t xml:space="preserve">.  </w:t>
      </w:r>
    </w:p>
    <w:p w14:paraId="46DAE99A" w14:textId="1C3BE2B4" w:rsidR="009A01E5" w:rsidRDefault="009A01E5">
      <w:pPr>
        <w:rPr>
          <w:snapToGrid w:val="0"/>
        </w:rPr>
      </w:pPr>
      <w:r>
        <w:rPr>
          <w:snapToGrid w:val="0"/>
        </w:rPr>
        <w:t>The results from the cumulative analysis are used to demonstrate compliance with the AAAQS and</w:t>
      </w:r>
      <w:r w:rsidR="00566F6C">
        <w:rPr>
          <w:snapToGrid w:val="0"/>
        </w:rPr>
        <w:t>/or</w:t>
      </w:r>
      <w:r>
        <w:rPr>
          <w:snapToGrid w:val="0"/>
        </w:rPr>
        <w:t xml:space="preserve"> PSD increments</w:t>
      </w:r>
      <w:r w:rsidR="00566F6C">
        <w:rPr>
          <w:snapToGrid w:val="0"/>
        </w:rPr>
        <w:t>, as applicable</w:t>
      </w:r>
      <w:r>
        <w:rPr>
          <w:snapToGrid w:val="0"/>
        </w:rPr>
        <w:t xml:space="preserve">.  For those pollutants with both </w:t>
      </w:r>
      <w:r w:rsidR="00CB215E">
        <w:rPr>
          <w:snapToGrid w:val="0"/>
        </w:rPr>
        <w:t>A</w:t>
      </w:r>
      <w:r>
        <w:rPr>
          <w:snapToGrid w:val="0"/>
        </w:rPr>
        <w:t xml:space="preserve">AAQS and PSD increments, the </w:t>
      </w:r>
      <w:r w:rsidR="0037678D">
        <w:rPr>
          <w:snapToGrid w:val="0"/>
        </w:rPr>
        <w:t xml:space="preserve">cumulative </w:t>
      </w:r>
      <w:r>
        <w:rPr>
          <w:snapToGrid w:val="0"/>
        </w:rPr>
        <w:t xml:space="preserve">impact analysis </w:t>
      </w:r>
      <w:r w:rsidR="00566F6C">
        <w:rPr>
          <w:snapToGrid w:val="0"/>
        </w:rPr>
        <w:t xml:space="preserve">may need to </w:t>
      </w:r>
      <w:r>
        <w:rPr>
          <w:snapToGrid w:val="0"/>
        </w:rPr>
        <w:t xml:space="preserve">consist of two separate analyses: one for </w:t>
      </w:r>
      <w:r w:rsidR="00CB215E">
        <w:rPr>
          <w:snapToGrid w:val="0"/>
        </w:rPr>
        <w:t>A</w:t>
      </w:r>
      <w:r>
        <w:rPr>
          <w:snapToGrid w:val="0"/>
        </w:rPr>
        <w:t xml:space="preserve">AAQS compliance and one for PSD increment compliance </w:t>
      </w:r>
      <w:r w:rsidRPr="00284476">
        <w:rPr>
          <w:snapToGrid w:val="0"/>
        </w:rPr>
        <w:t>(</w:t>
      </w:r>
      <w:r w:rsidR="001A7041" w:rsidRPr="001A7041">
        <w:rPr>
          <w:snapToGrid w:val="0"/>
        </w:rPr>
        <w:t xml:space="preserve">the selection of sources and emission rates for the AAAQS and PSD increment analyses use different </w:t>
      </w:r>
      <w:proofErr w:type="gramStart"/>
      <w:r w:rsidR="001A7041" w:rsidRPr="001A7041">
        <w:rPr>
          <w:snapToGrid w:val="0"/>
        </w:rPr>
        <w:t>criteria, and</w:t>
      </w:r>
      <w:proofErr w:type="gramEnd"/>
      <w:r w:rsidR="001A7041" w:rsidRPr="001A7041">
        <w:rPr>
          <w:snapToGrid w:val="0"/>
        </w:rPr>
        <w:t xml:space="preserve"> will be discussed later in this review manual</w:t>
      </w:r>
      <w:r w:rsidRPr="00284476">
        <w:rPr>
          <w:snapToGrid w:val="0"/>
        </w:rPr>
        <w:t>).</w:t>
      </w:r>
    </w:p>
    <w:p w14:paraId="5740A1EB" w14:textId="6FE33FB2" w:rsidR="009A01E5" w:rsidRDefault="009A01E5">
      <w:pPr>
        <w:rPr>
          <w:snapToGrid w:val="0"/>
        </w:rPr>
      </w:pPr>
      <w:r>
        <w:rPr>
          <w:snapToGrid w:val="0"/>
        </w:rPr>
        <w:t xml:space="preserve">If the cumulative analysis demonstrates violations of any </w:t>
      </w:r>
      <w:r w:rsidR="00B479E5">
        <w:rPr>
          <w:snapToGrid w:val="0"/>
        </w:rPr>
        <w:t>A</w:t>
      </w:r>
      <w:r>
        <w:rPr>
          <w:snapToGrid w:val="0"/>
        </w:rPr>
        <w:t xml:space="preserve">AAQS or PSD increment, ADEC can still permit the proposed project if the applicant can demonstrate that the emissions from the </w:t>
      </w:r>
      <w:r w:rsidR="00F12014">
        <w:rPr>
          <w:snapToGrid w:val="0"/>
        </w:rPr>
        <w:t xml:space="preserve">applicant’s </w:t>
      </w:r>
      <w:r>
        <w:rPr>
          <w:snapToGrid w:val="0"/>
        </w:rPr>
        <w:t xml:space="preserve">project do not result in ambient concentrations that exceed the SIL at the same time and location of any modeled violation.  In other words, the applicant must demonstrate that the proposed project would not “significantly contribute” to any modeled violation.  </w:t>
      </w:r>
    </w:p>
    <w:p w14:paraId="5F38504B" w14:textId="4DAFA715" w:rsidR="00533337" w:rsidRDefault="00533337" w:rsidP="00533337">
      <w:pPr>
        <w:pStyle w:val="Heading3"/>
        <w:rPr>
          <w:snapToGrid w:val="0"/>
        </w:rPr>
      </w:pPr>
      <w:r>
        <w:rPr>
          <w:snapToGrid w:val="0"/>
        </w:rPr>
        <w:tab/>
      </w:r>
      <w:bookmarkStart w:id="23" w:name="_Ref489953826"/>
      <w:bookmarkStart w:id="24" w:name="_Toc526778218"/>
      <w:r>
        <w:rPr>
          <w:snapToGrid w:val="0"/>
        </w:rPr>
        <w:t>General Discussion Regarding PSD Increment</w:t>
      </w:r>
      <w:r w:rsidR="00FA7241">
        <w:rPr>
          <w:snapToGrid w:val="0"/>
        </w:rPr>
        <w:t>s</w:t>
      </w:r>
      <w:bookmarkEnd w:id="23"/>
      <w:bookmarkEnd w:id="24"/>
    </w:p>
    <w:p w14:paraId="21C2F584" w14:textId="29270086" w:rsidR="00FD785A" w:rsidRDefault="00714339" w:rsidP="00FD785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In 1977, Congress mandated that EPA </w:t>
      </w:r>
      <w:r w:rsidR="00D00F81">
        <w:t xml:space="preserve">prevent the significant deterioration of air quality in areas that comply with the </w:t>
      </w:r>
      <w:r w:rsidR="000550C7">
        <w:t>NAAQS</w:t>
      </w:r>
      <w:r w:rsidR="00D00F81">
        <w:t xml:space="preserve">.  </w:t>
      </w:r>
      <w:r w:rsidR="00FD785A">
        <w:t xml:space="preserve">Congress did not want to cap air pollution to their existing levels since doing so could curb economic growth.  However, Congress also did not want air </w:t>
      </w:r>
      <w:r w:rsidR="00BB4D31">
        <w:t xml:space="preserve">quality </w:t>
      </w:r>
      <w:r w:rsidR="00FD785A">
        <w:t xml:space="preserve">to </w:t>
      </w:r>
      <w:r w:rsidR="00BB4D31">
        <w:t>degrade to levels that barely comply with the NAAQS</w:t>
      </w:r>
      <w:r w:rsidR="00FD785A">
        <w:t xml:space="preserve"> on a nation-wide basis</w:t>
      </w:r>
      <w:r w:rsidR="00BB4D31">
        <w:t xml:space="preserve">.  </w:t>
      </w:r>
      <w:r w:rsidR="00FD785A">
        <w:t xml:space="preserve">Congress therefore set numerical limits on the </w:t>
      </w:r>
      <w:r w:rsidR="008430D1">
        <w:t>“</w:t>
      </w:r>
      <w:r w:rsidR="00FD785A">
        <w:t>maximum allowable increase</w:t>
      </w:r>
      <w:r w:rsidR="008430D1">
        <w:t>”</w:t>
      </w:r>
      <w:r w:rsidR="00FD785A">
        <w:t xml:space="preserve"> </w:t>
      </w:r>
      <w:r w:rsidR="008430D1">
        <w:t xml:space="preserve">(i.e., change) </w:t>
      </w:r>
      <w:r w:rsidR="00FD785A">
        <w:t xml:space="preserve">that would be allowed for ambient </w:t>
      </w:r>
      <w:r w:rsidR="00FD785A" w:rsidRPr="00E91523">
        <w:t>SO</w:t>
      </w:r>
      <w:r w:rsidR="00FD785A" w:rsidRPr="00E91523">
        <w:rPr>
          <w:vertAlign w:val="subscript"/>
        </w:rPr>
        <w:t>2</w:t>
      </w:r>
      <w:r w:rsidR="00FD785A">
        <w:t xml:space="preserve"> and </w:t>
      </w:r>
      <w:r w:rsidR="00134194">
        <w:t>particulate matter (PM)</w:t>
      </w:r>
      <w:r w:rsidR="00CA1045">
        <w:rPr>
          <w:rStyle w:val="FootnoteReference"/>
        </w:rPr>
        <w:footnoteReference w:id="11"/>
      </w:r>
      <w:r w:rsidR="00134194">
        <w:t xml:space="preserve"> concentrations</w:t>
      </w:r>
      <w:r w:rsidR="00FD785A">
        <w:t>.</w:t>
      </w:r>
      <w:r w:rsidR="00CA1045">
        <w:rPr>
          <w:rStyle w:val="FootnoteReference"/>
        </w:rPr>
        <w:footnoteReference w:id="12"/>
      </w:r>
      <w:r w:rsidR="00FD785A">
        <w:t xml:space="preserve">  Air pollution levels could increase beyond a “baseline” concentration for a given area, but not beyond the NAAQS.  This two-prong criteria means that the allowed degradation will either be limited by the allowed change in concentration (i.e., “increment limited”) or by the air quality standard (i.e., “NAAQS limited”). </w:t>
      </w:r>
      <w:r w:rsidR="005B6A82">
        <w:t xml:space="preserve"> The initial concern and solution are respectively illustrated below in </w:t>
      </w:r>
      <w:r w:rsidR="005B6A82">
        <w:fldChar w:fldCharType="begin"/>
      </w:r>
      <w:r w:rsidR="005B6A82">
        <w:instrText xml:space="preserve"> REF _Ref440006284 \h </w:instrText>
      </w:r>
      <w:r w:rsidR="005B6A82">
        <w:fldChar w:fldCharType="separate"/>
      </w:r>
      <w:r w:rsidR="00135FFD">
        <w:t xml:space="preserve">Figure </w:t>
      </w:r>
      <w:r w:rsidR="00135FFD">
        <w:rPr>
          <w:noProof/>
        </w:rPr>
        <w:t>2</w:t>
      </w:r>
      <w:r w:rsidR="005B6A82">
        <w:fldChar w:fldCharType="end"/>
      </w:r>
      <w:r w:rsidR="005B6A82">
        <w:t xml:space="preserve"> and </w:t>
      </w:r>
      <w:r w:rsidR="00703C8A">
        <w:fldChar w:fldCharType="begin"/>
      </w:r>
      <w:r w:rsidR="00703C8A">
        <w:instrText xml:space="preserve"> REF _Ref440010322 \h </w:instrText>
      </w:r>
      <w:r w:rsidR="00703C8A">
        <w:fldChar w:fldCharType="separate"/>
      </w:r>
      <w:r w:rsidR="00135FFD">
        <w:t xml:space="preserve">Figure </w:t>
      </w:r>
      <w:r w:rsidR="00135FFD">
        <w:rPr>
          <w:noProof/>
        </w:rPr>
        <w:t>3</w:t>
      </w:r>
      <w:r w:rsidR="00703C8A">
        <w:fldChar w:fldCharType="end"/>
      </w:r>
      <w:r w:rsidR="00703C8A">
        <w:t>.</w:t>
      </w:r>
    </w:p>
    <w:p w14:paraId="2AFF4F9B" w14:textId="0767EEDB" w:rsidR="007469C0" w:rsidRDefault="007469C0" w:rsidP="007469C0">
      <w:pPr>
        <w:keepNext/>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noProof/>
        </w:rPr>
        <w:lastRenderedPageBreak/>
        <w:drawing>
          <wp:inline distT="0" distB="0" distL="0" distR="0" wp14:anchorId="57F649EA" wp14:editId="104A8FD4">
            <wp:extent cx="5486400" cy="3200400"/>
            <wp:effectExtent l="0" t="0" r="0" b="0"/>
            <wp:docPr id="197" name="Picture 197" descr="bar graph of degradation conc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bar graph of degradation concern"/>
                    <pic:cNvPicPr/>
                  </pic:nvPicPr>
                  <pic:blipFill>
                    <a:blip r:embed="rId44">
                      <a:extLst>
                        <a:ext uri="{28A0092B-C50C-407E-A947-70E740481C1C}">
                          <a14:useLocalDpi xmlns:a14="http://schemas.microsoft.com/office/drawing/2010/main" val="0"/>
                        </a:ext>
                      </a:extLst>
                    </a:blip>
                    <a:stretch>
                      <a:fillRect/>
                    </a:stretch>
                  </pic:blipFill>
                  <pic:spPr>
                    <a:xfrm>
                      <a:off x="0" y="0"/>
                      <a:ext cx="5486400" cy="3200400"/>
                    </a:xfrm>
                    <a:prstGeom prst="rect">
                      <a:avLst/>
                    </a:prstGeom>
                  </pic:spPr>
                </pic:pic>
              </a:graphicData>
            </a:graphic>
          </wp:inline>
        </w:drawing>
      </w:r>
    </w:p>
    <w:p w14:paraId="719290AD" w14:textId="73584AFD" w:rsidR="00BB4D31" w:rsidRDefault="007469C0" w:rsidP="007469C0">
      <w:pPr>
        <w:pStyle w:val="Caption"/>
        <w:jc w:val="center"/>
      </w:pPr>
      <w:bookmarkStart w:id="25" w:name="_Ref440006284"/>
      <w:bookmarkStart w:id="26" w:name="_Toc526778345"/>
      <w:r>
        <w:t xml:space="preserve">Figure </w:t>
      </w:r>
      <w:r w:rsidR="00B560B0">
        <w:rPr>
          <w:noProof/>
        </w:rPr>
        <w:fldChar w:fldCharType="begin"/>
      </w:r>
      <w:r w:rsidR="00B560B0">
        <w:rPr>
          <w:noProof/>
        </w:rPr>
        <w:instrText xml:space="preserve"> SEQ Figure \* ARABIC </w:instrText>
      </w:r>
      <w:r w:rsidR="00B560B0">
        <w:rPr>
          <w:noProof/>
        </w:rPr>
        <w:fldChar w:fldCharType="separate"/>
      </w:r>
      <w:r w:rsidR="00135FFD">
        <w:rPr>
          <w:noProof/>
        </w:rPr>
        <w:t>2</w:t>
      </w:r>
      <w:r w:rsidR="00B560B0">
        <w:rPr>
          <w:noProof/>
        </w:rPr>
        <w:fldChar w:fldCharType="end"/>
      </w:r>
      <w:bookmarkEnd w:id="25"/>
      <w:r w:rsidR="00703C8A">
        <w:t>.</w:t>
      </w:r>
      <w:r>
        <w:t xml:space="preserve"> </w:t>
      </w:r>
      <w:r w:rsidR="00C6192A">
        <w:t xml:space="preserve"> </w:t>
      </w:r>
      <w:r>
        <w:t>Illustration of Degradation Concern</w:t>
      </w:r>
      <w:bookmarkEnd w:id="26"/>
    </w:p>
    <w:p w14:paraId="553150A0" w14:textId="77777777" w:rsidR="00FD785A" w:rsidRDefault="00FD785A" w:rsidP="00714339">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2F0FE4A0" w14:textId="72BECD32" w:rsidR="00703C8A" w:rsidRDefault="00703C8A" w:rsidP="00703C8A">
      <w:pPr>
        <w:keepNext/>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noProof/>
        </w:rPr>
        <w:drawing>
          <wp:inline distT="0" distB="0" distL="0" distR="0" wp14:anchorId="37742CE0" wp14:editId="355B9A91">
            <wp:extent cx="5257800" cy="3676650"/>
            <wp:effectExtent l="0" t="0" r="0" b="0"/>
            <wp:docPr id="198" name="Picture 198" descr="bar graph of manximum allowable increment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bar graph of manximum allowable increment increase"/>
                    <pic:cNvPicPr/>
                  </pic:nvPicPr>
                  <pic:blipFill>
                    <a:blip r:embed="rId45">
                      <a:extLst>
                        <a:ext uri="{28A0092B-C50C-407E-A947-70E740481C1C}">
                          <a14:useLocalDpi xmlns:a14="http://schemas.microsoft.com/office/drawing/2010/main" val="0"/>
                        </a:ext>
                      </a:extLst>
                    </a:blip>
                    <a:stretch>
                      <a:fillRect/>
                    </a:stretch>
                  </pic:blipFill>
                  <pic:spPr>
                    <a:xfrm>
                      <a:off x="0" y="0"/>
                      <a:ext cx="5257800" cy="3676650"/>
                    </a:xfrm>
                    <a:prstGeom prst="rect">
                      <a:avLst/>
                    </a:prstGeom>
                  </pic:spPr>
                </pic:pic>
              </a:graphicData>
            </a:graphic>
          </wp:inline>
        </w:drawing>
      </w:r>
    </w:p>
    <w:p w14:paraId="5FEEF7F8" w14:textId="1D41B57D" w:rsidR="00FD785A" w:rsidRDefault="00703C8A" w:rsidP="00703C8A">
      <w:pPr>
        <w:pStyle w:val="Caption"/>
        <w:jc w:val="center"/>
      </w:pPr>
      <w:bookmarkStart w:id="27" w:name="_Ref440010322"/>
      <w:bookmarkStart w:id="28" w:name="_Toc526778346"/>
      <w:r>
        <w:t xml:space="preserve">Figure </w:t>
      </w:r>
      <w:r w:rsidR="00B560B0">
        <w:rPr>
          <w:noProof/>
        </w:rPr>
        <w:fldChar w:fldCharType="begin"/>
      </w:r>
      <w:r w:rsidR="00B560B0">
        <w:rPr>
          <w:noProof/>
        </w:rPr>
        <w:instrText xml:space="preserve"> SEQ Figure \* ARABIC </w:instrText>
      </w:r>
      <w:r w:rsidR="00B560B0">
        <w:rPr>
          <w:noProof/>
        </w:rPr>
        <w:fldChar w:fldCharType="separate"/>
      </w:r>
      <w:r w:rsidR="00135FFD">
        <w:rPr>
          <w:noProof/>
        </w:rPr>
        <w:t>3</w:t>
      </w:r>
      <w:r w:rsidR="00B560B0">
        <w:rPr>
          <w:noProof/>
        </w:rPr>
        <w:fldChar w:fldCharType="end"/>
      </w:r>
      <w:bookmarkEnd w:id="27"/>
      <w:r>
        <w:t xml:space="preserve">. </w:t>
      </w:r>
      <w:r w:rsidR="00C6192A">
        <w:t xml:space="preserve"> </w:t>
      </w:r>
      <w:r>
        <w:t>Maximum Allowable Increase (Increment) Illustration</w:t>
      </w:r>
      <w:bookmarkEnd w:id="28"/>
    </w:p>
    <w:p w14:paraId="66DF6404" w14:textId="77777777" w:rsidR="001231A8" w:rsidRDefault="001231A8" w:rsidP="001231A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374028C0" w14:textId="6223CC39" w:rsidR="001076E8" w:rsidRDefault="001231A8" w:rsidP="001231A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lastRenderedPageBreak/>
        <w:t xml:space="preserve">ADEC </w:t>
      </w:r>
      <w:r w:rsidR="001076E8">
        <w:t xml:space="preserve">mostly </w:t>
      </w:r>
      <w:r>
        <w:t>manages increment consumption through its PSD permit program.  Minor permit applicants are not generally required to demonstrate compliance with the PSD increments, nor are Title V permit applicants</w:t>
      </w:r>
      <w:r w:rsidR="001076E8">
        <w:t xml:space="preserve"> – with the following </w:t>
      </w:r>
      <w:r>
        <w:t>exceptions</w:t>
      </w:r>
      <w:r w:rsidR="001076E8">
        <w:t>:</w:t>
      </w:r>
      <w:r>
        <w:t xml:space="preserve">  </w:t>
      </w:r>
    </w:p>
    <w:p w14:paraId="2E3F2D93" w14:textId="07EE6BA6" w:rsidR="001076E8" w:rsidRDefault="001231A8" w:rsidP="001076E8">
      <w:pPr>
        <w:pStyle w:val="ListParagraph"/>
        <w:numPr>
          <w:ilvl w:val="0"/>
          <w:numId w:val="72"/>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Minor permit applicants may not revise or rescind a Title I permit condition previously established to protect a PSD increment without showing the effect of the proposal on the underlying increment demonstration (see 18 AAC 50.540(k)(3)(C))</w:t>
      </w:r>
      <w:r w:rsidR="001076E8">
        <w:t>; and</w:t>
      </w:r>
    </w:p>
    <w:p w14:paraId="08274DC6" w14:textId="47A44A0D" w:rsidR="001231A8" w:rsidRDefault="001231A8" w:rsidP="001076E8">
      <w:pPr>
        <w:pStyle w:val="ListParagraph"/>
        <w:numPr>
          <w:ilvl w:val="0"/>
          <w:numId w:val="72"/>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Title V applicants for “temporary operation</w:t>
      </w:r>
      <w:r w:rsidR="001076E8">
        <w:t>s</w:t>
      </w:r>
      <w:r>
        <w:t>” may need to demonstrate compliance with a PSD increment</w:t>
      </w:r>
      <w:r w:rsidR="001076E8">
        <w:t>,</w:t>
      </w:r>
      <w:r>
        <w:t xml:space="preserve"> per AS 46.14.215.</w:t>
      </w:r>
      <w:r w:rsidR="00353D03">
        <w:rPr>
          <w:rStyle w:val="FootnoteReference"/>
        </w:rPr>
        <w:footnoteReference w:id="13"/>
      </w:r>
      <w:r>
        <w:t xml:space="preserve"> </w:t>
      </w:r>
      <w:r w:rsidR="00353D03">
        <w:t xml:space="preserve"> </w:t>
      </w:r>
    </w:p>
    <w:p w14:paraId="477C081D" w14:textId="24341703" w:rsidR="00CB698D" w:rsidRDefault="006340A1" w:rsidP="006340A1">
      <w:pPr>
        <w:pStyle w:val="Heading4"/>
      </w:pPr>
      <w:bookmarkStart w:id="29" w:name="_Toc526778219"/>
      <w:r>
        <w:t>Baseline Concentrations, Dates and Areas</w:t>
      </w:r>
      <w:bookmarkEnd w:id="29"/>
      <w:r>
        <w:t xml:space="preserve"> </w:t>
      </w:r>
    </w:p>
    <w:p w14:paraId="310D971E" w14:textId="1FCE4491" w:rsidR="003703D9" w:rsidRDefault="006052F4" w:rsidP="00714339">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The baseline concentration essentially represents the ambient concentration that </w:t>
      </w:r>
      <w:r w:rsidR="003703D9">
        <w:t xml:space="preserve">existed </w:t>
      </w:r>
      <w:r>
        <w:t xml:space="preserve">at a set </w:t>
      </w:r>
      <w:r w:rsidR="00F761E1">
        <w:t>date</w:t>
      </w:r>
      <w:r>
        <w:t xml:space="preserve">, with </w:t>
      </w:r>
      <w:r w:rsidR="003703D9">
        <w:t xml:space="preserve">several exceptions.  In general, the submittal date of the first complete PSD permit application in a particular area is the operative “baseline date.”  On or before the date of the first complete PSD application, emissions generally </w:t>
      </w:r>
      <w:proofErr w:type="gramStart"/>
      <w:r w:rsidR="003703D9">
        <w:t>are considered to be</w:t>
      </w:r>
      <w:proofErr w:type="gramEnd"/>
      <w:r w:rsidR="003703D9">
        <w:t xml:space="preserve"> part of </w:t>
      </w:r>
      <w:proofErr w:type="gramStart"/>
      <w:r w:rsidR="003703D9">
        <w:t>the baseline</w:t>
      </w:r>
      <w:proofErr w:type="gramEnd"/>
      <w:r w:rsidR="003703D9">
        <w:t xml:space="preserve"> concentration, except for certain emissions from major stationary sources, as explained in the following discussion of baseline dates.  Most emission increases that occur after the baseline date will be counted toward the amount of increment consumed.  Similarly, emissions </w:t>
      </w:r>
      <w:proofErr w:type="gramStart"/>
      <w:r w:rsidR="003703D9">
        <w:t>decreases</w:t>
      </w:r>
      <w:proofErr w:type="gramEnd"/>
      <w:r w:rsidR="003703D9">
        <w:t xml:space="preserve"> after the baseline date restore or expand the amount of increment that is available.</w:t>
      </w:r>
      <w:r w:rsidR="00F761E1">
        <w:t xml:space="preserve"> </w:t>
      </w:r>
    </w:p>
    <w:p w14:paraId="2451D853" w14:textId="32499B52" w:rsidR="00B92BC2" w:rsidRDefault="003703D9" w:rsidP="003129E5">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In practice, </w:t>
      </w:r>
      <w:r w:rsidR="00565F8F" w:rsidRPr="00565F8F">
        <w:t>three dates related to the</w:t>
      </w:r>
      <w:r w:rsidR="00E63D50">
        <w:t xml:space="preserve"> </w:t>
      </w:r>
      <w:r w:rsidR="00565F8F" w:rsidRPr="00565F8F">
        <w:t>PSD baseline concept are important in</w:t>
      </w:r>
      <w:r w:rsidR="00E63D50">
        <w:t xml:space="preserve"> </w:t>
      </w:r>
      <w:r w:rsidR="00565F8F" w:rsidRPr="00565F8F">
        <w:t>understanding how to calculate the</w:t>
      </w:r>
      <w:r w:rsidR="00E63D50">
        <w:t xml:space="preserve"> </w:t>
      </w:r>
      <w:r w:rsidR="00565F8F" w:rsidRPr="00565F8F">
        <w:t xml:space="preserve">amount of increment </w:t>
      </w:r>
      <w:proofErr w:type="gramStart"/>
      <w:r w:rsidR="00565F8F" w:rsidRPr="00565F8F">
        <w:t>consumed—</w:t>
      </w:r>
      <w:r w:rsidR="00E63D50">
        <w:t xml:space="preserve"> </w:t>
      </w:r>
      <w:r w:rsidR="00565F8F" w:rsidRPr="00565F8F">
        <w:t>(</w:t>
      </w:r>
      <w:proofErr w:type="gramEnd"/>
      <w:r w:rsidR="00565F8F" w:rsidRPr="00565F8F">
        <w:t>1) Trigger date; (2) major source</w:t>
      </w:r>
      <w:r w:rsidR="00E63D50">
        <w:t xml:space="preserve"> </w:t>
      </w:r>
      <w:r w:rsidR="00565F8F" w:rsidRPr="00565F8F">
        <w:t>baseline date; and (3) minor source</w:t>
      </w:r>
      <w:r w:rsidR="00E63D50">
        <w:t xml:space="preserve"> </w:t>
      </w:r>
      <w:r w:rsidR="00565F8F" w:rsidRPr="00565F8F">
        <w:t xml:space="preserve">baseline date. </w:t>
      </w:r>
      <w:r w:rsidR="00CD78DD">
        <w:t xml:space="preserve"> </w:t>
      </w:r>
      <w:r w:rsidR="00565F8F" w:rsidRPr="00565F8F">
        <w:t xml:space="preserve">The </w:t>
      </w:r>
      <w:r w:rsidR="00565F8F" w:rsidRPr="00F761E1">
        <w:rPr>
          <w:b/>
        </w:rPr>
        <w:t>trigger date</w:t>
      </w:r>
      <w:r w:rsidR="00565F8F" w:rsidRPr="00565F8F">
        <w:t>, as the</w:t>
      </w:r>
      <w:r w:rsidR="00E63D50">
        <w:t xml:space="preserve"> </w:t>
      </w:r>
      <w:r w:rsidR="00565F8F" w:rsidRPr="00565F8F">
        <w:t>name implies, triggers the overall</w:t>
      </w:r>
      <w:r w:rsidR="00E63D50">
        <w:t xml:space="preserve"> </w:t>
      </w:r>
      <w:r w:rsidR="00565F8F" w:rsidRPr="00565F8F">
        <w:t>increment consumption process</w:t>
      </w:r>
      <w:r w:rsidR="00E63D50">
        <w:t xml:space="preserve"> </w:t>
      </w:r>
      <w:r w:rsidR="00AB2640">
        <w:t>for the given pollutant and averaging period</w:t>
      </w:r>
      <w:r w:rsidR="00565F8F" w:rsidRPr="00565F8F">
        <w:t xml:space="preserve">. </w:t>
      </w:r>
      <w:r w:rsidR="00CD78DD">
        <w:t xml:space="preserve"> </w:t>
      </w:r>
      <w:r w:rsidR="00565F8F" w:rsidRPr="00565F8F">
        <w:t>Congress defined the trigger</w:t>
      </w:r>
      <w:r w:rsidR="00E63D50">
        <w:t xml:space="preserve"> </w:t>
      </w:r>
      <w:r w:rsidR="00CD78DD">
        <w:t>date as August</w:t>
      </w:r>
      <w:r w:rsidR="00871043">
        <w:t> </w:t>
      </w:r>
      <w:r w:rsidR="00CD78DD">
        <w:t xml:space="preserve">7, </w:t>
      </w:r>
      <w:proofErr w:type="gramStart"/>
      <w:r w:rsidR="00CD78DD">
        <w:t>1977</w:t>
      </w:r>
      <w:proofErr w:type="gramEnd"/>
      <w:r w:rsidR="00CB698D">
        <w:t xml:space="preserve"> for PM </w:t>
      </w:r>
      <w:r w:rsidR="00AB2640">
        <w:t xml:space="preserve">(regulated as TSP) </w:t>
      </w:r>
      <w:r w:rsidR="00CB698D">
        <w:t xml:space="preserve">and </w:t>
      </w:r>
      <w:r w:rsidR="00CB698D" w:rsidRPr="00E91523">
        <w:t>SO</w:t>
      </w:r>
      <w:r w:rsidR="00CB698D" w:rsidRPr="00E91523">
        <w:rPr>
          <w:vertAlign w:val="subscript"/>
        </w:rPr>
        <w:t>2</w:t>
      </w:r>
      <w:r w:rsidR="00565F8F" w:rsidRPr="00565F8F">
        <w:t>.</w:t>
      </w:r>
      <w:r w:rsidR="00CD78DD">
        <w:t xml:space="preserve"> </w:t>
      </w:r>
      <w:r w:rsidR="00565F8F" w:rsidRPr="00565F8F">
        <w:t xml:space="preserve"> </w:t>
      </w:r>
      <w:r w:rsidR="00AB2640">
        <w:t xml:space="preserve">EPA established the trigger dates for the </w:t>
      </w:r>
      <w:r w:rsidR="00AB2640" w:rsidRPr="00150E0D">
        <w:t>NO</w:t>
      </w:r>
      <w:r w:rsidR="00AB2640" w:rsidRPr="00150E0D">
        <w:rPr>
          <w:vertAlign w:val="subscript"/>
        </w:rPr>
        <w:t>2</w:t>
      </w:r>
      <w:r w:rsidR="00AB2640">
        <w:t xml:space="preserve"> and PM-2.5 increments through regulation.  The trigger date for </w:t>
      </w:r>
      <w:r w:rsidR="002E2321" w:rsidRPr="00150E0D">
        <w:t>NO</w:t>
      </w:r>
      <w:r w:rsidR="002E2321" w:rsidRPr="00150E0D">
        <w:rPr>
          <w:vertAlign w:val="subscript"/>
        </w:rPr>
        <w:t>2</w:t>
      </w:r>
      <w:r w:rsidR="002E2321">
        <w:t xml:space="preserve"> </w:t>
      </w:r>
      <w:r w:rsidR="00AB2640">
        <w:t xml:space="preserve">is </w:t>
      </w:r>
      <w:r w:rsidR="00565F8F" w:rsidRPr="00565F8F">
        <w:t>February</w:t>
      </w:r>
      <w:r w:rsidR="00871043">
        <w:t> </w:t>
      </w:r>
      <w:r w:rsidR="00565F8F" w:rsidRPr="00565F8F">
        <w:t>8, 1988</w:t>
      </w:r>
      <w:r w:rsidR="00AB2640">
        <w:t>, and the trigger date for PM-2.5 is October</w:t>
      </w:r>
      <w:r w:rsidR="00871043">
        <w:t> </w:t>
      </w:r>
      <w:r w:rsidR="00AB2640">
        <w:t>20, 201</w:t>
      </w:r>
      <w:r w:rsidR="002E2321">
        <w:t>1</w:t>
      </w:r>
      <w:r w:rsidR="00AB2640">
        <w:t>.</w:t>
      </w:r>
      <w:r w:rsidR="00565F8F" w:rsidRPr="00565F8F">
        <w:t xml:space="preserve"> </w:t>
      </w:r>
    </w:p>
    <w:p w14:paraId="6677C808" w14:textId="788009E7" w:rsidR="00F761E1" w:rsidRDefault="00565F8F" w:rsidP="003129E5">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565F8F">
        <w:t>The two remaining dates</w:t>
      </w:r>
      <w:r w:rsidR="001448F6">
        <w:t xml:space="preserve"> (</w:t>
      </w:r>
      <w:r w:rsidR="00F761E1">
        <w:t xml:space="preserve">the </w:t>
      </w:r>
      <w:r w:rsidRPr="00565F8F">
        <w:t>minor</w:t>
      </w:r>
      <w:r w:rsidR="00E95FF5">
        <w:t xml:space="preserve"> </w:t>
      </w:r>
      <w:r w:rsidRPr="00565F8F">
        <w:t xml:space="preserve">source baseline date and </w:t>
      </w:r>
      <w:r w:rsidR="00F761E1">
        <w:t xml:space="preserve">the </w:t>
      </w:r>
      <w:r w:rsidRPr="00565F8F">
        <w:t>major source</w:t>
      </w:r>
      <w:r w:rsidR="00E95FF5">
        <w:t xml:space="preserve"> </w:t>
      </w:r>
      <w:r w:rsidRPr="00565F8F">
        <w:t>baseline date</w:t>
      </w:r>
      <w:r w:rsidR="001448F6">
        <w:t xml:space="preserve">) are used to determine which emissions are part of the “baseline concentration” and which emissions consume increment.  </w:t>
      </w:r>
      <w:r w:rsidR="00F761E1">
        <w:t xml:space="preserve">The </w:t>
      </w:r>
      <w:r w:rsidR="00F761E1" w:rsidRPr="00F761E1">
        <w:rPr>
          <w:b/>
        </w:rPr>
        <w:t>major source baseline date</w:t>
      </w:r>
      <w:r w:rsidR="00F761E1" w:rsidRPr="00565F8F">
        <w:t xml:space="preserve">, which </w:t>
      </w:r>
      <w:r w:rsidR="00F761E1" w:rsidRPr="00F761E1">
        <w:rPr>
          <w:i/>
        </w:rPr>
        <w:t>precedes</w:t>
      </w:r>
      <w:r w:rsidR="00F761E1" w:rsidRPr="00565F8F">
        <w:t xml:space="preserve"> the trigger date, is</w:t>
      </w:r>
      <w:r w:rsidR="00F761E1">
        <w:t xml:space="preserve"> </w:t>
      </w:r>
      <w:r w:rsidR="00F761E1" w:rsidRPr="00565F8F">
        <w:t>the date after which actual emissions</w:t>
      </w:r>
      <w:r w:rsidR="00F761E1">
        <w:t xml:space="preserve"> </w:t>
      </w:r>
      <w:r w:rsidR="00F761E1" w:rsidRPr="00565F8F">
        <w:t>increases associated with construction</w:t>
      </w:r>
      <w:r w:rsidR="00F761E1">
        <w:t xml:space="preserve"> </w:t>
      </w:r>
      <w:r w:rsidR="00F761E1" w:rsidRPr="00565F8F">
        <w:t xml:space="preserve">at any </w:t>
      </w:r>
      <w:r w:rsidR="00F761E1" w:rsidRPr="00F761E1">
        <w:rPr>
          <w:i/>
        </w:rPr>
        <w:t>major</w:t>
      </w:r>
      <w:r w:rsidR="00F761E1" w:rsidRPr="00565F8F">
        <w:t xml:space="preserve"> stationary source consume</w:t>
      </w:r>
      <w:r w:rsidR="00F761E1">
        <w:t>s</w:t>
      </w:r>
      <w:r w:rsidR="00F761E1" w:rsidRPr="00565F8F">
        <w:t xml:space="preserve"> PSD increment. </w:t>
      </w:r>
      <w:r w:rsidR="00F761E1">
        <w:t xml:space="preserve"> </w:t>
      </w:r>
      <w:r w:rsidR="00F761E1" w:rsidRPr="00565F8F">
        <w:t>Congress defined the major source</w:t>
      </w:r>
      <w:r w:rsidR="00F761E1">
        <w:t xml:space="preserve"> </w:t>
      </w:r>
      <w:r w:rsidR="00F761E1" w:rsidRPr="00565F8F">
        <w:t>baseline date for the statutory</w:t>
      </w:r>
      <w:r w:rsidR="00F761E1">
        <w:t xml:space="preserve"> </w:t>
      </w:r>
      <w:r w:rsidR="00F761E1" w:rsidRPr="00565F8F">
        <w:t xml:space="preserve">increments </w:t>
      </w:r>
      <w:r w:rsidR="00F761E1">
        <w:t xml:space="preserve">of </w:t>
      </w:r>
      <w:r w:rsidR="00F761E1" w:rsidRPr="00565F8F">
        <w:t xml:space="preserve">PM and </w:t>
      </w:r>
      <w:r w:rsidR="00F761E1" w:rsidRPr="00E91523">
        <w:t>SO</w:t>
      </w:r>
      <w:r w:rsidR="00F761E1" w:rsidRPr="00E91523">
        <w:rPr>
          <w:vertAlign w:val="subscript"/>
        </w:rPr>
        <w:t>2</w:t>
      </w:r>
      <w:r w:rsidR="00F761E1">
        <w:t xml:space="preserve"> </w:t>
      </w:r>
      <w:r w:rsidR="00F761E1" w:rsidRPr="00565F8F">
        <w:t>as January</w:t>
      </w:r>
      <w:r w:rsidR="00F761E1">
        <w:t> </w:t>
      </w:r>
      <w:r w:rsidR="00F761E1" w:rsidRPr="00565F8F">
        <w:t xml:space="preserve">6, 1975. </w:t>
      </w:r>
      <w:r w:rsidR="00F761E1">
        <w:t xml:space="preserve"> </w:t>
      </w:r>
      <w:r w:rsidR="00E821BB">
        <w:t xml:space="preserve">EPA selected </w:t>
      </w:r>
      <w:r w:rsidR="00F761E1">
        <w:t xml:space="preserve">February 8, </w:t>
      </w:r>
      <w:proofErr w:type="gramStart"/>
      <w:r w:rsidR="00F761E1">
        <w:t>1988</w:t>
      </w:r>
      <w:proofErr w:type="gramEnd"/>
      <w:r w:rsidR="00F761E1">
        <w:t xml:space="preserve"> as the </w:t>
      </w:r>
      <w:r w:rsidR="00F761E1" w:rsidRPr="00565F8F">
        <w:t>major source baseline date</w:t>
      </w:r>
      <w:r w:rsidR="00E821BB">
        <w:t xml:space="preserve"> for the </w:t>
      </w:r>
      <w:r w:rsidR="00931980">
        <w:t xml:space="preserve">annual </w:t>
      </w:r>
      <w:r w:rsidR="00E821BB" w:rsidRPr="00150E0D">
        <w:t>NO</w:t>
      </w:r>
      <w:r w:rsidR="00E821BB" w:rsidRPr="00150E0D">
        <w:rPr>
          <w:vertAlign w:val="subscript"/>
        </w:rPr>
        <w:t>2</w:t>
      </w:r>
      <w:r w:rsidR="00E821BB">
        <w:t xml:space="preserve"> increment, and October</w:t>
      </w:r>
      <w:r w:rsidR="00094087">
        <w:t> </w:t>
      </w:r>
      <w:r w:rsidR="00E821BB">
        <w:t xml:space="preserve">20, </w:t>
      </w:r>
      <w:proofErr w:type="gramStart"/>
      <w:r w:rsidR="00E821BB">
        <w:t>2010</w:t>
      </w:r>
      <w:proofErr w:type="gramEnd"/>
      <w:r w:rsidR="00E821BB">
        <w:t xml:space="preserve"> as the major source baseline date for the PM-2.5 increments</w:t>
      </w:r>
      <w:r w:rsidR="00F761E1" w:rsidRPr="00565F8F">
        <w:t xml:space="preserve">. </w:t>
      </w:r>
      <w:r w:rsidR="00CA1C4F">
        <w:t xml:space="preserve"> </w:t>
      </w:r>
    </w:p>
    <w:p w14:paraId="216F4C6F" w14:textId="53CD089D" w:rsidR="00B774C7" w:rsidRDefault="0081542C" w:rsidP="00B774C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For purposes of the PM (PM-10), </w:t>
      </w:r>
      <w:r w:rsidRPr="00E91523">
        <w:t>SO</w:t>
      </w:r>
      <w:r w:rsidRPr="00E91523">
        <w:rPr>
          <w:vertAlign w:val="subscript"/>
        </w:rPr>
        <w:t>2</w:t>
      </w:r>
      <w:r>
        <w:t xml:space="preserve"> and PM-2.5 increments, t</w:t>
      </w:r>
      <w:r w:rsidR="00B774C7" w:rsidRPr="00565F8F">
        <w:t xml:space="preserve">he </w:t>
      </w:r>
      <w:r w:rsidR="00B774C7" w:rsidRPr="00B774C7">
        <w:rPr>
          <w:b/>
        </w:rPr>
        <w:t>minor source baseline date</w:t>
      </w:r>
      <w:r w:rsidR="00B774C7" w:rsidRPr="00565F8F">
        <w:t xml:space="preserve"> is</w:t>
      </w:r>
      <w:r w:rsidR="00B774C7">
        <w:t xml:space="preserve"> </w:t>
      </w:r>
      <w:r w:rsidR="00B774C7" w:rsidRPr="00565F8F">
        <w:t xml:space="preserve">the earliest date </w:t>
      </w:r>
      <w:r w:rsidR="00B774C7" w:rsidRPr="00B774C7">
        <w:rPr>
          <w:i/>
        </w:rPr>
        <w:t>after</w:t>
      </w:r>
      <w:r w:rsidR="00B774C7" w:rsidRPr="00565F8F">
        <w:t xml:space="preserve"> the trigger date on</w:t>
      </w:r>
      <w:r w:rsidR="00B774C7">
        <w:t xml:space="preserve"> </w:t>
      </w:r>
      <w:r w:rsidR="00B774C7" w:rsidRPr="00565F8F">
        <w:t>which a</w:t>
      </w:r>
      <w:r w:rsidR="00B774C7">
        <w:t xml:space="preserve">n applicant </w:t>
      </w:r>
      <w:r w:rsidR="00B774C7" w:rsidRPr="00565F8F">
        <w:t>submits</w:t>
      </w:r>
      <w:r w:rsidR="00B774C7">
        <w:t xml:space="preserve"> </w:t>
      </w:r>
      <w:r w:rsidR="00B774C7" w:rsidRPr="00565F8F">
        <w:t xml:space="preserve">the </w:t>
      </w:r>
      <w:r w:rsidR="00B774C7" w:rsidRPr="00565F8F">
        <w:lastRenderedPageBreak/>
        <w:t xml:space="preserve">first complete </w:t>
      </w:r>
      <w:r w:rsidR="00B774C7">
        <w:t xml:space="preserve">PSD </w:t>
      </w:r>
      <w:r w:rsidR="00B774C7" w:rsidRPr="00565F8F">
        <w:t xml:space="preserve">application </w:t>
      </w:r>
      <w:r w:rsidR="00B774C7">
        <w:t xml:space="preserve">within the given air quality control region.  </w:t>
      </w:r>
      <w:r w:rsidR="00D803D0">
        <w:t xml:space="preserve">Once established, </w:t>
      </w:r>
      <w:r w:rsidR="00B774C7" w:rsidRPr="00565F8F">
        <w:t>any increase</w:t>
      </w:r>
      <w:r w:rsidR="00B774C7">
        <w:t xml:space="preserve"> </w:t>
      </w:r>
      <w:r w:rsidR="00B774C7" w:rsidRPr="00565F8F">
        <w:t>in actual emissions from minor sources</w:t>
      </w:r>
      <w:r w:rsidR="00C36AA0">
        <w:t xml:space="preserve"> (which includes area and mobile sources</w:t>
      </w:r>
      <w:r w:rsidR="00B774C7" w:rsidRPr="00565F8F">
        <w:t xml:space="preserve">) </w:t>
      </w:r>
      <w:r w:rsidR="003E00D1">
        <w:t xml:space="preserve">within that air quality control region </w:t>
      </w:r>
      <w:r w:rsidR="00B774C7" w:rsidRPr="00565F8F">
        <w:t>consumes PSD</w:t>
      </w:r>
      <w:r w:rsidR="00B774C7">
        <w:t xml:space="preserve"> </w:t>
      </w:r>
      <w:r w:rsidR="00B774C7" w:rsidRPr="00565F8F">
        <w:t xml:space="preserve">increment </w:t>
      </w:r>
      <w:r w:rsidR="003E00D1">
        <w:t>for that pollutant</w:t>
      </w:r>
      <w:r w:rsidR="00B774C7" w:rsidRPr="00565F8F">
        <w:t>.</w:t>
      </w:r>
      <w:r w:rsidR="00B774C7">
        <w:t xml:space="preserve"> </w:t>
      </w:r>
      <w:r>
        <w:t xml:space="preserve"> </w:t>
      </w:r>
      <w:r w:rsidR="006217F4">
        <w:t xml:space="preserve">For </w:t>
      </w:r>
      <w:r w:rsidR="006217F4" w:rsidRPr="00150E0D">
        <w:t>NO</w:t>
      </w:r>
      <w:r w:rsidR="006217F4" w:rsidRPr="00150E0D">
        <w:rPr>
          <w:vertAlign w:val="subscript"/>
        </w:rPr>
        <w:t>2</w:t>
      </w:r>
      <w:r w:rsidR="006217F4">
        <w:t xml:space="preserve">, Alaska established the </w:t>
      </w:r>
      <w:r>
        <w:t xml:space="preserve">minor source baseline date </w:t>
      </w:r>
      <w:r w:rsidR="006217F4">
        <w:t xml:space="preserve">as </w:t>
      </w:r>
      <w:r>
        <w:t xml:space="preserve">the same date as the major source baseline date (February 8, 1988).  </w:t>
      </w:r>
      <w:r w:rsidR="003E00D1">
        <w:t xml:space="preserve">The minor source baseline dates for Alaska are listed in Table 2 of 18 AAC 50.020.  As discussed in Section </w:t>
      </w:r>
      <w:r w:rsidR="003E00D1">
        <w:fldChar w:fldCharType="begin"/>
      </w:r>
      <w:r w:rsidR="003E00D1">
        <w:instrText xml:space="preserve"> REF _Ref440024282 \w \h </w:instrText>
      </w:r>
      <w:r w:rsidR="003E00D1">
        <w:fldChar w:fldCharType="separate"/>
      </w:r>
      <w:r w:rsidR="00135FFD">
        <w:t>2.1.2</w:t>
      </w:r>
      <w:r w:rsidR="003E00D1">
        <w:fldChar w:fldCharType="end"/>
      </w:r>
      <w:r w:rsidR="003E00D1">
        <w:t xml:space="preserve">, Alaska is divided into four Intrastate Ambient Air Quality Regions:  No. 008--Cook Inlet Intrastate Region, No. 009--Northern Intrastate Region, No. 010--Southcentral Alaska Intrastate Region, and No. 011--Southeastern Alaska Intrastate Region (see </w:t>
      </w:r>
      <w:r w:rsidR="003E00D1">
        <w:fldChar w:fldCharType="begin"/>
      </w:r>
      <w:r w:rsidR="003E00D1">
        <w:instrText xml:space="preserve"> REF _Ref371085507 \h </w:instrText>
      </w:r>
      <w:r w:rsidR="003E00D1">
        <w:fldChar w:fldCharType="separate"/>
      </w:r>
      <w:r w:rsidR="009E5B1F">
        <w:t xml:space="preserve">Figure </w:t>
      </w:r>
      <w:r w:rsidR="009E5B1F">
        <w:rPr>
          <w:noProof/>
        </w:rPr>
        <w:t>1</w:t>
      </w:r>
      <w:r w:rsidR="003E00D1">
        <w:fldChar w:fldCharType="end"/>
      </w:r>
      <w:r w:rsidR="003E00D1">
        <w:t>).</w:t>
      </w:r>
    </w:p>
    <w:p w14:paraId="2329ADBF" w14:textId="3E980A5E" w:rsidR="00F761E1" w:rsidRDefault="00927086" w:rsidP="003129E5">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The </w:t>
      </w:r>
      <w:r w:rsidR="006217F4">
        <w:t>trigger dates, major source baseline dates, and minor source baseline dates for most pollutants</w:t>
      </w:r>
      <w:r w:rsidR="0081542C">
        <w:t xml:space="preserve"> </w:t>
      </w:r>
      <w:proofErr w:type="gramStart"/>
      <w:r>
        <w:t>reiterated</w:t>
      </w:r>
      <w:proofErr w:type="gramEnd"/>
      <w:r>
        <w:t xml:space="preserve"> below in </w:t>
      </w:r>
      <w:r w:rsidR="0049563C">
        <w:fldChar w:fldCharType="begin"/>
      </w:r>
      <w:r w:rsidR="0049563C">
        <w:instrText xml:space="preserve"> REF _Ref440025489 \h </w:instrText>
      </w:r>
      <w:r w:rsidR="0049563C">
        <w:fldChar w:fldCharType="separate"/>
      </w:r>
      <w:r w:rsidR="00135FFD">
        <w:t xml:space="preserve">Table </w:t>
      </w:r>
      <w:r w:rsidR="00135FFD">
        <w:rPr>
          <w:noProof/>
        </w:rPr>
        <w:t>1</w:t>
      </w:r>
      <w:r w:rsidR="0049563C">
        <w:fldChar w:fldCharType="end"/>
      </w:r>
      <w:r>
        <w:t xml:space="preserve">.  </w:t>
      </w:r>
      <w:r w:rsidR="006217F4">
        <w:t xml:space="preserve">The minor source baseline dates for </w:t>
      </w:r>
      <w:r w:rsidR="006217F4" w:rsidRPr="00E91523">
        <w:t>SO</w:t>
      </w:r>
      <w:r w:rsidR="006217F4" w:rsidRPr="00E91523">
        <w:rPr>
          <w:vertAlign w:val="subscript"/>
        </w:rPr>
        <w:t>2</w:t>
      </w:r>
      <w:r w:rsidR="006217F4">
        <w:t xml:space="preserve">, PM-10 and PM-2.5 are not listed since they vary by air quality control region. </w:t>
      </w:r>
    </w:p>
    <w:p w14:paraId="29FAC532" w14:textId="3BE697A5" w:rsidR="0049563C" w:rsidRDefault="0049563C" w:rsidP="0049563C">
      <w:pPr>
        <w:pStyle w:val="Caption"/>
        <w:keepNext/>
        <w:jc w:val="center"/>
      </w:pPr>
      <w:bookmarkStart w:id="30" w:name="_Ref440025489"/>
      <w:bookmarkStart w:id="31" w:name="_Toc526778361"/>
      <w:r>
        <w:t xml:space="preserve">Table </w:t>
      </w:r>
      <w:r w:rsidR="00B560B0">
        <w:rPr>
          <w:noProof/>
        </w:rPr>
        <w:fldChar w:fldCharType="begin"/>
      </w:r>
      <w:r w:rsidR="00B560B0">
        <w:rPr>
          <w:noProof/>
        </w:rPr>
        <w:instrText xml:space="preserve"> SEQ Table \* ARABIC </w:instrText>
      </w:r>
      <w:r w:rsidR="00B560B0">
        <w:rPr>
          <w:noProof/>
        </w:rPr>
        <w:fldChar w:fldCharType="separate"/>
      </w:r>
      <w:r w:rsidR="00135FFD">
        <w:rPr>
          <w:noProof/>
        </w:rPr>
        <w:t>1</w:t>
      </w:r>
      <w:r w:rsidR="00B560B0">
        <w:rPr>
          <w:noProof/>
        </w:rPr>
        <w:fldChar w:fldCharType="end"/>
      </w:r>
      <w:bookmarkEnd w:id="30"/>
      <w:r>
        <w:t>.  Dates Associated with PSD Increments</w:t>
      </w:r>
      <w:bookmarkEnd w:id="31"/>
    </w:p>
    <w:tbl>
      <w:tblPr>
        <w:tblW w:w="6896"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87"/>
        <w:gridCol w:w="1620"/>
        <w:gridCol w:w="1789"/>
        <w:gridCol w:w="1800"/>
      </w:tblGrid>
      <w:tr w:rsidR="008F458F" w14:paraId="7A8F475D" w14:textId="173DFC9F" w:rsidTr="007A7210">
        <w:tc>
          <w:tcPr>
            <w:tcW w:w="1687" w:type="dxa"/>
            <w:tcBorders>
              <w:bottom w:val="single" w:sz="12" w:space="0" w:color="auto"/>
            </w:tcBorders>
            <w:shd w:val="pct10" w:color="auto" w:fill="auto"/>
            <w:vAlign w:val="bottom"/>
          </w:tcPr>
          <w:p w14:paraId="146BD347" w14:textId="4BF71538" w:rsidR="008F458F" w:rsidRDefault="008F458F" w:rsidP="008F458F">
            <w:pPr>
              <w:keepNext/>
              <w:keepLines/>
              <w:spacing w:before="120" w:after="0"/>
              <w:jc w:val="center"/>
              <w:rPr>
                <w:b/>
                <w:snapToGrid w:val="0"/>
              </w:rPr>
            </w:pPr>
            <w:r>
              <w:rPr>
                <w:b/>
                <w:snapToGrid w:val="0"/>
              </w:rPr>
              <w:t>Pollutant</w:t>
            </w:r>
          </w:p>
        </w:tc>
        <w:tc>
          <w:tcPr>
            <w:tcW w:w="1620" w:type="dxa"/>
            <w:tcBorders>
              <w:bottom w:val="single" w:sz="12" w:space="0" w:color="auto"/>
            </w:tcBorders>
            <w:shd w:val="pct10" w:color="auto" w:fill="auto"/>
            <w:vAlign w:val="bottom"/>
          </w:tcPr>
          <w:p w14:paraId="0795028B" w14:textId="6F4E77F5" w:rsidR="008F458F" w:rsidRDefault="008F458F" w:rsidP="008F458F">
            <w:pPr>
              <w:keepNext/>
              <w:keepLines/>
              <w:spacing w:before="120" w:after="0"/>
              <w:jc w:val="center"/>
              <w:rPr>
                <w:b/>
                <w:snapToGrid w:val="0"/>
              </w:rPr>
            </w:pPr>
            <w:r>
              <w:rPr>
                <w:b/>
                <w:snapToGrid w:val="0"/>
              </w:rPr>
              <w:t>Trigger Date</w:t>
            </w:r>
          </w:p>
        </w:tc>
        <w:tc>
          <w:tcPr>
            <w:tcW w:w="1789" w:type="dxa"/>
            <w:tcBorders>
              <w:bottom w:val="single" w:sz="12" w:space="0" w:color="auto"/>
            </w:tcBorders>
            <w:shd w:val="pct10" w:color="auto" w:fill="auto"/>
            <w:vAlign w:val="bottom"/>
          </w:tcPr>
          <w:p w14:paraId="11FEA198" w14:textId="0D6408D5" w:rsidR="008F458F" w:rsidRDefault="008F458F" w:rsidP="008F458F">
            <w:pPr>
              <w:keepNext/>
              <w:keepLines/>
              <w:spacing w:before="120" w:after="0"/>
              <w:jc w:val="center"/>
              <w:rPr>
                <w:b/>
                <w:snapToGrid w:val="0"/>
              </w:rPr>
            </w:pPr>
            <w:r>
              <w:rPr>
                <w:b/>
                <w:snapToGrid w:val="0"/>
              </w:rPr>
              <w:t>Major Source Baseline Date</w:t>
            </w:r>
          </w:p>
        </w:tc>
        <w:tc>
          <w:tcPr>
            <w:tcW w:w="1800" w:type="dxa"/>
            <w:tcBorders>
              <w:bottom w:val="single" w:sz="12" w:space="0" w:color="auto"/>
            </w:tcBorders>
            <w:shd w:val="pct10" w:color="auto" w:fill="auto"/>
            <w:vAlign w:val="bottom"/>
          </w:tcPr>
          <w:p w14:paraId="40111A0E" w14:textId="51B37DF0" w:rsidR="008F458F" w:rsidRDefault="008F458F" w:rsidP="008F458F">
            <w:pPr>
              <w:keepNext/>
              <w:keepLines/>
              <w:spacing w:before="120" w:after="0"/>
              <w:jc w:val="center"/>
              <w:rPr>
                <w:b/>
                <w:snapToGrid w:val="0"/>
              </w:rPr>
            </w:pPr>
            <w:r>
              <w:rPr>
                <w:b/>
                <w:snapToGrid w:val="0"/>
              </w:rPr>
              <w:t>Minor Source Baseline Date</w:t>
            </w:r>
          </w:p>
        </w:tc>
      </w:tr>
      <w:tr w:rsidR="008F458F" w14:paraId="203B5BCE" w14:textId="6B217110" w:rsidTr="00A778AB">
        <w:tc>
          <w:tcPr>
            <w:tcW w:w="1687" w:type="dxa"/>
            <w:tcBorders>
              <w:top w:val="single" w:sz="12" w:space="0" w:color="auto"/>
            </w:tcBorders>
            <w:vAlign w:val="center"/>
          </w:tcPr>
          <w:p w14:paraId="65B1B5D1" w14:textId="1788FCC8" w:rsidR="008F458F" w:rsidRDefault="008F458F" w:rsidP="0049563C">
            <w:pPr>
              <w:keepNext/>
              <w:keepLines/>
              <w:spacing w:before="100" w:beforeAutospacing="1" w:after="60"/>
              <w:rPr>
                <w:snapToGrid w:val="0"/>
              </w:rPr>
            </w:pPr>
            <w:r>
              <w:rPr>
                <w:snapToGrid w:val="0"/>
              </w:rPr>
              <w:t>N</w:t>
            </w:r>
            <w:r w:rsidRPr="0049563C">
              <w:rPr>
                <w:snapToGrid w:val="0"/>
              </w:rPr>
              <w:t>O</w:t>
            </w:r>
            <w:r w:rsidRPr="0049563C">
              <w:rPr>
                <w:snapToGrid w:val="0"/>
                <w:vertAlign w:val="subscript"/>
              </w:rPr>
              <w:t>2</w:t>
            </w:r>
            <w:r>
              <w:rPr>
                <w:snapToGrid w:val="0"/>
              </w:rPr>
              <w:t xml:space="preserve"> </w:t>
            </w:r>
          </w:p>
        </w:tc>
        <w:tc>
          <w:tcPr>
            <w:tcW w:w="1620" w:type="dxa"/>
            <w:tcBorders>
              <w:top w:val="single" w:sz="12" w:space="0" w:color="auto"/>
            </w:tcBorders>
            <w:vAlign w:val="center"/>
          </w:tcPr>
          <w:p w14:paraId="6D98F6A7" w14:textId="56EED680" w:rsidR="008F458F" w:rsidRDefault="008F458F" w:rsidP="00F1048A">
            <w:pPr>
              <w:keepNext/>
              <w:keepLines/>
              <w:spacing w:before="100" w:beforeAutospacing="1" w:after="60"/>
              <w:jc w:val="center"/>
              <w:rPr>
                <w:snapToGrid w:val="0"/>
              </w:rPr>
            </w:pPr>
            <w:r>
              <w:rPr>
                <w:snapToGrid w:val="0"/>
              </w:rPr>
              <w:t>Feb. 8, 1988</w:t>
            </w:r>
          </w:p>
        </w:tc>
        <w:tc>
          <w:tcPr>
            <w:tcW w:w="1789" w:type="dxa"/>
            <w:tcBorders>
              <w:top w:val="single" w:sz="12" w:space="0" w:color="auto"/>
            </w:tcBorders>
          </w:tcPr>
          <w:p w14:paraId="7A689CE2" w14:textId="3B6F96DE" w:rsidR="008F458F" w:rsidRDefault="008F458F" w:rsidP="00F1048A">
            <w:pPr>
              <w:keepNext/>
              <w:keepLines/>
              <w:spacing w:before="100" w:beforeAutospacing="1" w:after="60"/>
              <w:jc w:val="center"/>
              <w:rPr>
                <w:snapToGrid w:val="0"/>
              </w:rPr>
            </w:pPr>
            <w:r>
              <w:rPr>
                <w:snapToGrid w:val="0"/>
              </w:rPr>
              <w:t>Feb. 8, 1988</w:t>
            </w:r>
          </w:p>
        </w:tc>
        <w:tc>
          <w:tcPr>
            <w:tcW w:w="1800" w:type="dxa"/>
            <w:tcBorders>
              <w:top w:val="single" w:sz="12" w:space="0" w:color="auto"/>
            </w:tcBorders>
          </w:tcPr>
          <w:p w14:paraId="7CFB54D1" w14:textId="0D4B950C" w:rsidR="008F458F" w:rsidRDefault="00A778AB" w:rsidP="00F1048A">
            <w:pPr>
              <w:keepNext/>
              <w:keepLines/>
              <w:spacing w:before="100" w:beforeAutospacing="1" w:after="60"/>
              <w:jc w:val="center"/>
              <w:rPr>
                <w:snapToGrid w:val="0"/>
              </w:rPr>
            </w:pPr>
            <w:r>
              <w:rPr>
                <w:snapToGrid w:val="0"/>
              </w:rPr>
              <w:t>Feb. 8, 1988</w:t>
            </w:r>
          </w:p>
        </w:tc>
      </w:tr>
      <w:tr w:rsidR="00A778AB" w14:paraId="436C5734" w14:textId="50F1C63E" w:rsidTr="00A778AB">
        <w:tc>
          <w:tcPr>
            <w:tcW w:w="1687" w:type="dxa"/>
            <w:vAlign w:val="center"/>
          </w:tcPr>
          <w:p w14:paraId="203DC07C" w14:textId="26CA08A4" w:rsidR="00A778AB" w:rsidRDefault="00A778AB" w:rsidP="0049563C">
            <w:pPr>
              <w:keepNext/>
              <w:keepLines/>
              <w:spacing w:before="100" w:beforeAutospacing="1" w:after="60"/>
              <w:rPr>
                <w:snapToGrid w:val="0"/>
              </w:rPr>
            </w:pPr>
            <w:r w:rsidRPr="0049563C">
              <w:rPr>
                <w:snapToGrid w:val="0"/>
              </w:rPr>
              <w:t>SO</w:t>
            </w:r>
            <w:r w:rsidRPr="0049563C">
              <w:rPr>
                <w:snapToGrid w:val="0"/>
                <w:vertAlign w:val="subscript"/>
              </w:rPr>
              <w:t>2</w:t>
            </w:r>
            <w:r>
              <w:rPr>
                <w:snapToGrid w:val="0"/>
              </w:rPr>
              <w:t xml:space="preserve"> </w:t>
            </w:r>
          </w:p>
        </w:tc>
        <w:tc>
          <w:tcPr>
            <w:tcW w:w="1620" w:type="dxa"/>
            <w:vAlign w:val="center"/>
          </w:tcPr>
          <w:p w14:paraId="7C0E15EE" w14:textId="23A7DDDE" w:rsidR="00A778AB" w:rsidRDefault="00A778AB" w:rsidP="00F1048A">
            <w:pPr>
              <w:keepNext/>
              <w:keepLines/>
              <w:spacing w:before="100" w:beforeAutospacing="1" w:after="60"/>
              <w:jc w:val="center"/>
              <w:rPr>
                <w:snapToGrid w:val="0"/>
              </w:rPr>
            </w:pPr>
            <w:r>
              <w:rPr>
                <w:snapToGrid w:val="0"/>
              </w:rPr>
              <w:t>Aug. 7, 1977</w:t>
            </w:r>
          </w:p>
        </w:tc>
        <w:tc>
          <w:tcPr>
            <w:tcW w:w="1789" w:type="dxa"/>
          </w:tcPr>
          <w:p w14:paraId="27B2CE81" w14:textId="42FB9E23" w:rsidR="00A778AB" w:rsidRDefault="00A778AB" w:rsidP="00F1048A">
            <w:pPr>
              <w:keepNext/>
              <w:keepLines/>
              <w:spacing w:before="100" w:beforeAutospacing="1" w:after="60"/>
              <w:jc w:val="center"/>
              <w:rPr>
                <w:snapToGrid w:val="0"/>
              </w:rPr>
            </w:pPr>
            <w:r>
              <w:rPr>
                <w:snapToGrid w:val="0"/>
              </w:rPr>
              <w:t>Jan. 6, 1975</w:t>
            </w:r>
          </w:p>
        </w:tc>
        <w:tc>
          <w:tcPr>
            <w:tcW w:w="1800" w:type="dxa"/>
            <w:vMerge w:val="restart"/>
            <w:vAlign w:val="center"/>
          </w:tcPr>
          <w:p w14:paraId="664F1D26" w14:textId="03E0625D" w:rsidR="00A778AB" w:rsidRDefault="00A778AB" w:rsidP="00F1048A">
            <w:pPr>
              <w:keepNext/>
              <w:keepLines/>
              <w:spacing w:before="100" w:beforeAutospacing="1" w:after="60"/>
              <w:jc w:val="center"/>
              <w:rPr>
                <w:snapToGrid w:val="0"/>
              </w:rPr>
            </w:pPr>
            <w:r>
              <w:rPr>
                <w:snapToGrid w:val="0"/>
              </w:rPr>
              <w:t>See Table 2 of 18 AAC 50.020</w:t>
            </w:r>
          </w:p>
        </w:tc>
      </w:tr>
      <w:tr w:rsidR="00A778AB" w14:paraId="01B42F0B" w14:textId="041E38D7" w:rsidTr="008F458F">
        <w:tc>
          <w:tcPr>
            <w:tcW w:w="1687" w:type="dxa"/>
            <w:vAlign w:val="center"/>
          </w:tcPr>
          <w:p w14:paraId="2E5A3697" w14:textId="7823DE79" w:rsidR="00A778AB" w:rsidRDefault="00A778AB" w:rsidP="0049563C">
            <w:pPr>
              <w:keepNext/>
              <w:keepLines/>
              <w:spacing w:before="100" w:beforeAutospacing="1" w:after="60"/>
              <w:rPr>
                <w:snapToGrid w:val="0"/>
              </w:rPr>
            </w:pPr>
            <w:r>
              <w:rPr>
                <w:snapToGrid w:val="0"/>
              </w:rPr>
              <w:t xml:space="preserve">PM-10 </w:t>
            </w:r>
          </w:p>
        </w:tc>
        <w:tc>
          <w:tcPr>
            <w:tcW w:w="1620" w:type="dxa"/>
            <w:vAlign w:val="center"/>
          </w:tcPr>
          <w:p w14:paraId="55ED0A62" w14:textId="79F760AA" w:rsidR="00A778AB" w:rsidRDefault="00A778AB" w:rsidP="00F1048A">
            <w:pPr>
              <w:keepNext/>
              <w:keepLines/>
              <w:spacing w:before="100" w:beforeAutospacing="1" w:after="60"/>
              <w:jc w:val="center"/>
              <w:rPr>
                <w:snapToGrid w:val="0"/>
              </w:rPr>
            </w:pPr>
            <w:r>
              <w:rPr>
                <w:snapToGrid w:val="0"/>
              </w:rPr>
              <w:t>Aug. 7, 1977</w:t>
            </w:r>
          </w:p>
        </w:tc>
        <w:tc>
          <w:tcPr>
            <w:tcW w:w="1789" w:type="dxa"/>
          </w:tcPr>
          <w:p w14:paraId="18B98682" w14:textId="49EE763D" w:rsidR="00A778AB" w:rsidRDefault="00A778AB" w:rsidP="00F1048A">
            <w:pPr>
              <w:keepNext/>
              <w:keepLines/>
              <w:spacing w:before="100" w:beforeAutospacing="1" w:after="60"/>
              <w:jc w:val="center"/>
              <w:rPr>
                <w:snapToGrid w:val="0"/>
              </w:rPr>
            </w:pPr>
            <w:r>
              <w:rPr>
                <w:snapToGrid w:val="0"/>
              </w:rPr>
              <w:t>Jan. 6, 1975</w:t>
            </w:r>
          </w:p>
        </w:tc>
        <w:tc>
          <w:tcPr>
            <w:tcW w:w="1800" w:type="dxa"/>
            <w:vMerge/>
          </w:tcPr>
          <w:p w14:paraId="16773127" w14:textId="77777777" w:rsidR="00A778AB" w:rsidRDefault="00A778AB" w:rsidP="00295AE9">
            <w:pPr>
              <w:keepNext/>
              <w:keepLines/>
              <w:spacing w:before="100" w:beforeAutospacing="1" w:after="60"/>
              <w:rPr>
                <w:snapToGrid w:val="0"/>
              </w:rPr>
            </w:pPr>
          </w:p>
        </w:tc>
      </w:tr>
      <w:tr w:rsidR="00A778AB" w14:paraId="59147D8B" w14:textId="75A55C9D" w:rsidTr="008F458F">
        <w:tc>
          <w:tcPr>
            <w:tcW w:w="1687" w:type="dxa"/>
            <w:vAlign w:val="center"/>
          </w:tcPr>
          <w:p w14:paraId="787D5983" w14:textId="131ACCBC" w:rsidR="00A778AB" w:rsidRDefault="00A778AB" w:rsidP="0049563C">
            <w:pPr>
              <w:keepNext/>
              <w:keepLines/>
              <w:spacing w:before="100" w:beforeAutospacing="1" w:after="60"/>
              <w:rPr>
                <w:snapToGrid w:val="0"/>
              </w:rPr>
            </w:pPr>
            <w:r>
              <w:rPr>
                <w:snapToGrid w:val="0"/>
              </w:rPr>
              <w:t xml:space="preserve">PM-2.5 </w:t>
            </w:r>
          </w:p>
        </w:tc>
        <w:tc>
          <w:tcPr>
            <w:tcW w:w="1620" w:type="dxa"/>
            <w:vAlign w:val="center"/>
          </w:tcPr>
          <w:p w14:paraId="7BDFF059" w14:textId="372CF210" w:rsidR="00A778AB" w:rsidRDefault="00A778AB" w:rsidP="00F1048A">
            <w:pPr>
              <w:keepNext/>
              <w:keepLines/>
              <w:spacing w:before="100" w:beforeAutospacing="1" w:after="60"/>
              <w:jc w:val="center"/>
              <w:rPr>
                <w:snapToGrid w:val="0"/>
              </w:rPr>
            </w:pPr>
            <w:r>
              <w:rPr>
                <w:snapToGrid w:val="0"/>
              </w:rPr>
              <w:t>Oct. 20, 2011</w:t>
            </w:r>
          </w:p>
        </w:tc>
        <w:tc>
          <w:tcPr>
            <w:tcW w:w="1789" w:type="dxa"/>
          </w:tcPr>
          <w:p w14:paraId="1C976546" w14:textId="5C3ACD9D" w:rsidR="00A778AB" w:rsidRDefault="00A778AB" w:rsidP="00F1048A">
            <w:pPr>
              <w:keepNext/>
              <w:keepLines/>
              <w:spacing w:before="100" w:beforeAutospacing="1" w:after="60"/>
              <w:jc w:val="center"/>
              <w:rPr>
                <w:snapToGrid w:val="0"/>
              </w:rPr>
            </w:pPr>
            <w:r>
              <w:rPr>
                <w:snapToGrid w:val="0"/>
              </w:rPr>
              <w:t>Oct. 10, 2010</w:t>
            </w:r>
          </w:p>
        </w:tc>
        <w:tc>
          <w:tcPr>
            <w:tcW w:w="1800" w:type="dxa"/>
            <w:vMerge/>
          </w:tcPr>
          <w:p w14:paraId="63DEDCC2" w14:textId="77777777" w:rsidR="00A778AB" w:rsidRDefault="00A778AB" w:rsidP="00295AE9">
            <w:pPr>
              <w:keepNext/>
              <w:keepLines/>
              <w:spacing w:before="100" w:beforeAutospacing="1" w:after="60"/>
              <w:rPr>
                <w:snapToGrid w:val="0"/>
              </w:rPr>
            </w:pPr>
          </w:p>
        </w:tc>
      </w:tr>
    </w:tbl>
    <w:p w14:paraId="7437E96C" w14:textId="77777777" w:rsidR="00E73DBE" w:rsidRDefault="00E73DBE" w:rsidP="00E73DBE">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3E016B4D" w14:textId="407A2F72" w:rsidR="000D2C1A" w:rsidRDefault="000D2C1A" w:rsidP="000D2C1A">
      <w:pPr>
        <w:pStyle w:val="Heading4"/>
      </w:pPr>
      <w:bookmarkStart w:id="32" w:name="_Toc526778220"/>
      <w:r>
        <w:t>How PSD Increments Vary by Area Classification</w:t>
      </w:r>
      <w:bookmarkEnd w:id="32"/>
      <w:r>
        <w:t xml:space="preserve"> </w:t>
      </w:r>
    </w:p>
    <w:p w14:paraId="204AF62F" w14:textId="50684B91" w:rsidR="00122D90" w:rsidRDefault="000937E7" w:rsidP="00E73DBE">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The amount of allowed degradation varies by </w:t>
      </w:r>
      <w:r w:rsidR="00776724">
        <w:t xml:space="preserve">how the </w:t>
      </w:r>
      <w:r>
        <w:t>geographical area</w:t>
      </w:r>
      <w:r w:rsidR="00776724">
        <w:t xml:space="preserve"> is classified</w:t>
      </w:r>
      <w:r>
        <w:t xml:space="preserve">.  Congress </w:t>
      </w:r>
      <w:r w:rsidR="00776724">
        <w:t xml:space="preserve">defined </w:t>
      </w:r>
      <w:r>
        <w:t>three types of areas.  They designated “Class</w:t>
      </w:r>
      <w:r w:rsidR="00F67FE9">
        <w:t> </w:t>
      </w:r>
      <w:r>
        <w:t>I” areas (including certain national parks and wilderness areas) as areas of special national concern</w:t>
      </w:r>
      <w:r w:rsidR="00FE6499">
        <w:t xml:space="preserve"> that warrant the most stringent limits. </w:t>
      </w:r>
      <w:r w:rsidR="0012677F">
        <w:t xml:space="preserve"> </w:t>
      </w:r>
      <w:r w:rsidR="009B442E">
        <w:t xml:space="preserve">Congress set the </w:t>
      </w:r>
      <w:r w:rsidR="00FE6499">
        <w:t xml:space="preserve">numerical values for the </w:t>
      </w:r>
      <w:proofErr w:type="gramStart"/>
      <w:r w:rsidR="00776724" w:rsidRPr="00E91523">
        <w:t>SO</w:t>
      </w:r>
      <w:r w:rsidR="00776724" w:rsidRPr="00E91523">
        <w:rPr>
          <w:vertAlign w:val="subscript"/>
        </w:rPr>
        <w:t>2</w:t>
      </w:r>
      <w:proofErr w:type="gramEnd"/>
      <w:r w:rsidR="00776724">
        <w:t xml:space="preserve"> and </w:t>
      </w:r>
      <w:r w:rsidR="00DE6BF9">
        <w:t>PM</w:t>
      </w:r>
      <w:r w:rsidR="00776724">
        <w:t xml:space="preserve"> </w:t>
      </w:r>
      <w:r w:rsidR="00F67FE9">
        <w:t>Class I increments</w:t>
      </w:r>
      <w:r w:rsidR="009B442E">
        <w:t xml:space="preserve"> </w:t>
      </w:r>
      <w:r w:rsidR="00FE6499">
        <w:t>at</w:t>
      </w:r>
      <w:r w:rsidR="009B442E">
        <w:t xml:space="preserve"> roughly 10</w:t>
      </w:r>
      <w:r w:rsidR="00207146">
        <w:t xml:space="preserve"> </w:t>
      </w:r>
      <w:r w:rsidR="009B442E">
        <w:t xml:space="preserve">percent of the NAAQS. </w:t>
      </w:r>
      <w:r w:rsidR="0012677F">
        <w:t xml:space="preserve"> The rest of the country is currently classified as Class</w:t>
      </w:r>
      <w:r w:rsidR="00812B1B">
        <w:t> </w:t>
      </w:r>
      <w:r w:rsidR="0012677F">
        <w:t>II area</w:t>
      </w:r>
      <w:r w:rsidR="00776724">
        <w:t>s</w:t>
      </w:r>
      <w:r w:rsidR="0012677F">
        <w:t xml:space="preserve">.  Congress set the numerical values for </w:t>
      </w:r>
      <w:r w:rsidR="00776724" w:rsidRPr="00E91523">
        <w:t>SO</w:t>
      </w:r>
      <w:r w:rsidR="00776724" w:rsidRPr="00E91523">
        <w:rPr>
          <w:vertAlign w:val="subscript"/>
        </w:rPr>
        <w:t>2</w:t>
      </w:r>
      <w:r w:rsidR="00776724">
        <w:t xml:space="preserve"> and </w:t>
      </w:r>
      <w:r w:rsidR="00DE6BF9">
        <w:t>PM</w:t>
      </w:r>
      <w:r w:rsidR="00776724">
        <w:t xml:space="preserve"> </w:t>
      </w:r>
      <w:r w:rsidR="0012677F">
        <w:t>Class</w:t>
      </w:r>
      <w:r w:rsidR="00F67FE9">
        <w:t> </w:t>
      </w:r>
      <w:r w:rsidR="0012677F">
        <w:t xml:space="preserve">II </w:t>
      </w:r>
      <w:r w:rsidR="00776724">
        <w:t>PSD increments</w:t>
      </w:r>
      <w:r w:rsidR="0012677F">
        <w:t xml:space="preserve"> at roughly 25</w:t>
      </w:r>
      <w:r w:rsidR="00207146">
        <w:t xml:space="preserve"> </w:t>
      </w:r>
      <w:r w:rsidR="0012677F">
        <w:t xml:space="preserve">percent of the NAAQS </w:t>
      </w:r>
      <w:proofErr w:type="gramStart"/>
      <w:r w:rsidR="0012677F">
        <w:t>in order to</w:t>
      </w:r>
      <w:proofErr w:type="gramEnd"/>
      <w:r w:rsidR="0012677F">
        <w:t xml:space="preserve"> allow for a moderate degree of emissions growth.  </w:t>
      </w:r>
      <w:r w:rsidR="00FE6499">
        <w:t>C</w:t>
      </w:r>
      <w:r w:rsidR="003F4418">
        <w:t>lass</w:t>
      </w:r>
      <w:r w:rsidR="00F67FE9">
        <w:t> </w:t>
      </w:r>
      <w:r w:rsidR="003F4418">
        <w:t>III areas represent former Class</w:t>
      </w:r>
      <w:r w:rsidR="00812B1B">
        <w:t> </w:t>
      </w:r>
      <w:r w:rsidR="003F4418">
        <w:t xml:space="preserve">II areas that States formally </w:t>
      </w:r>
      <w:proofErr w:type="gramStart"/>
      <w:r w:rsidR="003F4418">
        <w:t>redesignated</w:t>
      </w:r>
      <w:proofErr w:type="gramEnd"/>
      <w:r w:rsidR="003F4418">
        <w:t xml:space="preserve"> as an area of industrial development</w:t>
      </w:r>
      <w:r w:rsidR="00A148B1">
        <w:t xml:space="preserve"> that would </w:t>
      </w:r>
      <w:proofErr w:type="gramStart"/>
      <w:r w:rsidR="00A148B1">
        <w:t>be allowed</w:t>
      </w:r>
      <w:proofErr w:type="gramEnd"/>
      <w:r w:rsidR="003F4418">
        <w:t xml:space="preserve"> the greatest amount of pollution increases.  </w:t>
      </w:r>
      <w:r w:rsidR="00A148B1">
        <w:t xml:space="preserve">Congress set the </w:t>
      </w:r>
      <w:r w:rsidR="003F4418">
        <w:t xml:space="preserve">numerical values for the </w:t>
      </w:r>
      <w:r w:rsidR="003F4418" w:rsidRPr="00E91523">
        <w:t>SO</w:t>
      </w:r>
      <w:r w:rsidR="003F4418" w:rsidRPr="00E91523">
        <w:rPr>
          <w:vertAlign w:val="subscript"/>
        </w:rPr>
        <w:t>2</w:t>
      </w:r>
      <w:r w:rsidR="003F4418">
        <w:t xml:space="preserve"> and </w:t>
      </w:r>
      <w:r w:rsidR="00DE6BF9">
        <w:t>PM</w:t>
      </w:r>
      <w:r w:rsidR="003F4418">
        <w:t xml:space="preserve"> </w:t>
      </w:r>
      <w:r w:rsidR="00A148B1">
        <w:t>Class III</w:t>
      </w:r>
      <w:r w:rsidR="003F4418">
        <w:t xml:space="preserve"> increments a</w:t>
      </w:r>
      <w:r w:rsidR="00A148B1">
        <w:t>t</w:t>
      </w:r>
      <w:r w:rsidR="003F4418">
        <w:t xml:space="preserve"> roughly 33</w:t>
      </w:r>
      <w:r w:rsidR="00207146">
        <w:t xml:space="preserve"> </w:t>
      </w:r>
      <w:r w:rsidR="003F4418">
        <w:t xml:space="preserve">percent of the NAAQS.  </w:t>
      </w:r>
      <w:r w:rsidR="00A148B1">
        <w:t>However, no State has gone through the redesignation process so t</w:t>
      </w:r>
      <w:r w:rsidR="003F4418">
        <w:t>here are currently no Class</w:t>
      </w:r>
      <w:r w:rsidR="00812B1B">
        <w:t> </w:t>
      </w:r>
      <w:r w:rsidR="003F4418">
        <w:t xml:space="preserve">III areas in the country. </w:t>
      </w:r>
      <w:r w:rsidR="00FE6499">
        <w:t xml:space="preserve"> </w:t>
      </w:r>
    </w:p>
    <w:p w14:paraId="6542B6A6" w14:textId="2F6A3A37" w:rsidR="000937E7" w:rsidRDefault="00B14E6C" w:rsidP="00E73DBE">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The terms and values for the PM increments have changed over time.</w:t>
      </w:r>
      <w:r>
        <w:rPr>
          <w:rStyle w:val="FootnoteReference"/>
        </w:rPr>
        <w:footnoteReference w:id="14"/>
      </w:r>
      <w:r>
        <w:t xml:space="preserve">  EPA has also established annual </w:t>
      </w:r>
      <w:r w:rsidRPr="00150E0D">
        <w:t>NO</w:t>
      </w:r>
      <w:r w:rsidRPr="00150E0D">
        <w:rPr>
          <w:vertAlign w:val="subscript"/>
        </w:rPr>
        <w:t>2</w:t>
      </w:r>
      <w:r>
        <w:t xml:space="preserve"> increments based on the authority granted them through the Clean Air Act</w:t>
      </w:r>
      <w:r w:rsidR="007D0902">
        <w:t xml:space="preserve"> (CAA)</w:t>
      </w:r>
      <w:r>
        <w:t xml:space="preserve">.  There are currently no increments for 1-hour </w:t>
      </w:r>
      <w:r w:rsidRPr="00150E0D">
        <w:t>NO</w:t>
      </w:r>
      <w:r w:rsidRPr="00150E0D">
        <w:rPr>
          <w:vertAlign w:val="subscript"/>
        </w:rPr>
        <w:t>2</w:t>
      </w:r>
      <w:r>
        <w:t xml:space="preserve">, 1-hour </w:t>
      </w:r>
      <w:r w:rsidRPr="00E91523">
        <w:t>SO</w:t>
      </w:r>
      <w:r w:rsidRPr="00E91523">
        <w:rPr>
          <w:vertAlign w:val="subscript"/>
        </w:rPr>
        <w:t>2</w:t>
      </w:r>
      <w:r>
        <w:t xml:space="preserve">, or carbon monoxide (CO).  </w:t>
      </w:r>
      <w:r w:rsidR="004B4A96">
        <w:t>T</w:t>
      </w:r>
      <w:r w:rsidR="00122D90">
        <w:t>he current federal PSD increments are listed</w:t>
      </w:r>
      <w:r w:rsidR="000937E7">
        <w:t xml:space="preserve"> </w:t>
      </w:r>
      <w:r w:rsidR="00122D90">
        <w:t xml:space="preserve">in </w:t>
      </w:r>
      <w:r w:rsidR="003830CE">
        <w:t xml:space="preserve">both </w:t>
      </w:r>
      <w:r w:rsidR="003830CE">
        <w:lastRenderedPageBreak/>
        <w:t>40</w:t>
      </w:r>
      <w:r w:rsidR="00F95B30">
        <w:t> </w:t>
      </w:r>
      <w:r w:rsidR="003830CE">
        <w:t>CFR</w:t>
      </w:r>
      <w:r w:rsidR="00F95B30">
        <w:t> </w:t>
      </w:r>
      <w:r w:rsidR="003830CE">
        <w:t xml:space="preserve">51.166(c) and </w:t>
      </w:r>
      <w:r w:rsidR="00122D90">
        <w:t>40</w:t>
      </w:r>
      <w:r w:rsidR="00F95B30">
        <w:t> </w:t>
      </w:r>
      <w:r w:rsidR="00122D90">
        <w:t>CFR</w:t>
      </w:r>
      <w:r w:rsidR="00F95B30">
        <w:t> </w:t>
      </w:r>
      <w:r w:rsidR="00122D90">
        <w:t xml:space="preserve">52.21(c).  </w:t>
      </w:r>
      <w:r w:rsidR="003830CE">
        <w:t xml:space="preserve">ADEC </w:t>
      </w:r>
      <w:r w:rsidR="00ED209B">
        <w:t xml:space="preserve">has incorporated </w:t>
      </w:r>
      <w:proofErr w:type="gramStart"/>
      <w:r w:rsidR="003830CE">
        <w:t xml:space="preserve">the </w:t>
      </w:r>
      <w:r w:rsidR="00ED209B">
        <w:t>federal</w:t>
      </w:r>
      <w:proofErr w:type="gramEnd"/>
      <w:r w:rsidR="003830CE">
        <w:t xml:space="preserve"> </w:t>
      </w:r>
      <w:r w:rsidR="00ED209B">
        <w:t>increments</w:t>
      </w:r>
      <w:r w:rsidR="003830CE">
        <w:t xml:space="preserve"> in </w:t>
      </w:r>
      <w:r w:rsidR="00ED209B">
        <w:t xml:space="preserve">its air quality program.  The PSD increments used by ADEC are listed in </w:t>
      </w:r>
      <w:r w:rsidR="003830CE">
        <w:t>Table</w:t>
      </w:r>
      <w:r w:rsidR="00F95B30">
        <w:t> </w:t>
      </w:r>
      <w:r w:rsidR="003830CE">
        <w:t>3 of 18</w:t>
      </w:r>
      <w:r w:rsidR="00F95B30">
        <w:t> </w:t>
      </w:r>
      <w:r w:rsidR="003830CE">
        <w:t>AAC</w:t>
      </w:r>
      <w:r w:rsidR="00F95B30">
        <w:t> </w:t>
      </w:r>
      <w:r w:rsidR="003830CE">
        <w:t xml:space="preserve">50.020. </w:t>
      </w:r>
    </w:p>
    <w:p w14:paraId="6EEE7E4B" w14:textId="1C8E5E44" w:rsidR="00223035" w:rsidRDefault="00223035" w:rsidP="00223035">
      <w:pPr>
        <w:pStyle w:val="Heading4"/>
      </w:pPr>
      <w:bookmarkStart w:id="33" w:name="_Toc526778221"/>
      <w:r>
        <w:t>Increments with No Air Quality Standards</w:t>
      </w:r>
      <w:bookmarkEnd w:id="33"/>
      <w:r>
        <w:t xml:space="preserve"> </w:t>
      </w:r>
    </w:p>
    <w:p w14:paraId="13ED3914" w14:textId="2969910A" w:rsidR="006E771B" w:rsidRDefault="00223035" w:rsidP="00223035">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EPA has changed </w:t>
      </w:r>
      <w:r w:rsidR="00925C39">
        <w:t xml:space="preserve">the PM and </w:t>
      </w:r>
      <w:r w:rsidR="00925C39" w:rsidRPr="00E91523">
        <w:t>SO</w:t>
      </w:r>
      <w:r w:rsidR="00925C39" w:rsidRPr="00E91523">
        <w:rPr>
          <w:vertAlign w:val="subscript"/>
        </w:rPr>
        <w:t>2</w:t>
      </w:r>
      <w:r w:rsidR="00925C39">
        <w:t xml:space="preserve"> </w:t>
      </w:r>
      <w:r>
        <w:t xml:space="preserve">NAAQS </w:t>
      </w:r>
      <w:proofErr w:type="gramStart"/>
      <w:r w:rsidR="00925C39">
        <w:t>subsequent to</w:t>
      </w:r>
      <w:proofErr w:type="gramEnd"/>
      <w:r w:rsidR="00925C39">
        <w:t xml:space="preserve"> the 1977 </w:t>
      </w:r>
      <w:r w:rsidR="006E771B">
        <w:t>C</w:t>
      </w:r>
      <w:r w:rsidR="00FD2E5E">
        <w:t xml:space="preserve">ongressional </w:t>
      </w:r>
      <w:r w:rsidR="00925C39">
        <w:t xml:space="preserve">development of the </w:t>
      </w:r>
      <w:r w:rsidR="00925C39" w:rsidRPr="00E91523">
        <w:t>SO</w:t>
      </w:r>
      <w:r w:rsidR="00925C39" w:rsidRPr="00E91523">
        <w:rPr>
          <w:vertAlign w:val="subscript"/>
        </w:rPr>
        <w:t>2</w:t>
      </w:r>
      <w:r w:rsidR="00925C39">
        <w:t xml:space="preserve"> and PM PSD increments</w:t>
      </w:r>
      <w:r>
        <w:t xml:space="preserve">.  </w:t>
      </w:r>
      <w:r w:rsidR="006E771B">
        <w:t>EPA</w:t>
      </w:r>
      <w:r>
        <w:t xml:space="preserve"> rescinded the annual PM-10 NAAQS</w:t>
      </w:r>
      <w:r w:rsidR="00925C39">
        <w:t xml:space="preserve"> when they promulgated the annual PM-2.5 NAAQS, and they rescinded </w:t>
      </w:r>
      <w:r>
        <w:t xml:space="preserve">the 24-hour </w:t>
      </w:r>
      <w:r w:rsidR="00925C39">
        <w:t xml:space="preserve">and annual </w:t>
      </w:r>
      <w:r w:rsidRPr="00E91523">
        <w:t>SO</w:t>
      </w:r>
      <w:r w:rsidRPr="00E91523">
        <w:rPr>
          <w:vertAlign w:val="subscript"/>
        </w:rPr>
        <w:t>2</w:t>
      </w:r>
      <w:r>
        <w:t xml:space="preserve"> NAAQS </w:t>
      </w:r>
      <w:r w:rsidR="00925C39">
        <w:t xml:space="preserve">when they promulgated the 1-hour </w:t>
      </w:r>
      <w:r w:rsidR="00925C39" w:rsidRPr="00E91523">
        <w:t>SO</w:t>
      </w:r>
      <w:r w:rsidR="00925C39" w:rsidRPr="00E91523">
        <w:rPr>
          <w:vertAlign w:val="subscript"/>
        </w:rPr>
        <w:t>2</w:t>
      </w:r>
      <w:r w:rsidR="00925C39">
        <w:t xml:space="preserve"> </w:t>
      </w:r>
      <w:r>
        <w:t>NAAQS.</w:t>
      </w:r>
      <w:r w:rsidR="00080FED">
        <w:rPr>
          <w:rStyle w:val="FootnoteReference"/>
        </w:rPr>
        <w:footnoteReference w:id="15"/>
      </w:r>
      <w:r>
        <w:t xml:space="preserve">  </w:t>
      </w:r>
      <w:r w:rsidR="006E771B">
        <w:t xml:space="preserve">While EPA has the authority to revise the NAAQS, they do not have the authority to revise the increments listed in the </w:t>
      </w:r>
      <w:r w:rsidR="007D0902">
        <w:t>CAA</w:t>
      </w:r>
      <w:r w:rsidR="00A027A3">
        <w:t xml:space="preserve"> – only </w:t>
      </w:r>
      <w:r w:rsidR="006E771B">
        <w:t xml:space="preserve">Congress can do that.  Therefore, the annual PM-10, 24-hour </w:t>
      </w:r>
      <w:r w:rsidR="006E771B" w:rsidRPr="00E91523">
        <w:t>SO</w:t>
      </w:r>
      <w:r w:rsidR="006E771B" w:rsidRPr="00E91523">
        <w:rPr>
          <w:vertAlign w:val="subscript"/>
        </w:rPr>
        <w:t>2</w:t>
      </w:r>
      <w:r w:rsidR="006E771B">
        <w:t xml:space="preserve"> and annual </w:t>
      </w:r>
      <w:r w:rsidR="006E771B" w:rsidRPr="00E91523">
        <w:t>SO</w:t>
      </w:r>
      <w:r w:rsidR="006E771B" w:rsidRPr="00E91523">
        <w:rPr>
          <w:vertAlign w:val="subscript"/>
        </w:rPr>
        <w:t>2</w:t>
      </w:r>
      <w:r w:rsidR="006E771B">
        <w:t xml:space="preserve"> increments remain effective, even though there are no </w:t>
      </w:r>
      <w:r w:rsidR="00561FB0">
        <w:t>current</w:t>
      </w:r>
      <w:r w:rsidR="006E771B">
        <w:t xml:space="preserve"> federal air quality standards for these pollutants and averaging periods.</w:t>
      </w:r>
    </w:p>
    <w:p w14:paraId="63B0B5BE" w14:textId="3B277BBB" w:rsidR="00B14E6C" w:rsidRDefault="00B14E6C" w:rsidP="00B14E6C">
      <w:pPr>
        <w:pStyle w:val="Heading4"/>
      </w:pPr>
      <w:bookmarkStart w:id="34" w:name="_Ref446497289"/>
      <w:bookmarkStart w:id="35" w:name="_Toc526778222"/>
      <w:r>
        <w:t>Modeling PSD Increments</w:t>
      </w:r>
      <w:bookmarkEnd w:id="34"/>
      <w:bookmarkEnd w:id="35"/>
      <w:r>
        <w:t xml:space="preserve"> </w:t>
      </w:r>
    </w:p>
    <w:p w14:paraId="4B42422C" w14:textId="7C401F53" w:rsidR="00533337" w:rsidRDefault="00BB1134" w:rsidP="00686020">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napToGrid w:val="0"/>
        </w:rPr>
      </w:pPr>
      <w:r>
        <w:t xml:space="preserve">Applicants may need to </w:t>
      </w:r>
      <w:r w:rsidR="008F405E">
        <w:t>develop a</w:t>
      </w:r>
      <w:r>
        <w:t xml:space="preserve"> different </w:t>
      </w:r>
      <w:r w:rsidR="008F405E">
        <w:t xml:space="preserve">set of modeling files </w:t>
      </w:r>
      <w:r>
        <w:t xml:space="preserve">for demonstrating compliance with a PSD increment than the </w:t>
      </w:r>
      <w:r w:rsidR="008F405E">
        <w:t xml:space="preserve">set of files used to demonstrate </w:t>
      </w:r>
      <w:r>
        <w:t xml:space="preserve">compliance with the AAAQS.  </w:t>
      </w:r>
      <w:r w:rsidR="00B914CC">
        <w:t xml:space="preserve">Different </w:t>
      </w:r>
      <w:r w:rsidR="008F405E">
        <w:t>files</w:t>
      </w:r>
      <w:r w:rsidR="00B914CC">
        <w:t xml:space="preserve"> may be warranted due to differences in the</w:t>
      </w:r>
      <w:r w:rsidR="002876B3">
        <w:t xml:space="preserve"> </w:t>
      </w:r>
      <w:r w:rsidR="00B914CC">
        <w:t>modeled inventory</w:t>
      </w:r>
      <w:r w:rsidR="008D64E5">
        <w:t xml:space="preserve"> (on-site </w:t>
      </w:r>
      <w:r w:rsidR="002876B3">
        <w:t>or</w:t>
      </w:r>
      <w:r w:rsidR="008D64E5">
        <w:t xml:space="preserve"> off-site)</w:t>
      </w:r>
      <w:r w:rsidR="00B914CC">
        <w:t xml:space="preserve">, </w:t>
      </w:r>
      <w:r w:rsidR="003A2E27">
        <w:t>the potential need for including baseline or retired EUs</w:t>
      </w:r>
      <w:r w:rsidR="00922271">
        <w:t xml:space="preserve"> (see Section </w:t>
      </w:r>
      <w:r w:rsidR="00922271">
        <w:fldChar w:fldCharType="begin"/>
      </w:r>
      <w:r w:rsidR="00922271">
        <w:instrText xml:space="preserve"> REF _Ref449099253 \w \h </w:instrText>
      </w:r>
      <w:r w:rsidR="00922271">
        <w:fldChar w:fldCharType="separate"/>
      </w:r>
      <w:r w:rsidR="00135FFD">
        <w:t>2.7.7</w:t>
      </w:r>
      <w:r w:rsidR="00922271">
        <w:fldChar w:fldCharType="end"/>
      </w:r>
      <w:r w:rsidR="00922271">
        <w:t>)</w:t>
      </w:r>
      <w:r w:rsidR="003A2E27">
        <w:t xml:space="preserve">, </w:t>
      </w:r>
      <w:r w:rsidR="00B914CC">
        <w:t xml:space="preserve">differences in </w:t>
      </w:r>
      <w:r w:rsidR="003A2E27">
        <w:t xml:space="preserve">how </w:t>
      </w:r>
      <w:r w:rsidR="00B914CC">
        <w:t>the design concentration</w:t>
      </w:r>
      <w:r w:rsidR="003A2E27">
        <w:t xml:space="preserve"> is calculated</w:t>
      </w:r>
      <w:r w:rsidR="00E92DA2">
        <w:t xml:space="preserve"> (see Section</w:t>
      </w:r>
      <w:r w:rsidR="00E44D77">
        <w:t> </w:t>
      </w:r>
      <w:r w:rsidR="00E92DA2">
        <w:fldChar w:fldCharType="begin"/>
      </w:r>
      <w:r w:rsidR="00E92DA2">
        <w:instrText xml:space="preserve"> REF _Ref446593049 \w \h </w:instrText>
      </w:r>
      <w:r w:rsidR="00E92DA2">
        <w:fldChar w:fldCharType="separate"/>
      </w:r>
      <w:r w:rsidR="00135FFD">
        <w:t>2.13</w:t>
      </w:r>
      <w:r w:rsidR="00E92DA2">
        <w:fldChar w:fldCharType="end"/>
      </w:r>
      <w:r w:rsidR="00E92DA2">
        <w:t>)</w:t>
      </w:r>
      <w:r w:rsidR="00433064">
        <w:t>, and differences in how the area sources of emissions are accounted for</w:t>
      </w:r>
      <w:r w:rsidR="00B914CC">
        <w:t xml:space="preserve">. </w:t>
      </w:r>
    </w:p>
    <w:p w14:paraId="6590A091" w14:textId="77777777" w:rsidR="009A01E5" w:rsidRDefault="001578CE" w:rsidP="00E255C0">
      <w:pPr>
        <w:pStyle w:val="Heading3"/>
        <w:rPr>
          <w:snapToGrid w:val="0"/>
        </w:rPr>
      </w:pPr>
      <w:bookmarkStart w:id="36" w:name="_Toc43521193"/>
      <w:bookmarkStart w:id="37" w:name="FLAG_FLM"/>
      <w:r>
        <w:rPr>
          <w:snapToGrid w:val="0"/>
        </w:rPr>
        <w:tab/>
      </w:r>
      <w:bookmarkStart w:id="38" w:name="_Ref526414689"/>
      <w:bookmarkStart w:id="39" w:name="_Ref526753352"/>
      <w:bookmarkStart w:id="40" w:name="_Toc526778223"/>
      <w:r w:rsidR="009A01E5">
        <w:rPr>
          <w:snapToGrid w:val="0"/>
        </w:rPr>
        <w:t>FLAG Guidance on Class I Analysis Procedures</w:t>
      </w:r>
      <w:bookmarkEnd w:id="36"/>
      <w:bookmarkEnd w:id="37"/>
      <w:bookmarkEnd w:id="38"/>
      <w:bookmarkEnd w:id="39"/>
      <w:bookmarkEnd w:id="40"/>
    </w:p>
    <w:p w14:paraId="4DD3B08A" w14:textId="1CD42739" w:rsidR="00731029" w:rsidRDefault="00884C13" w:rsidP="00731029">
      <w:pPr>
        <w:rPr>
          <w:snapToGrid w:val="0"/>
        </w:rPr>
      </w:pPr>
      <w:r>
        <w:rPr>
          <w:snapToGrid w:val="0"/>
        </w:rPr>
        <w:t>Section</w:t>
      </w:r>
      <w:r w:rsidR="00E44D77">
        <w:t> </w:t>
      </w:r>
      <w:r>
        <w:rPr>
          <w:snapToGrid w:val="0"/>
        </w:rPr>
        <w:t>165(d)(2)(B) of t</w:t>
      </w:r>
      <w:r w:rsidR="00DD25AF">
        <w:rPr>
          <w:snapToGrid w:val="0"/>
        </w:rPr>
        <w:t xml:space="preserve">he </w:t>
      </w:r>
      <w:r w:rsidR="007D0902">
        <w:rPr>
          <w:snapToGrid w:val="0"/>
        </w:rPr>
        <w:t>CAA</w:t>
      </w:r>
      <w:r w:rsidR="00DD25AF">
        <w:rPr>
          <w:snapToGrid w:val="0"/>
        </w:rPr>
        <w:t xml:space="preserve"> states, “</w:t>
      </w:r>
      <w:r w:rsidR="00DD25AF" w:rsidRPr="00884C13">
        <w:rPr>
          <w:i/>
          <w:snapToGrid w:val="0"/>
        </w:rPr>
        <w:t xml:space="preserve">The Federal Land Manager and the Federal official charged with direct responsibility for management of such lands shall have an affirmative responsibility to protect the air quality related values (including visibility) of any such lands within a </w:t>
      </w:r>
      <w:r w:rsidR="00207146" w:rsidRPr="00884C13">
        <w:rPr>
          <w:i/>
          <w:snapToGrid w:val="0"/>
        </w:rPr>
        <w:t>C</w:t>
      </w:r>
      <w:r w:rsidR="00DD25AF" w:rsidRPr="00884C13">
        <w:rPr>
          <w:i/>
          <w:snapToGrid w:val="0"/>
        </w:rPr>
        <w:t>lass I area and to consider, in consultation with the Administrator, whether a proposed major emitting facility will have an adverse impact on such values</w:t>
      </w:r>
      <w:r w:rsidR="00DD25AF">
        <w:rPr>
          <w:snapToGrid w:val="0"/>
        </w:rPr>
        <w:t xml:space="preserve">”.  </w:t>
      </w:r>
      <w:r w:rsidR="009A01E5" w:rsidDel="00390F09">
        <w:rPr>
          <w:snapToGrid w:val="0"/>
        </w:rPr>
        <w:t>Class</w:t>
      </w:r>
      <w:r w:rsidR="00E44D77">
        <w:t> </w:t>
      </w:r>
      <w:r w:rsidR="009A01E5" w:rsidDel="00390F09">
        <w:rPr>
          <w:snapToGrid w:val="0"/>
        </w:rPr>
        <w:t xml:space="preserve">I areas are defined as national parks over 6,000 acres and wilderness areas and memorial parks over 5,000 acres, established as of 1977.  All other </w:t>
      </w:r>
      <w:r w:rsidR="002E7EF2" w:rsidDel="00390F09">
        <w:rPr>
          <w:snapToGrid w:val="0"/>
        </w:rPr>
        <w:t xml:space="preserve">federally managed </w:t>
      </w:r>
      <w:r w:rsidR="009A01E5" w:rsidDel="00390F09">
        <w:rPr>
          <w:snapToGrid w:val="0"/>
        </w:rPr>
        <w:t>areas are designated Class</w:t>
      </w:r>
      <w:r w:rsidR="00E44D77">
        <w:t> </w:t>
      </w:r>
      <w:r w:rsidR="009A01E5" w:rsidDel="00390F09">
        <w:rPr>
          <w:snapToGrid w:val="0"/>
        </w:rPr>
        <w:t>II.</w:t>
      </w:r>
      <w:r w:rsidR="00AF052C">
        <w:rPr>
          <w:snapToGrid w:val="0"/>
        </w:rPr>
        <w:t xml:space="preserve">  </w:t>
      </w:r>
      <w:r w:rsidR="00731029">
        <w:rPr>
          <w:snapToGrid w:val="0"/>
        </w:rPr>
        <w:t xml:space="preserve">The Class I areas </w:t>
      </w:r>
      <w:r w:rsidR="00C30FE9">
        <w:rPr>
          <w:snapToGrid w:val="0"/>
        </w:rPr>
        <w:t>within</w:t>
      </w:r>
      <w:r w:rsidR="00731029">
        <w:rPr>
          <w:snapToGrid w:val="0"/>
        </w:rPr>
        <w:t xml:space="preserve"> Alaska are </w:t>
      </w:r>
      <w:r w:rsidR="00C30FE9">
        <w:rPr>
          <w:snapToGrid w:val="0"/>
        </w:rPr>
        <w:t>described</w:t>
      </w:r>
      <w:r w:rsidR="00731029">
        <w:rPr>
          <w:snapToGrid w:val="0"/>
        </w:rPr>
        <w:t xml:space="preserve"> in Table</w:t>
      </w:r>
      <w:r w:rsidR="00E44D77">
        <w:t> </w:t>
      </w:r>
      <w:r w:rsidR="00731029">
        <w:rPr>
          <w:snapToGrid w:val="0"/>
        </w:rPr>
        <w:t xml:space="preserve">1 of </w:t>
      </w:r>
      <w:hyperlink r:id="rId46" w:history="1">
        <w:r w:rsidR="00731029" w:rsidRPr="00FB2639">
          <w:rPr>
            <w:rStyle w:val="Hyperlink"/>
            <w:snapToGrid w:val="0"/>
          </w:rPr>
          <w:t>18 AAC 50.015</w:t>
        </w:r>
      </w:hyperlink>
      <w:r w:rsidR="00731029">
        <w:rPr>
          <w:snapToGrid w:val="0"/>
        </w:rPr>
        <w:t xml:space="preserve"> and illustrated in </w:t>
      </w:r>
      <w:r w:rsidR="00E44D77">
        <w:rPr>
          <w:snapToGrid w:val="0"/>
        </w:rPr>
        <w:fldChar w:fldCharType="begin"/>
      </w:r>
      <w:r w:rsidR="00E44D77">
        <w:rPr>
          <w:snapToGrid w:val="0"/>
        </w:rPr>
        <w:instrText xml:space="preserve"> REF _Ref526777936 \h </w:instrText>
      </w:r>
      <w:r w:rsidR="00E44D77">
        <w:rPr>
          <w:snapToGrid w:val="0"/>
        </w:rPr>
      </w:r>
      <w:r w:rsidR="00E44D77">
        <w:rPr>
          <w:snapToGrid w:val="0"/>
        </w:rPr>
        <w:fldChar w:fldCharType="separate"/>
      </w:r>
      <w:r w:rsidR="00135FFD">
        <w:t xml:space="preserve">Figure </w:t>
      </w:r>
      <w:r w:rsidR="00135FFD">
        <w:rPr>
          <w:noProof/>
        </w:rPr>
        <w:t>4</w:t>
      </w:r>
      <w:r w:rsidR="00E44D77">
        <w:rPr>
          <w:snapToGrid w:val="0"/>
        </w:rPr>
        <w:fldChar w:fldCharType="end"/>
      </w:r>
      <w:r w:rsidR="00C30FE9">
        <w:rPr>
          <w:snapToGrid w:val="0"/>
        </w:rPr>
        <w:t xml:space="preserve"> below</w:t>
      </w:r>
      <w:r w:rsidR="00731029">
        <w:rPr>
          <w:snapToGrid w:val="0"/>
        </w:rPr>
        <w:t xml:space="preserve">.  </w:t>
      </w:r>
    </w:p>
    <w:p w14:paraId="4D286C95" w14:textId="77777777" w:rsidR="00731029" w:rsidRDefault="00731029" w:rsidP="00731029">
      <w:pPr>
        <w:rPr>
          <w:snapToGrid w:val="0"/>
        </w:rPr>
      </w:pPr>
    </w:p>
    <w:p w14:paraId="22DA70CA" w14:textId="77777777" w:rsidR="00731029" w:rsidRDefault="00731029" w:rsidP="00731029">
      <w:pPr>
        <w:rPr>
          <w:snapToGrid w:val="0"/>
        </w:rPr>
      </w:pPr>
    </w:p>
    <w:p w14:paraId="3125B500" w14:textId="77777777" w:rsidR="00731029" w:rsidRDefault="00731029" w:rsidP="00731029">
      <w:pPr>
        <w:keepNext/>
        <w:jc w:val="center"/>
      </w:pPr>
      <w:r>
        <w:rPr>
          <w:noProof/>
        </w:rPr>
        <w:lastRenderedPageBreak/>
        <w:drawing>
          <wp:inline distT="0" distB="0" distL="0" distR="0" wp14:anchorId="4AC38FE5" wp14:editId="73C3724B">
            <wp:extent cx="4316819" cy="3295650"/>
            <wp:effectExtent l="19050" t="19050" r="26670" b="19050"/>
            <wp:docPr id="3" name="Picture 3" descr="map of class one areas within Ala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 of class one areas within Alaska"/>
                    <pic:cNvPicPr>
                      <a:picLocks noChangeAspect="1" noChangeArrowheads="1"/>
                    </pic:cNvPicPr>
                  </pic:nvPicPr>
                  <pic:blipFill>
                    <a:blip r:embed="rId47" cstate="print"/>
                    <a:srcRect/>
                    <a:stretch>
                      <a:fillRect/>
                    </a:stretch>
                  </pic:blipFill>
                  <pic:spPr bwMode="auto">
                    <a:xfrm>
                      <a:off x="0" y="0"/>
                      <a:ext cx="4365139" cy="3332540"/>
                    </a:xfrm>
                    <a:prstGeom prst="rect">
                      <a:avLst/>
                    </a:prstGeom>
                    <a:noFill/>
                    <a:ln w="9525">
                      <a:solidFill>
                        <a:schemeClr val="tx1"/>
                      </a:solidFill>
                      <a:miter lim="800000"/>
                      <a:headEnd/>
                      <a:tailEnd/>
                    </a:ln>
                  </pic:spPr>
                </pic:pic>
              </a:graphicData>
            </a:graphic>
          </wp:inline>
        </w:drawing>
      </w:r>
    </w:p>
    <w:p w14:paraId="0E9D7CA5" w14:textId="77777777" w:rsidR="00731029" w:rsidRDefault="00731029" w:rsidP="00731029">
      <w:pPr>
        <w:pStyle w:val="Caption"/>
        <w:spacing w:after="240"/>
        <w:jc w:val="center"/>
      </w:pPr>
      <w:bookmarkStart w:id="41" w:name="_Ref526777936"/>
      <w:bookmarkStart w:id="42" w:name="_Toc526778347"/>
      <w:r>
        <w:t xml:space="preserve">Figure </w:t>
      </w:r>
      <w:r>
        <w:rPr>
          <w:noProof/>
        </w:rPr>
        <w:fldChar w:fldCharType="begin"/>
      </w:r>
      <w:r>
        <w:rPr>
          <w:noProof/>
        </w:rPr>
        <w:instrText xml:space="preserve"> SEQ Figure \* ARABIC </w:instrText>
      </w:r>
      <w:r>
        <w:rPr>
          <w:noProof/>
        </w:rPr>
        <w:fldChar w:fldCharType="separate"/>
      </w:r>
      <w:r w:rsidR="00135FFD">
        <w:rPr>
          <w:noProof/>
        </w:rPr>
        <w:t>4</w:t>
      </w:r>
      <w:r>
        <w:rPr>
          <w:noProof/>
        </w:rPr>
        <w:fldChar w:fldCharType="end"/>
      </w:r>
      <w:bookmarkEnd w:id="41"/>
      <w:r>
        <w:t>.  Class I Areas within Alaska</w:t>
      </w:r>
      <w:bookmarkEnd w:id="42"/>
    </w:p>
    <w:p w14:paraId="3F935C26" w14:textId="49E2BAF5" w:rsidR="00390F09" w:rsidRDefault="00F23F49" w:rsidP="00407888">
      <w:pPr>
        <w:rPr>
          <w:color w:val="000000"/>
        </w:rPr>
      </w:pPr>
      <w:r>
        <w:rPr>
          <w:color w:val="000000"/>
        </w:rPr>
        <w:t>Section</w:t>
      </w:r>
      <w:r w:rsidR="00E44D77">
        <w:t> </w:t>
      </w:r>
      <w:r>
        <w:rPr>
          <w:color w:val="000000"/>
        </w:rPr>
        <w:t>165(d)(2)(A) of t</w:t>
      </w:r>
      <w:r w:rsidR="008F07B1">
        <w:rPr>
          <w:color w:val="000000"/>
        </w:rPr>
        <w:t xml:space="preserve">he </w:t>
      </w:r>
      <w:r w:rsidR="007D0902">
        <w:rPr>
          <w:color w:val="000000"/>
        </w:rPr>
        <w:t>CAA</w:t>
      </w:r>
      <w:r w:rsidR="008F07B1">
        <w:rPr>
          <w:color w:val="000000"/>
        </w:rPr>
        <w:t xml:space="preserve"> requires </w:t>
      </w:r>
      <w:r w:rsidR="00DD25AF">
        <w:rPr>
          <w:color w:val="000000"/>
        </w:rPr>
        <w:t xml:space="preserve">the </w:t>
      </w:r>
      <w:r w:rsidR="008F07B1">
        <w:rPr>
          <w:color w:val="000000"/>
        </w:rPr>
        <w:t>permitting authorit</w:t>
      </w:r>
      <w:r w:rsidR="00DD25AF">
        <w:rPr>
          <w:color w:val="000000"/>
        </w:rPr>
        <w:t>y</w:t>
      </w:r>
      <w:r w:rsidR="008F07B1">
        <w:rPr>
          <w:color w:val="000000"/>
        </w:rPr>
        <w:t xml:space="preserve"> to notify the FLM </w:t>
      </w:r>
      <w:r w:rsidR="00AF052C">
        <w:rPr>
          <w:color w:val="000000"/>
        </w:rPr>
        <w:t xml:space="preserve">of any PSD application that the permitting authority receives for </w:t>
      </w:r>
      <w:r w:rsidR="008F07B1">
        <w:rPr>
          <w:color w:val="000000"/>
        </w:rPr>
        <w:t xml:space="preserve">a project </w:t>
      </w:r>
      <w:r w:rsidR="00AF052C">
        <w:rPr>
          <w:color w:val="000000"/>
        </w:rPr>
        <w:t xml:space="preserve">that </w:t>
      </w:r>
      <w:r w:rsidR="008F07B1">
        <w:rPr>
          <w:color w:val="000000"/>
        </w:rPr>
        <w:t xml:space="preserve">may impact a Class I area.  </w:t>
      </w:r>
      <w:r w:rsidR="00AF052C">
        <w:rPr>
          <w:color w:val="000000"/>
        </w:rPr>
        <w:t xml:space="preserve">EPA has elaborated on this requirement by issuing guidance that says the permitting authority must provide </w:t>
      </w:r>
      <w:r w:rsidR="00AF052C" w:rsidRPr="00AF052C">
        <w:rPr>
          <w:color w:val="000000"/>
        </w:rPr>
        <w:t xml:space="preserve">timely notification </w:t>
      </w:r>
      <w:r w:rsidR="00503BE8" w:rsidRPr="00AF052C">
        <w:rPr>
          <w:color w:val="000000"/>
        </w:rPr>
        <w:t xml:space="preserve">of all PSD projects located within </w:t>
      </w:r>
      <w:r w:rsidR="0026368C" w:rsidRPr="00687B4F">
        <w:rPr>
          <w:b/>
          <w:i/>
          <w:color w:val="000000"/>
        </w:rPr>
        <w:t>100</w:t>
      </w:r>
      <w:r w:rsidR="00E44D77">
        <w:t> </w:t>
      </w:r>
      <w:r w:rsidR="00503BE8" w:rsidRPr="00687B4F">
        <w:rPr>
          <w:b/>
          <w:i/>
          <w:color w:val="000000"/>
        </w:rPr>
        <w:t xml:space="preserve">km </w:t>
      </w:r>
      <w:r w:rsidR="0026368C" w:rsidRPr="00AF052C">
        <w:rPr>
          <w:color w:val="000000"/>
        </w:rPr>
        <w:t>of the Class</w:t>
      </w:r>
      <w:r w:rsidR="00E44D77">
        <w:t> </w:t>
      </w:r>
      <w:r w:rsidR="0026368C" w:rsidRPr="00AF052C">
        <w:rPr>
          <w:color w:val="000000"/>
        </w:rPr>
        <w:t xml:space="preserve">I area and </w:t>
      </w:r>
      <w:r w:rsidR="00503BE8" w:rsidRPr="00AF052C">
        <w:rPr>
          <w:color w:val="000000"/>
        </w:rPr>
        <w:t xml:space="preserve">or </w:t>
      </w:r>
      <w:r w:rsidR="0026368C" w:rsidRPr="00AF052C">
        <w:rPr>
          <w:color w:val="000000"/>
        </w:rPr>
        <w:t xml:space="preserve">for “very large </w:t>
      </w:r>
      <w:r w:rsidR="00503BE8" w:rsidRPr="00AF052C">
        <w:rPr>
          <w:color w:val="000000"/>
        </w:rPr>
        <w:t xml:space="preserve">[PSD] </w:t>
      </w:r>
      <w:r w:rsidR="0026368C" w:rsidRPr="00AF052C">
        <w:rPr>
          <w:color w:val="000000"/>
        </w:rPr>
        <w:t xml:space="preserve">sources” </w:t>
      </w:r>
      <w:r w:rsidR="00503BE8" w:rsidRPr="00AF052C">
        <w:rPr>
          <w:color w:val="000000"/>
        </w:rPr>
        <w:t xml:space="preserve">located </w:t>
      </w:r>
      <w:r w:rsidR="0026368C" w:rsidRPr="00AF052C">
        <w:rPr>
          <w:color w:val="000000"/>
        </w:rPr>
        <w:t>beyond 100</w:t>
      </w:r>
      <w:r w:rsidR="00E44D77">
        <w:t> </w:t>
      </w:r>
      <w:r w:rsidR="0026368C" w:rsidRPr="00AF052C">
        <w:rPr>
          <w:color w:val="000000"/>
        </w:rPr>
        <w:t>km</w:t>
      </w:r>
      <w:r w:rsidR="0026368C">
        <w:rPr>
          <w:color w:val="000000"/>
        </w:rPr>
        <w:t>.</w:t>
      </w:r>
      <w:r w:rsidR="00503BE8">
        <w:rPr>
          <w:rStyle w:val="FootnoteReference"/>
          <w:color w:val="000000"/>
        </w:rPr>
        <w:footnoteReference w:id="16"/>
      </w:r>
      <w:r w:rsidR="0026368C">
        <w:rPr>
          <w:color w:val="000000"/>
        </w:rPr>
        <w:t xml:space="preserve"> </w:t>
      </w:r>
      <w:r w:rsidR="00680B96">
        <w:rPr>
          <w:color w:val="000000"/>
        </w:rPr>
        <w:t xml:space="preserve"> </w:t>
      </w:r>
    </w:p>
    <w:p w14:paraId="5F038089" w14:textId="3DAD52B0" w:rsidR="00390F09" w:rsidRDefault="00680B96" w:rsidP="00407888">
      <w:pPr>
        <w:rPr>
          <w:snapToGrid w:val="0"/>
        </w:rPr>
      </w:pPr>
      <w:r>
        <w:rPr>
          <w:color w:val="000000"/>
        </w:rPr>
        <w:t xml:space="preserve">The FLM will decide whether they want to </w:t>
      </w:r>
      <w:r w:rsidR="00390F09">
        <w:rPr>
          <w:color w:val="000000"/>
        </w:rPr>
        <w:t xml:space="preserve">be involved in the PSD project </w:t>
      </w:r>
      <w:r>
        <w:rPr>
          <w:color w:val="000000"/>
        </w:rPr>
        <w:t xml:space="preserve">once they are notified of the project.  </w:t>
      </w:r>
      <w:r w:rsidR="004B74AC">
        <w:rPr>
          <w:snapToGrid w:val="0"/>
        </w:rPr>
        <w:t xml:space="preserve">Their approach for making this decision, and the types of assessments that they may ask for, is described in the </w:t>
      </w:r>
      <w:r w:rsidR="004B74AC">
        <w:t xml:space="preserve">2010 version of the </w:t>
      </w:r>
      <w:hyperlink r:id="rId48" w:history="1">
        <w:r w:rsidR="004B74AC" w:rsidRPr="00CD6C64">
          <w:rPr>
            <w:rStyle w:val="Hyperlink"/>
            <w:i/>
          </w:rPr>
          <w:t>Federal Land Manager’s Air Quality Related Values Work Group (FLAG) Phase I Report</w:t>
        </w:r>
      </w:hyperlink>
      <w:r w:rsidR="004B74AC">
        <w:rPr>
          <w:i/>
        </w:rPr>
        <w:t>.</w:t>
      </w:r>
      <w:r w:rsidR="004B74AC">
        <w:t xml:space="preserve"> </w:t>
      </w:r>
      <w:r w:rsidR="0094624F">
        <w:t xml:space="preserve"> </w:t>
      </w:r>
      <w:r w:rsidR="004B74AC">
        <w:rPr>
          <w:snapToGrid w:val="0"/>
        </w:rPr>
        <w:t xml:space="preserve">The </w:t>
      </w:r>
      <w:r w:rsidR="000A5EEE">
        <w:rPr>
          <w:snapToGrid w:val="0"/>
        </w:rPr>
        <w:t>FLMs developed</w:t>
      </w:r>
      <w:r w:rsidR="004B74AC">
        <w:rPr>
          <w:snapToGrid w:val="0"/>
        </w:rPr>
        <w:t xml:space="preserve"> this report to provide consistent policies and processes both for identifying AQRVs and for evaluating the effects of air pollution on AQRVs.  </w:t>
      </w:r>
    </w:p>
    <w:p w14:paraId="7EFF6A7B" w14:textId="52FD185B" w:rsidR="00407888" w:rsidRDefault="008F07B1" w:rsidP="00407888">
      <w:r>
        <w:rPr>
          <w:snapToGrid w:val="0"/>
        </w:rPr>
        <w:t xml:space="preserve">Expect FLM involvement for any PSD project located within 50 km of a Class I area. </w:t>
      </w:r>
      <w:r w:rsidRPr="00B306E7">
        <w:t xml:space="preserve"> </w:t>
      </w:r>
      <w:r w:rsidR="00FC2423">
        <w:t xml:space="preserve">For more distant </w:t>
      </w:r>
      <w:r w:rsidR="008B27FC">
        <w:t xml:space="preserve">PSD </w:t>
      </w:r>
      <w:r w:rsidR="00FC2423">
        <w:t xml:space="preserve">projects, the FLM will likely want to be involved if the </w:t>
      </w:r>
      <w:r w:rsidR="00A335BB" w:rsidRPr="00B306E7">
        <w:t>annual emissions divided by distance</w:t>
      </w:r>
      <w:r w:rsidRPr="00B306E7">
        <w:t xml:space="preserve"> </w:t>
      </w:r>
      <w:r w:rsidR="00A335BB" w:rsidRPr="00B306E7">
        <w:t>is greater than 10</w:t>
      </w:r>
      <w:r w:rsidR="00FC2423">
        <w:t>.</w:t>
      </w:r>
      <w:r w:rsidR="00A82641" w:rsidRPr="00FD5EEC">
        <w:rPr>
          <w:vertAlign w:val="superscript"/>
        </w:rPr>
        <w:footnoteReference w:id="17"/>
      </w:r>
      <w:r w:rsidR="00FC2423">
        <w:t xml:space="preserve"> </w:t>
      </w:r>
      <w:r w:rsidR="008B27FC">
        <w:t xml:space="preserve"> </w:t>
      </w:r>
      <w:r w:rsidR="00FC2423">
        <w:t>Promptly notify</w:t>
      </w:r>
      <w:r w:rsidR="00A335BB" w:rsidRPr="00B306E7">
        <w:t xml:space="preserve"> the FLM </w:t>
      </w:r>
      <w:r w:rsidR="008B27FC">
        <w:t xml:space="preserve">in this </w:t>
      </w:r>
      <w:r w:rsidR="008B27FC">
        <w:lastRenderedPageBreak/>
        <w:t>situation to determine whether they will want the applicant to provide additional Class</w:t>
      </w:r>
      <w:r w:rsidR="00006FFA" w:rsidRPr="008D4BE3">
        <w:t> </w:t>
      </w:r>
      <w:r w:rsidR="008B27FC">
        <w:t>I assessments under 40</w:t>
      </w:r>
      <w:r w:rsidR="00006FFA" w:rsidRPr="008D4BE3">
        <w:t> </w:t>
      </w:r>
      <w:r w:rsidR="008B27FC">
        <w:t>CFR</w:t>
      </w:r>
      <w:r w:rsidR="00006FFA" w:rsidRPr="008D4BE3">
        <w:t> </w:t>
      </w:r>
      <w:r w:rsidR="008B27FC">
        <w:t>52.21(p).</w:t>
      </w:r>
      <w:r w:rsidR="000E1DC5">
        <w:t xml:space="preserve"> </w:t>
      </w:r>
      <w:r w:rsidR="00A335BB" w:rsidRPr="00B306E7">
        <w:t xml:space="preserve"> </w:t>
      </w:r>
    </w:p>
    <w:p w14:paraId="67CAC054" w14:textId="05C3294C" w:rsidR="00FC2423" w:rsidRPr="00953AF4" w:rsidRDefault="00FC2423" w:rsidP="002016E8">
      <w:pPr>
        <w:pStyle w:val="CommentText"/>
        <w:spacing w:after="120"/>
        <w:ind w:left="360" w:right="360"/>
        <w:rPr>
          <w:sz w:val="24"/>
        </w:rPr>
      </w:pPr>
      <w:r w:rsidRPr="002B6874">
        <w:rPr>
          <w:sz w:val="24"/>
          <w:u w:val="single"/>
        </w:rPr>
        <w:t>Note</w:t>
      </w:r>
      <w:proofErr w:type="gramStart"/>
      <w:r>
        <w:rPr>
          <w:sz w:val="24"/>
        </w:rPr>
        <w:t>:</w:t>
      </w:r>
      <w:r w:rsidRPr="00953AF4">
        <w:rPr>
          <w:sz w:val="24"/>
        </w:rPr>
        <w:t xml:space="preserve"> </w:t>
      </w:r>
      <w:r>
        <w:rPr>
          <w:sz w:val="24"/>
        </w:rPr>
        <w:t xml:space="preserve"> </w:t>
      </w:r>
      <w:r w:rsidRPr="00E368E8">
        <w:rPr>
          <w:i/>
          <w:sz w:val="24"/>
        </w:rPr>
        <w:t>The</w:t>
      </w:r>
      <w:proofErr w:type="gramEnd"/>
      <w:r w:rsidRPr="00E368E8">
        <w:rPr>
          <w:i/>
          <w:sz w:val="24"/>
        </w:rPr>
        <w:t xml:space="preserve"> FLMs used to have written guidance that stated they do not need to be notified of PSD projects located more than 300 km from a Class I area.  While this threshold is not in the 2010 version of the </w:t>
      </w:r>
      <w:r w:rsidRPr="00E368E8">
        <w:rPr>
          <w:i/>
          <w:sz w:val="24"/>
          <w:u w:val="single"/>
        </w:rPr>
        <w:t>FLAG Phase I Report</w:t>
      </w:r>
      <w:r w:rsidRPr="00E368E8">
        <w:rPr>
          <w:i/>
          <w:sz w:val="24"/>
        </w:rPr>
        <w:t>, some FLMs have verbally stated that they still use the 300 km threshold to help manage their workload.  Therefore, you may need to check what the current practice is, or just have the applicant provide their “Q/D” value, as described in Section 2.2.1 of the 2010 Phase I report</w:t>
      </w:r>
      <w:r>
        <w:rPr>
          <w:sz w:val="24"/>
        </w:rPr>
        <w:t>.</w:t>
      </w:r>
    </w:p>
    <w:p w14:paraId="11C100BB" w14:textId="411093E9" w:rsidR="009A01E5" w:rsidRDefault="008F07B1">
      <w:pPr>
        <w:rPr>
          <w:snapToGrid w:val="0"/>
        </w:rPr>
      </w:pPr>
      <w:r>
        <w:rPr>
          <w:snapToGrid w:val="0"/>
        </w:rPr>
        <w:t>It is important to engage the FLM early in the process</w:t>
      </w:r>
      <w:r w:rsidR="00687B4F">
        <w:rPr>
          <w:snapToGrid w:val="0"/>
        </w:rPr>
        <w:t xml:space="preserve">.  Contacting them </w:t>
      </w:r>
      <w:r>
        <w:rPr>
          <w:snapToGrid w:val="0"/>
        </w:rPr>
        <w:t>during the pre-application phase</w:t>
      </w:r>
      <w:r w:rsidR="00687B4F">
        <w:rPr>
          <w:snapToGrid w:val="0"/>
        </w:rPr>
        <w:t xml:space="preserve"> is ideal</w:t>
      </w:r>
      <w:r w:rsidR="00D36D2B">
        <w:rPr>
          <w:snapToGrid w:val="0"/>
        </w:rPr>
        <w:t>.</w:t>
      </w:r>
      <w:r>
        <w:rPr>
          <w:snapToGrid w:val="0"/>
        </w:rPr>
        <w:t xml:space="preserve"> </w:t>
      </w:r>
      <w:r w:rsidR="003E75AF">
        <w:rPr>
          <w:snapToGrid w:val="0"/>
        </w:rPr>
        <w:t xml:space="preserve"> Additional timelines kick-in for projects that may affect a Class I area once we receive the permit application.  </w:t>
      </w:r>
      <w:r w:rsidR="003E75AF" w:rsidRPr="003E75AF">
        <w:rPr>
          <w:b/>
          <w:i/>
          <w:snapToGrid w:val="0"/>
        </w:rPr>
        <w:t>See 40</w:t>
      </w:r>
      <w:r w:rsidR="003E75AF" w:rsidRPr="003E75AF">
        <w:rPr>
          <w:b/>
          <w:i/>
        </w:rPr>
        <w:t> </w:t>
      </w:r>
      <w:r w:rsidR="003E75AF" w:rsidRPr="003E75AF">
        <w:rPr>
          <w:b/>
          <w:i/>
          <w:snapToGrid w:val="0"/>
        </w:rPr>
        <w:t>CFR</w:t>
      </w:r>
      <w:r w:rsidR="003E75AF" w:rsidRPr="003E75AF">
        <w:rPr>
          <w:b/>
          <w:i/>
        </w:rPr>
        <w:t> </w:t>
      </w:r>
      <w:r w:rsidR="003E75AF" w:rsidRPr="003E75AF">
        <w:rPr>
          <w:b/>
          <w:i/>
          <w:snapToGrid w:val="0"/>
        </w:rPr>
        <w:t>52.21(p) for details</w:t>
      </w:r>
      <w:r w:rsidR="003E75AF">
        <w:rPr>
          <w:snapToGrid w:val="0"/>
        </w:rPr>
        <w:t xml:space="preserve">.  </w:t>
      </w:r>
      <w:r w:rsidR="009A01E5">
        <w:rPr>
          <w:snapToGrid w:val="0"/>
        </w:rPr>
        <w:t>The FLM usually review</w:t>
      </w:r>
      <w:r w:rsidR="00875077">
        <w:rPr>
          <w:snapToGrid w:val="0"/>
        </w:rPr>
        <w:t>s</w:t>
      </w:r>
      <w:r w:rsidR="009A01E5">
        <w:rPr>
          <w:snapToGrid w:val="0"/>
        </w:rPr>
        <w:t xml:space="preserve"> the Class I analysis for regional haze and acid deposition impacts, whereas ADEC review</w:t>
      </w:r>
      <w:r w:rsidR="00875077">
        <w:rPr>
          <w:snapToGrid w:val="0"/>
        </w:rPr>
        <w:t>s</w:t>
      </w:r>
      <w:r w:rsidR="009A01E5">
        <w:rPr>
          <w:snapToGrid w:val="0"/>
        </w:rPr>
        <w:t xml:space="preserve"> the Class I PSD increment and air quality standard analysis.  Hence, the applicant and ADEC must coordinate with the FLM’s during the review process for any PSD project that may impact a Class I area.  </w:t>
      </w:r>
      <w:r w:rsidR="000E1DC5">
        <w:t>Additional g</w:t>
      </w:r>
      <w:r w:rsidR="000E1DC5" w:rsidRPr="00B306E7">
        <w:t>uidance on FLM notification can be found Section</w:t>
      </w:r>
      <w:r w:rsidR="00194B07">
        <w:t> </w:t>
      </w:r>
      <w:r w:rsidR="000E1DC5" w:rsidRPr="00B306E7">
        <w:t xml:space="preserve">2.2.1 of the 2010 </w:t>
      </w:r>
      <w:hyperlink r:id="rId49" w:history="1">
        <w:r w:rsidR="009F1B0B" w:rsidRPr="006C1161">
          <w:rPr>
            <w:rStyle w:val="Hyperlink"/>
          </w:rPr>
          <w:t>Phase</w:t>
        </w:r>
        <w:r w:rsidR="00543387" w:rsidRPr="006C1161">
          <w:rPr>
            <w:rStyle w:val="Hyperlink"/>
          </w:rPr>
          <w:t xml:space="preserve"> I</w:t>
        </w:r>
        <w:r w:rsidR="000E1DC5" w:rsidRPr="006C1161">
          <w:rPr>
            <w:rStyle w:val="Hyperlink"/>
          </w:rPr>
          <w:t xml:space="preserve"> </w:t>
        </w:r>
        <w:r w:rsidR="006C1161" w:rsidRPr="006C1161">
          <w:rPr>
            <w:rStyle w:val="Hyperlink"/>
          </w:rPr>
          <w:t>R</w:t>
        </w:r>
        <w:r w:rsidR="000E1DC5" w:rsidRPr="006C1161">
          <w:rPr>
            <w:rStyle w:val="Hyperlink"/>
          </w:rPr>
          <w:t>eport</w:t>
        </w:r>
      </w:hyperlink>
      <w:r w:rsidR="000E1DC5" w:rsidRPr="00B306E7">
        <w:t>.</w:t>
      </w:r>
    </w:p>
    <w:p w14:paraId="3445BBCF" w14:textId="77777777" w:rsidR="009A01E5" w:rsidRDefault="001578CE" w:rsidP="00E255C0">
      <w:pPr>
        <w:pStyle w:val="Heading3"/>
        <w:rPr>
          <w:snapToGrid w:val="0"/>
        </w:rPr>
      </w:pPr>
      <w:bookmarkStart w:id="43" w:name="_Toc43521194"/>
      <w:r>
        <w:rPr>
          <w:snapToGrid w:val="0"/>
        </w:rPr>
        <w:tab/>
      </w:r>
      <w:bookmarkStart w:id="44" w:name="_Toc526778224"/>
      <w:r w:rsidR="009A01E5">
        <w:rPr>
          <w:snapToGrid w:val="0"/>
        </w:rPr>
        <w:t>Levels of Modeling Sophistication</w:t>
      </w:r>
      <w:bookmarkEnd w:id="43"/>
      <w:bookmarkEnd w:id="44"/>
      <w:r w:rsidR="009A01E5">
        <w:rPr>
          <w:snapToGrid w:val="0"/>
        </w:rPr>
        <w:t xml:space="preserve"> </w:t>
      </w:r>
    </w:p>
    <w:p w14:paraId="7242BEAD" w14:textId="77777777" w:rsidR="009A01E5" w:rsidRDefault="009A01E5" w:rsidP="00B306E7">
      <w:pPr>
        <w:rPr>
          <w:snapToGrid w:val="0"/>
        </w:rPr>
      </w:pPr>
      <w:r>
        <w:rPr>
          <w:snapToGrid w:val="0"/>
        </w:rPr>
        <w:t>The level of sophistication of the modeling analysis will be dictated by the size and complexity of the proposed project, the nature of the surrounding terrain, and the available meteorological data.  For simple projects with relatively small emissions, a simple “screening” analysis may be appropriate.  For more complex facilities, facilities located close to “complex terrain” (defined as terrain higher than the final plume height of a particular stack), or facilities with significant building downwash</w:t>
      </w:r>
      <w:r>
        <w:rPr>
          <w:rStyle w:val="FootnoteReference"/>
          <w:snapToGrid w:val="0"/>
        </w:rPr>
        <w:footnoteReference w:id="18"/>
      </w:r>
      <w:r>
        <w:rPr>
          <w:snapToGrid w:val="0"/>
        </w:rPr>
        <w:t xml:space="preserve">, more sophisticated or “refined” models may be required.  </w:t>
      </w:r>
    </w:p>
    <w:p w14:paraId="0599E1D2" w14:textId="53BB8805" w:rsidR="009A01E5" w:rsidRDefault="009A01E5">
      <w:pPr>
        <w:rPr>
          <w:snapToGrid w:val="0"/>
        </w:rPr>
      </w:pPr>
      <w:r>
        <w:rPr>
          <w:snapToGrid w:val="0"/>
        </w:rPr>
        <w:t xml:space="preserve">EPA lists the </w:t>
      </w:r>
      <w:r w:rsidR="00D54753">
        <w:rPr>
          <w:snapToGrid w:val="0"/>
        </w:rPr>
        <w:t>refined</w:t>
      </w:r>
      <w:r w:rsidR="00C135FE">
        <w:rPr>
          <w:snapToGrid w:val="0"/>
        </w:rPr>
        <w:t xml:space="preserve"> air quality models </w:t>
      </w:r>
      <w:r w:rsidR="00D54753">
        <w:rPr>
          <w:snapToGrid w:val="0"/>
        </w:rPr>
        <w:t>preferred for</w:t>
      </w:r>
      <w:r w:rsidR="00C135FE">
        <w:rPr>
          <w:snapToGrid w:val="0"/>
        </w:rPr>
        <w:t xml:space="preserve"> regulatory assessments of </w:t>
      </w:r>
      <w:proofErr w:type="gramStart"/>
      <w:r w:rsidR="00C135FE">
        <w:rPr>
          <w:snapToGrid w:val="0"/>
        </w:rPr>
        <w:t>criteria air pollutants</w:t>
      </w:r>
      <w:proofErr w:type="gramEnd"/>
      <w:r w:rsidR="00C135FE">
        <w:rPr>
          <w:snapToGrid w:val="0"/>
        </w:rPr>
        <w:t xml:space="preserve"> </w:t>
      </w:r>
      <w:r>
        <w:rPr>
          <w:snapToGrid w:val="0"/>
        </w:rPr>
        <w:t xml:space="preserve">in </w:t>
      </w:r>
      <w:r w:rsidR="00C135FE">
        <w:rPr>
          <w:snapToGrid w:val="0"/>
        </w:rPr>
        <w:t xml:space="preserve">Appendix A of </w:t>
      </w:r>
      <w:r>
        <w:rPr>
          <w:snapToGrid w:val="0"/>
        </w:rPr>
        <w:t xml:space="preserve">the </w:t>
      </w:r>
      <w:r w:rsidR="00C135FE" w:rsidRPr="00196955">
        <w:rPr>
          <w:snapToGrid w:val="0"/>
        </w:rPr>
        <w:t>Guideline</w:t>
      </w:r>
      <w:r>
        <w:rPr>
          <w:snapToGrid w:val="0"/>
        </w:rPr>
        <w:t xml:space="preserve">.  </w:t>
      </w:r>
      <w:r w:rsidR="00C135FE">
        <w:rPr>
          <w:snapToGrid w:val="0"/>
        </w:rPr>
        <w:t xml:space="preserve">The </w:t>
      </w:r>
      <w:r w:rsidR="00A333E9">
        <w:rPr>
          <w:snapToGrid w:val="0"/>
        </w:rPr>
        <w:t xml:space="preserve">listed models are: </w:t>
      </w:r>
      <w:r w:rsidR="001C4AAB">
        <w:rPr>
          <w:snapToGrid w:val="0"/>
        </w:rPr>
        <w:t>AERMOD</w:t>
      </w:r>
      <w:r>
        <w:rPr>
          <w:snapToGrid w:val="0"/>
        </w:rPr>
        <w:t xml:space="preserve">, OCD, </w:t>
      </w:r>
      <w:r w:rsidR="00D54753">
        <w:rPr>
          <w:snapToGrid w:val="0"/>
        </w:rPr>
        <w:t xml:space="preserve">and </w:t>
      </w:r>
      <w:r w:rsidR="00A333E9">
        <w:rPr>
          <w:snapToGrid w:val="0"/>
        </w:rPr>
        <w:t>CTDMPLUS</w:t>
      </w:r>
      <w:r>
        <w:rPr>
          <w:snapToGrid w:val="0"/>
        </w:rPr>
        <w:t xml:space="preserve">.  </w:t>
      </w:r>
      <w:r w:rsidR="00A333E9">
        <w:rPr>
          <w:snapToGrid w:val="0"/>
        </w:rPr>
        <w:t xml:space="preserve">Only AERMOD and OCD are further discussed in this manual.  CTDMPLUS is not further discussed since it has never been used by an Alaskan NSR </w:t>
      </w:r>
      <w:proofErr w:type="gramStart"/>
      <w:r w:rsidR="00A333E9">
        <w:rPr>
          <w:snapToGrid w:val="0"/>
        </w:rPr>
        <w:t>applicant</w:t>
      </w:r>
      <w:proofErr w:type="gramEnd"/>
      <w:r w:rsidR="00A333E9">
        <w:rPr>
          <w:snapToGrid w:val="0"/>
        </w:rPr>
        <w:t xml:space="preserve"> and it is unlikely that it ever </w:t>
      </w:r>
      <w:proofErr w:type="gramStart"/>
      <w:r w:rsidR="00A333E9">
        <w:rPr>
          <w:snapToGrid w:val="0"/>
        </w:rPr>
        <w:t>will</w:t>
      </w:r>
      <w:proofErr w:type="gramEnd"/>
      <w:r w:rsidR="00A333E9">
        <w:rPr>
          <w:snapToGrid w:val="0"/>
        </w:rPr>
        <w:t xml:space="preserve"> due to the extensive meteorological data requirements.  </w:t>
      </w:r>
      <w:r>
        <w:rPr>
          <w:snapToGrid w:val="0"/>
        </w:rPr>
        <w:t xml:space="preserve">“Non-guideline” </w:t>
      </w:r>
      <w:r w:rsidR="00A333E9">
        <w:rPr>
          <w:snapToGrid w:val="0"/>
        </w:rPr>
        <w:t xml:space="preserve">(aka “alternative”) </w:t>
      </w:r>
      <w:r>
        <w:rPr>
          <w:snapToGrid w:val="0"/>
        </w:rPr>
        <w:t>models may be used on a case-</w:t>
      </w:r>
      <w:r w:rsidR="00A333E9">
        <w:rPr>
          <w:snapToGrid w:val="0"/>
        </w:rPr>
        <w:t>specific</w:t>
      </w:r>
      <w:r>
        <w:rPr>
          <w:snapToGrid w:val="0"/>
        </w:rPr>
        <w:t xml:space="preserve"> basis upon approval by ADEC and EPA, but ADEC must then also allow for public comment regarding the use of the non-guideline model for the given application.  The following paragraphs briefly describe the </w:t>
      </w:r>
      <w:r w:rsidR="00A333E9">
        <w:rPr>
          <w:snapToGrid w:val="0"/>
        </w:rPr>
        <w:t xml:space="preserve">AERMOD and OCD refined dispersion </w:t>
      </w:r>
      <w:r>
        <w:rPr>
          <w:snapToGrid w:val="0"/>
        </w:rPr>
        <w:t>models</w:t>
      </w:r>
      <w:r w:rsidR="00A333E9">
        <w:rPr>
          <w:snapToGrid w:val="0"/>
        </w:rPr>
        <w:t>, along with the VISCREEN and CALPUFF screening-level models</w:t>
      </w:r>
      <w:r>
        <w:rPr>
          <w:snapToGrid w:val="0"/>
        </w:rPr>
        <w:t>.</w:t>
      </w:r>
    </w:p>
    <w:p w14:paraId="26E7FBDB" w14:textId="54F86563" w:rsidR="00A333E9" w:rsidRDefault="00A333E9" w:rsidP="00BA1639">
      <w:pPr>
        <w:pStyle w:val="Heading4"/>
        <w:rPr>
          <w:snapToGrid w:val="0"/>
        </w:rPr>
      </w:pPr>
      <w:bookmarkStart w:id="45" w:name="_Toc526778225"/>
      <w:r>
        <w:rPr>
          <w:snapToGrid w:val="0"/>
        </w:rPr>
        <w:lastRenderedPageBreak/>
        <w:t>AERMOD</w:t>
      </w:r>
      <w:bookmarkEnd w:id="45"/>
      <w:r w:rsidR="00BB263B">
        <w:rPr>
          <w:snapToGrid w:val="0"/>
        </w:rPr>
        <w:t xml:space="preserve"> </w:t>
      </w:r>
    </w:p>
    <w:p w14:paraId="7B78E936" w14:textId="2FAADB22" w:rsidR="00291A6B" w:rsidRDefault="001578CE" w:rsidP="003E55CE">
      <w:r>
        <w:rPr>
          <w:snapToGrid w:val="0"/>
        </w:rPr>
        <w:t xml:space="preserve">The </w:t>
      </w:r>
      <w:r w:rsidRPr="007A41F1">
        <w:rPr>
          <w:snapToGrid w:val="0"/>
        </w:rPr>
        <w:t>AERMOD Modeling System</w:t>
      </w:r>
      <w:r>
        <w:rPr>
          <w:snapToGrid w:val="0"/>
        </w:rPr>
        <w:t xml:space="preserve"> consists of three components</w:t>
      </w:r>
      <w:proofErr w:type="gramStart"/>
      <w:r>
        <w:rPr>
          <w:snapToGrid w:val="0"/>
        </w:rPr>
        <w:t xml:space="preserve">:  </w:t>
      </w:r>
      <w:r>
        <w:t>AERMAP</w:t>
      </w:r>
      <w:proofErr w:type="gramEnd"/>
      <w:r>
        <w:t xml:space="preserve"> (used to process terrain data and develop elevations for the receptor grid/</w:t>
      </w:r>
      <w:r w:rsidR="006343AC">
        <w:t>EU</w:t>
      </w:r>
      <w:r>
        <w:t xml:space="preserve">s), AERMET (used to process the meteorological data), and the AERMOD dispersion model (used to estimate the ambient concentrations).  </w:t>
      </w:r>
      <w:r w:rsidR="00E043A8">
        <w:rPr>
          <w:snapToGrid w:val="0"/>
        </w:rPr>
        <w:t xml:space="preserve">AERMOD is a steady-state plume </w:t>
      </w:r>
      <w:r w:rsidR="00F77674">
        <w:rPr>
          <w:snapToGrid w:val="0"/>
        </w:rPr>
        <w:t xml:space="preserve">dispersion </w:t>
      </w:r>
      <w:r w:rsidR="00E043A8">
        <w:rPr>
          <w:snapToGrid w:val="0"/>
        </w:rPr>
        <w:t xml:space="preserve">model </w:t>
      </w:r>
      <w:r w:rsidR="00F77674">
        <w:rPr>
          <w:snapToGrid w:val="0"/>
        </w:rPr>
        <w:t>for assessment of pollutant concentrations from a variety of sources.  AERMOD simulates transport and dispersion from mult</w:t>
      </w:r>
      <w:r>
        <w:rPr>
          <w:snapToGrid w:val="0"/>
        </w:rPr>
        <w:t xml:space="preserve">iple </w:t>
      </w:r>
      <w:proofErr w:type="gramStart"/>
      <w:r>
        <w:rPr>
          <w:snapToGrid w:val="0"/>
        </w:rPr>
        <w:t>point</w:t>
      </w:r>
      <w:proofErr w:type="gramEnd"/>
      <w:r>
        <w:rPr>
          <w:snapToGrid w:val="0"/>
        </w:rPr>
        <w:t xml:space="preserve">, </w:t>
      </w:r>
      <w:proofErr w:type="gramStart"/>
      <w:r>
        <w:rPr>
          <w:snapToGrid w:val="0"/>
        </w:rPr>
        <w:t>area</w:t>
      </w:r>
      <w:proofErr w:type="gramEnd"/>
      <w:r>
        <w:rPr>
          <w:snapToGrid w:val="0"/>
        </w:rPr>
        <w:t>, volume</w:t>
      </w:r>
      <w:r w:rsidR="003E55CE">
        <w:rPr>
          <w:snapToGrid w:val="0"/>
        </w:rPr>
        <w:t>, or open pit</w:t>
      </w:r>
      <w:r w:rsidR="00F77674">
        <w:rPr>
          <w:snapToGrid w:val="0"/>
        </w:rPr>
        <w:t xml:space="preserve"> </w:t>
      </w:r>
      <w:r>
        <w:rPr>
          <w:snapToGrid w:val="0"/>
        </w:rPr>
        <w:t xml:space="preserve">sources </w:t>
      </w:r>
      <w:r w:rsidR="00F77674">
        <w:rPr>
          <w:snapToGrid w:val="0"/>
        </w:rPr>
        <w:t xml:space="preserve">based on a characterization of the atmospheric boundary layer.  </w:t>
      </w:r>
    </w:p>
    <w:p w14:paraId="6897B819" w14:textId="5D71A80C" w:rsidR="00E043A8" w:rsidRDefault="003E55CE" w:rsidP="003E55CE">
      <w:r>
        <w:t xml:space="preserve">In addition to these three components, there are </w:t>
      </w:r>
      <w:r w:rsidR="00D85D81">
        <w:t xml:space="preserve">two </w:t>
      </w:r>
      <w:r>
        <w:t>support programs: AERSURFACE (estimates the land-use dependent albedo, Bowen ratio, and roughness length) and AERMINUTE (reads 1-minute</w:t>
      </w:r>
      <w:r w:rsidR="004B375F">
        <w:t xml:space="preserve"> </w:t>
      </w:r>
      <w:r w:rsidR="005E6341">
        <w:t>National Weath</w:t>
      </w:r>
      <w:r w:rsidR="001D5639">
        <w:t>e</w:t>
      </w:r>
      <w:r w:rsidR="005E6341">
        <w:t xml:space="preserve">r Service (NWS) </w:t>
      </w:r>
      <w:r w:rsidR="004B375F">
        <w:t>Automated Surface Observing System (</w:t>
      </w:r>
      <w:r>
        <w:t>ASOS</w:t>
      </w:r>
      <w:r w:rsidR="004B375F">
        <w:t>)</w:t>
      </w:r>
      <w:r>
        <w:t xml:space="preserve"> data and calculates a 1-hour average wind speed and wind direction </w:t>
      </w:r>
      <w:r w:rsidRPr="003E55CE">
        <w:t>to supplement the standard hourly ASOS</w:t>
      </w:r>
      <w:r w:rsidR="006C5904">
        <w:t xml:space="preserve"> </w:t>
      </w:r>
      <w:r>
        <w:t>o</w:t>
      </w:r>
      <w:r w:rsidRPr="003E55CE">
        <w:t>bservations</w:t>
      </w:r>
      <w:r>
        <w:t>).</w:t>
      </w:r>
      <w:r w:rsidR="00291A6B">
        <w:t xml:space="preserve">  The current version of AERSURFACE (version 13016 as of </w:t>
      </w:r>
      <w:r w:rsidR="00990AFC">
        <w:t>October 8, 2018</w:t>
      </w:r>
      <w:r w:rsidR="00291A6B">
        <w:t>) only processes 1992 land use/land cover data which is typically not available for Alaska.  ADEC has alternative guidance to calculate albedo, Bowen ratio, and roughness length</w:t>
      </w:r>
      <w:r w:rsidR="00D85D81">
        <w:t xml:space="preserve"> which can be found at </w:t>
      </w:r>
      <w:hyperlink r:id="rId50" w:history="1">
        <w:r w:rsidR="00C35B84" w:rsidRPr="00B33BF5">
          <w:rPr>
            <w:rStyle w:val="Hyperlink"/>
          </w:rPr>
          <w:t>http://dec.alaska.gov/air/air-permit/dispersion-modeling/</w:t>
        </w:r>
      </w:hyperlink>
      <w:r w:rsidR="00C35B84">
        <w:t xml:space="preserve"> </w:t>
      </w:r>
      <w:r w:rsidR="000D7F9A">
        <w:t xml:space="preserve"> </w:t>
      </w:r>
      <w:r w:rsidR="00C35B84">
        <w:t>(</w:t>
      </w:r>
      <w:r w:rsidR="000D7F9A">
        <w:t xml:space="preserve">see the document </w:t>
      </w:r>
      <w:r w:rsidR="000D7F9A" w:rsidRPr="000D7F9A">
        <w:rPr>
          <w:i/>
        </w:rPr>
        <w:t>Geometric means for AERMET surface parameters</w:t>
      </w:r>
      <w:r w:rsidR="00E627AE">
        <w:rPr>
          <w:i/>
        </w:rPr>
        <w:t xml:space="preserve">; </w:t>
      </w:r>
      <w:r w:rsidR="000D7F9A" w:rsidRPr="000D7F9A">
        <w:rPr>
          <w:i/>
        </w:rPr>
        <w:t>Rev. 2</w:t>
      </w:r>
      <w:r w:rsidR="00E627AE">
        <w:rPr>
          <w:i/>
        </w:rPr>
        <w:t>;</w:t>
      </w:r>
      <w:r w:rsidR="000D7F9A" w:rsidRPr="000D7F9A">
        <w:rPr>
          <w:i/>
        </w:rPr>
        <w:t xml:space="preserve"> Revised 6/17/09</w:t>
      </w:r>
      <w:r w:rsidR="000D7F9A">
        <w:t>).</w:t>
      </w:r>
    </w:p>
    <w:p w14:paraId="088125D5" w14:textId="5D952489" w:rsidR="00BB263B" w:rsidRDefault="00BB263B" w:rsidP="00BA1639">
      <w:pPr>
        <w:pStyle w:val="Heading4"/>
        <w:rPr>
          <w:snapToGrid w:val="0"/>
        </w:rPr>
      </w:pPr>
      <w:bookmarkStart w:id="46" w:name="_Ref489611519"/>
      <w:bookmarkStart w:id="47" w:name="_Toc526778226"/>
      <w:r>
        <w:rPr>
          <w:snapToGrid w:val="0"/>
        </w:rPr>
        <w:t>OCD</w:t>
      </w:r>
      <w:bookmarkEnd w:id="46"/>
      <w:bookmarkEnd w:id="47"/>
    </w:p>
    <w:p w14:paraId="1F7E7E1C" w14:textId="48A3457C" w:rsidR="006941F7" w:rsidRDefault="009A01E5">
      <w:pPr>
        <w:rPr>
          <w:snapToGrid w:val="0"/>
        </w:rPr>
      </w:pPr>
      <w:r>
        <w:rPr>
          <w:snapToGrid w:val="0"/>
        </w:rPr>
        <w:t xml:space="preserve">The </w:t>
      </w:r>
      <w:r w:rsidRPr="007A41F1">
        <w:rPr>
          <w:snapToGrid w:val="0"/>
        </w:rPr>
        <w:t>OCD</w:t>
      </w:r>
      <w:r>
        <w:rPr>
          <w:snapToGrid w:val="0"/>
        </w:rPr>
        <w:t xml:space="preserve"> model</w:t>
      </w:r>
      <w:r>
        <w:rPr>
          <w:rStyle w:val="FootnoteReference"/>
          <w:snapToGrid w:val="0"/>
        </w:rPr>
        <w:footnoteReference w:id="19"/>
      </w:r>
      <w:r>
        <w:rPr>
          <w:snapToGrid w:val="0"/>
        </w:rPr>
        <w:t xml:space="preserve"> was developed </w:t>
      </w:r>
      <w:r w:rsidR="00CC499A">
        <w:rPr>
          <w:snapToGrid w:val="0"/>
        </w:rPr>
        <w:t xml:space="preserve">by </w:t>
      </w:r>
      <w:r w:rsidR="00F758B3">
        <w:rPr>
          <w:snapToGrid w:val="0"/>
        </w:rPr>
        <w:t>the US Department of Interior</w:t>
      </w:r>
      <w:r w:rsidR="00E73B9F">
        <w:rPr>
          <w:snapToGrid w:val="0"/>
        </w:rPr>
        <w:t>,</w:t>
      </w:r>
      <w:r w:rsidR="00F758B3">
        <w:rPr>
          <w:snapToGrid w:val="0"/>
        </w:rPr>
        <w:t xml:space="preserve"> </w:t>
      </w:r>
      <w:r w:rsidR="00857F81">
        <w:rPr>
          <w:snapToGrid w:val="0"/>
        </w:rPr>
        <w:t>Bureau of Ocean Energy Management (BOEM)</w:t>
      </w:r>
      <w:r w:rsidR="009B75C1">
        <w:rPr>
          <w:snapToGrid w:val="0"/>
        </w:rPr>
        <w:t>,</w:t>
      </w:r>
      <w:r w:rsidR="00857F81">
        <w:rPr>
          <w:snapToGrid w:val="0"/>
        </w:rPr>
        <w:t xml:space="preserve"> formerly </w:t>
      </w:r>
      <w:r w:rsidR="00B85C74">
        <w:rPr>
          <w:snapToGrid w:val="0"/>
        </w:rPr>
        <w:t xml:space="preserve">the </w:t>
      </w:r>
      <w:r w:rsidR="00F758B3">
        <w:rPr>
          <w:snapToGrid w:val="0"/>
        </w:rPr>
        <w:t xml:space="preserve">Minerals Management Service </w:t>
      </w:r>
      <w:r w:rsidR="00B85C74">
        <w:rPr>
          <w:snapToGrid w:val="0"/>
        </w:rPr>
        <w:t>or MMS</w:t>
      </w:r>
      <w:r w:rsidR="009B75C1">
        <w:rPr>
          <w:snapToGrid w:val="0"/>
        </w:rPr>
        <w:t>,</w:t>
      </w:r>
      <w:r w:rsidR="00CC499A">
        <w:rPr>
          <w:snapToGrid w:val="0"/>
        </w:rPr>
        <w:t xml:space="preserve"> </w:t>
      </w:r>
      <w:r>
        <w:rPr>
          <w:snapToGrid w:val="0"/>
        </w:rPr>
        <w:t xml:space="preserve">to simulate plume dispersion and transport from offshore point, area, or line sources to receptors on land or water.  It is </w:t>
      </w:r>
      <w:proofErr w:type="gramStart"/>
      <w:r>
        <w:rPr>
          <w:snapToGrid w:val="0"/>
        </w:rPr>
        <w:t>most commonly used</w:t>
      </w:r>
      <w:proofErr w:type="gramEnd"/>
      <w:r>
        <w:rPr>
          <w:snapToGrid w:val="0"/>
        </w:rPr>
        <w:t xml:space="preserve"> for </w:t>
      </w:r>
      <w:proofErr w:type="gramStart"/>
      <w:r>
        <w:rPr>
          <w:snapToGrid w:val="0"/>
        </w:rPr>
        <w:t>off-shore</w:t>
      </w:r>
      <w:proofErr w:type="gramEnd"/>
      <w:r>
        <w:rPr>
          <w:snapToGrid w:val="0"/>
        </w:rPr>
        <w:t xml:space="preserve"> drilling operations</w:t>
      </w:r>
      <w:r w:rsidR="006941F7">
        <w:rPr>
          <w:snapToGrid w:val="0"/>
        </w:rPr>
        <w:t>, which typically occur from elevated platforms</w:t>
      </w:r>
      <w:r>
        <w:rPr>
          <w:snapToGrid w:val="0"/>
        </w:rPr>
        <w:t xml:space="preserve">.  </w:t>
      </w:r>
    </w:p>
    <w:p w14:paraId="52B8C8A5" w14:textId="45DCB074" w:rsidR="001D5639" w:rsidRDefault="001D5639" w:rsidP="001D5639">
      <w:pPr>
        <w:rPr>
          <w:snapToGrid w:val="0"/>
        </w:rPr>
      </w:pPr>
      <w:r>
        <w:rPr>
          <w:snapToGrid w:val="0"/>
        </w:rPr>
        <w:t>The OCD model is an hour-by-hour steady state Gaussian model with enhancements that consider the differences between over-water and over-land dispersion characteristics, the sea-land interface, and platform aerodynamic effects.  OCD will also simulate effects from various stack angles, includ</w:t>
      </w:r>
      <w:r w:rsidR="007A41F1">
        <w:rPr>
          <w:snapToGrid w:val="0"/>
        </w:rPr>
        <w:t xml:space="preserve">ing a downward pointing stack. </w:t>
      </w:r>
    </w:p>
    <w:p w14:paraId="15F63EEE" w14:textId="21187E4A" w:rsidR="00E163B5" w:rsidRDefault="009A01E5" w:rsidP="00737DD4">
      <w:pPr>
        <w:keepNext/>
        <w:keepLines/>
        <w:rPr>
          <w:snapToGrid w:val="0"/>
        </w:rPr>
      </w:pPr>
      <w:r>
        <w:rPr>
          <w:snapToGrid w:val="0"/>
        </w:rPr>
        <w:lastRenderedPageBreak/>
        <w:t xml:space="preserve">Alaskan applicants have used OCD to model offshore platforms located in either Cook Inlet or the Beaufort Sea during open water periods. </w:t>
      </w:r>
      <w:r w:rsidR="00A858C7">
        <w:rPr>
          <w:snapToGrid w:val="0"/>
        </w:rPr>
        <w:t xml:space="preserve"> </w:t>
      </w:r>
      <w:r w:rsidR="00E163B5">
        <w:rPr>
          <w:snapToGrid w:val="0"/>
        </w:rPr>
        <w:t xml:space="preserve">However, </w:t>
      </w:r>
      <w:r w:rsidR="00BF50F4">
        <w:rPr>
          <w:snapToGrid w:val="0"/>
        </w:rPr>
        <w:t xml:space="preserve">AERMOD </w:t>
      </w:r>
      <w:r w:rsidR="00E163B5">
        <w:rPr>
          <w:snapToGrid w:val="0"/>
        </w:rPr>
        <w:t>has been used for North Slope offshore locations for ice conditions</w:t>
      </w:r>
      <w:r w:rsidR="00BF50F4">
        <w:rPr>
          <w:snapToGrid w:val="0"/>
        </w:rPr>
        <w:t>.</w:t>
      </w:r>
      <w:r>
        <w:rPr>
          <w:snapToGrid w:val="0"/>
        </w:rPr>
        <w:t xml:space="preserve">  </w:t>
      </w:r>
      <w:r w:rsidR="00E163B5">
        <w:rPr>
          <w:snapToGrid w:val="0"/>
        </w:rPr>
        <w:t>EPA has also developed a non-</w:t>
      </w:r>
      <w:r w:rsidR="00E163B5" w:rsidRPr="00196955">
        <w:rPr>
          <w:snapToGrid w:val="0"/>
        </w:rPr>
        <w:t>Guideline</w:t>
      </w:r>
      <w:r w:rsidR="00E163B5">
        <w:rPr>
          <w:snapToGrid w:val="0"/>
        </w:rPr>
        <w:t xml:space="preserve"> variation of </w:t>
      </w:r>
      <w:r w:rsidR="00F8574F">
        <w:rPr>
          <w:snapToGrid w:val="0"/>
        </w:rPr>
        <w:t>AERMET</w:t>
      </w:r>
      <w:r w:rsidR="00E163B5">
        <w:rPr>
          <w:snapToGrid w:val="0"/>
        </w:rPr>
        <w:t xml:space="preserve">, </w:t>
      </w:r>
      <w:r w:rsidR="00146154">
        <w:rPr>
          <w:snapToGrid w:val="0"/>
        </w:rPr>
        <w:t xml:space="preserve">called </w:t>
      </w:r>
      <w:r w:rsidR="00E163B5">
        <w:rPr>
          <w:snapToGrid w:val="0"/>
        </w:rPr>
        <w:t xml:space="preserve">AERCOARE, </w:t>
      </w:r>
      <w:r w:rsidR="00146154">
        <w:rPr>
          <w:snapToGrid w:val="0"/>
        </w:rPr>
        <w:t xml:space="preserve">for processing overwater meteorological data.  The intent is to </w:t>
      </w:r>
      <w:r w:rsidR="00E163B5">
        <w:rPr>
          <w:snapToGrid w:val="0"/>
        </w:rPr>
        <w:t xml:space="preserve">someday replace </w:t>
      </w:r>
      <w:r w:rsidR="00146154">
        <w:rPr>
          <w:snapToGrid w:val="0"/>
        </w:rPr>
        <w:t xml:space="preserve">the antiquated </w:t>
      </w:r>
      <w:r w:rsidR="00E163B5">
        <w:rPr>
          <w:snapToGrid w:val="0"/>
        </w:rPr>
        <w:t xml:space="preserve">OCD </w:t>
      </w:r>
      <w:r w:rsidR="00146154">
        <w:rPr>
          <w:snapToGrid w:val="0"/>
        </w:rPr>
        <w:t xml:space="preserve">model </w:t>
      </w:r>
      <w:r w:rsidR="00FF613C">
        <w:rPr>
          <w:snapToGrid w:val="0"/>
        </w:rPr>
        <w:t>with AERMOD</w:t>
      </w:r>
      <w:r w:rsidR="00E163B5">
        <w:rPr>
          <w:snapToGrid w:val="0"/>
        </w:rPr>
        <w:t>.</w:t>
      </w:r>
      <w:r w:rsidR="002D34DB">
        <w:rPr>
          <w:rStyle w:val="FootnoteReference"/>
          <w:snapToGrid w:val="0"/>
        </w:rPr>
        <w:footnoteReference w:id="20"/>
      </w:r>
      <w:r w:rsidR="00E163B5">
        <w:rPr>
          <w:snapToGrid w:val="0"/>
        </w:rPr>
        <w:t xml:space="preserve">  </w:t>
      </w:r>
      <w:r w:rsidR="007A41F1">
        <w:rPr>
          <w:snapToGrid w:val="0"/>
        </w:rPr>
        <w:t xml:space="preserve">In the </w:t>
      </w:r>
      <w:proofErr w:type="gramStart"/>
      <w:r w:rsidR="007A41F1">
        <w:rPr>
          <w:snapToGrid w:val="0"/>
        </w:rPr>
        <w:t>mean-time</w:t>
      </w:r>
      <w:proofErr w:type="gramEnd"/>
      <w:r w:rsidR="007A41F1">
        <w:rPr>
          <w:snapToGrid w:val="0"/>
        </w:rPr>
        <w:t xml:space="preserve">, applicants </w:t>
      </w:r>
      <w:r w:rsidR="008D554C">
        <w:rPr>
          <w:snapToGrid w:val="0"/>
        </w:rPr>
        <w:t>may request</w:t>
      </w:r>
      <w:r w:rsidR="007A41F1">
        <w:rPr>
          <w:snapToGrid w:val="0"/>
        </w:rPr>
        <w:t xml:space="preserve"> case-specific approval to use AERCOARE with AERMOD under the alternative modeling </w:t>
      </w:r>
      <w:r w:rsidR="008D554C">
        <w:rPr>
          <w:snapToGrid w:val="0"/>
        </w:rPr>
        <w:t>provision in 18</w:t>
      </w:r>
      <w:r w:rsidR="008D554C" w:rsidRPr="008D4BE3">
        <w:t> </w:t>
      </w:r>
      <w:r w:rsidR="008D554C">
        <w:rPr>
          <w:snapToGrid w:val="0"/>
        </w:rPr>
        <w:t>AAC</w:t>
      </w:r>
      <w:r w:rsidR="008D554C" w:rsidRPr="008D4BE3">
        <w:t> </w:t>
      </w:r>
      <w:r w:rsidR="008D554C">
        <w:rPr>
          <w:snapToGrid w:val="0"/>
        </w:rPr>
        <w:t>50.215(c)</w:t>
      </w:r>
      <w:r w:rsidR="00E163B5">
        <w:rPr>
          <w:snapToGrid w:val="0"/>
        </w:rPr>
        <w:t>.</w:t>
      </w:r>
      <w:r w:rsidR="007A41F1">
        <w:rPr>
          <w:rStyle w:val="FootnoteReference"/>
          <w:snapToGrid w:val="0"/>
        </w:rPr>
        <w:footnoteReference w:id="21"/>
      </w:r>
      <w:r w:rsidR="00E163B5">
        <w:rPr>
          <w:snapToGrid w:val="0"/>
        </w:rPr>
        <w:t xml:space="preserve"> </w:t>
      </w:r>
    </w:p>
    <w:p w14:paraId="3DA77289" w14:textId="5BE1D8A5" w:rsidR="00BB263B" w:rsidRDefault="00BB263B" w:rsidP="00BA1639">
      <w:pPr>
        <w:pStyle w:val="Heading4"/>
        <w:rPr>
          <w:snapToGrid w:val="0"/>
        </w:rPr>
      </w:pPr>
      <w:bookmarkStart w:id="48" w:name="_Toc526778227"/>
      <w:r>
        <w:rPr>
          <w:snapToGrid w:val="0"/>
        </w:rPr>
        <w:t>VISCREEN</w:t>
      </w:r>
      <w:bookmarkEnd w:id="48"/>
    </w:p>
    <w:p w14:paraId="22D8F3E6" w14:textId="21940CE6" w:rsidR="009A01E5" w:rsidRDefault="009A01E5">
      <w:pPr>
        <w:rPr>
          <w:snapToGrid w:val="0"/>
        </w:rPr>
      </w:pPr>
      <w:r>
        <w:rPr>
          <w:snapToGrid w:val="0"/>
        </w:rPr>
        <w:t>The Plume Visual Impact Screening Model (</w:t>
      </w:r>
      <w:r w:rsidRPr="00D57B84">
        <w:rPr>
          <w:snapToGrid w:val="0"/>
        </w:rPr>
        <w:t>VISCREEN</w:t>
      </w:r>
      <w:r>
        <w:rPr>
          <w:snapToGrid w:val="0"/>
        </w:rPr>
        <w:t>)</w:t>
      </w:r>
      <w:r>
        <w:rPr>
          <w:rStyle w:val="FootnoteReference"/>
          <w:snapToGrid w:val="0"/>
        </w:rPr>
        <w:footnoteReference w:id="22"/>
      </w:r>
      <w:r>
        <w:rPr>
          <w:snapToGrid w:val="0"/>
        </w:rPr>
        <w:t xml:space="preserve"> is used to assess plume coloration and contrast (referred to as plume blight), but not regional haze.  It can model</w:t>
      </w:r>
      <w:r w:rsidR="003714FA">
        <w:rPr>
          <w:snapToGrid w:val="0"/>
        </w:rPr>
        <w:t xml:space="preserve"> </w:t>
      </w:r>
      <w:r>
        <w:rPr>
          <w:snapToGrid w:val="0"/>
        </w:rPr>
        <w:t xml:space="preserve">plume blight from an individual emission point, for both forward and backscattering viewing situations against a sky and terrain background.  It calculates plume blight for a user-defined meteorological condition.  Typically, the model is run with worst-case short-term emission rates because the visibility guidelines do not have specified averaging periods.  VISCREEN may be run at one of two levels of refinement: Level 1 and Level 2.  In a Level 1 analysis (the default case), VISCREEN uses the </w:t>
      </w:r>
      <w:proofErr w:type="gramStart"/>
      <w:r>
        <w:rPr>
          <w:snapToGrid w:val="0"/>
        </w:rPr>
        <w:t>absolutely worst-case</w:t>
      </w:r>
      <w:proofErr w:type="gramEnd"/>
      <w:r>
        <w:rPr>
          <w:snapToGrid w:val="0"/>
        </w:rPr>
        <w:t xml:space="preserve"> stability class (F) and wind speed (1 m</w:t>
      </w:r>
      <w:r w:rsidR="00140D61">
        <w:rPr>
          <w:snapToGrid w:val="0"/>
        </w:rPr>
        <w:t>eter</w:t>
      </w:r>
      <w:r>
        <w:rPr>
          <w:snapToGrid w:val="0"/>
        </w:rPr>
        <w:t xml:space="preserve">/sec). </w:t>
      </w:r>
      <w:r w:rsidR="00FD5EEC">
        <w:rPr>
          <w:snapToGrid w:val="0"/>
        </w:rPr>
        <w:t xml:space="preserve"> </w:t>
      </w:r>
      <w:r>
        <w:rPr>
          <w:snapToGrid w:val="0"/>
        </w:rPr>
        <w:t>In the Level 2 analysis, the modeler enters the actual worst-case meteorological conditions obtained from local (representative) hourly meteorological data.  The modeler may also modify the plume particle size and density to account for more representative conditions.</w:t>
      </w:r>
    </w:p>
    <w:p w14:paraId="02411AD8" w14:textId="16AF8F56" w:rsidR="00BB263B" w:rsidRDefault="00BB263B" w:rsidP="00BA1639">
      <w:pPr>
        <w:pStyle w:val="Heading4"/>
      </w:pPr>
      <w:bookmarkStart w:id="49" w:name="_Toc526778228"/>
      <w:r>
        <w:t>CALPUFF</w:t>
      </w:r>
      <w:bookmarkEnd w:id="49"/>
    </w:p>
    <w:p w14:paraId="6E14BA11" w14:textId="72B3F175" w:rsidR="0025204C" w:rsidRDefault="009A01E5" w:rsidP="00080945">
      <w:pPr>
        <w:spacing w:after="120"/>
        <w:rPr>
          <w:snapToGrid w:val="0"/>
        </w:rPr>
      </w:pPr>
      <w:hyperlink r:id="rId51" w:history="1">
        <w:r w:rsidRPr="00881460">
          <w:rPr>
            <w:rStyle w:val="Hyperlink"/>
            <w:snapToGrid w:val="0"/>
          </w:rPr>
          <w:t>CALPUFF</w:t>
        </w:r>
      </w:hyperlink>
      <w:r w:rsidR="00881460">
        <w:rPr>
          <w:snapToGrid w:val="0"/>
        </w:rPr>
        <w:t xml:space="preserve"> </w:t>
      </w:r>
      <w:r w:rsidR="009C188E">
        <w:rPr>
          <w:rStyle w:val="FootnoteReference"/>
        </w:rPr>
        <w:footnoteReference w:id="23"/>
      </w:r>
      <w:r>
        <w:rPr>
          <w:snapToGrid w:val="0"/>
        </w:rPr>
        <w:t xml:space="preserve"> may </w:t>
      </w:r>
      <w:r w:rsidR="000B6D11">
        <w:rPr>
          <w:snapToGrid w:val="0"/>
        </w:rPr>
        <w:t xml:space="preserve">potentially </w:t>
      </w:r>
      <w:r>
        <w:rPr>
          <w:snapToGrid w:val="0"/>
        </w:rPr>
        <w:t>be used to quantify pollutant concentrations, regional haze, and acid deposition impacts.  CALPUFF incorporates more sophisticated model physics</w:t>
      </w:r>
      <w:r w:rsidR="00A858C7">
        <w:rPr>
          <w:snapToGrid w:val="0"/>
        </w:rPr>
        <w:t xml:space="preserve"> and chemistry</w:t>
      </w:r>
      <w:r>
        <w:rPr>
          <w:snapToGrid w:val="0"/>
        </w:rPr>
        <w:t xml:space="preserve"> than </w:t>
      </w:r>
      <w:proofErr w:type="gramStart"/>
      <w:r w:rsidR="009F5D03">
        <w:rPr>
          <w:snapToGrid w:val="0"/>
        </w:rPr>
        <w:t>AERMOD</w:t>
      </w:r>
      <w:r>
        <w:rPr>
          <w:snapToGrid w:val="0"/>
        </w:rPr>
        <w:t>, but</w:t>
      </w:r>
      <w:proofErr w:type="gramEnd"/>
      <w:r>
        <w:rPr>
          <w:snapToGrid w:val="0"/>
        </w:rPr>
        <w:t xml:space="preserve"> also requires more extensive input data.  Therefore, use of a model protocol for CALPUFF is highly recommended.  </w:t>
      </w:r>
    </w:p>
    <w:p w14:paraId="7811844F" w14:textId="4051EAEF" w:rsidR="00E25D9E" w:rsidRDefault="009A01E5" w:rsidP="00080945">
      <w:pPr>
        <w:spacing w:after="120"/>
        <w:rPr>
          <w:snapToGrid w:val="0"/>
        </w:rPr>
      </w:pPr>
      <w:r>
        <w:rPr>
          <w:snapToGrid w:val="0"/>
        </w:rPr>
        <w:t xml:space="preserve">CALPUFF </w:t>
      </w:r>
      <w:r w:rsidR="000B6D11">
        <w:rPr>
          <w:snapToGrid w:val="0"/>
        </w:rPr>
        <w:t xml:space="preserve">has historically been </w:t>
      </w:r>
      <w:r>
        <w:rPr>
          <w:snapToGrid w:val="0"/>
        </w:rPr>
        <w:t xml:space="preserve">used to assess </w:t>
      </w:r>
      <w:r w:rsidR="000B6D11">
        <w:rPr>
          <w:snapToGrid w:val="0"/>
        </w:rPr>
        <w:t xml:space="preserve">the </w:t>
      </w:r>
      <w:proofErr w:type="gramStart"/>
      <w:r w:rsidR="000B6D11">
        <w:rPr>
          <w:snapToGrid w:val="0"/>
        </w:rPr>
        <w:t>Long Range</w:t>
      </w:r>
      <w:proofErr w:type="gramEnd"/>
      <w:r w:rsidR="000B6D11">
        <w:rPr>
          <w:snapToGrid w:val="0"/>
        </w:rPr>
        <w:t xml:space="preserve"> Transport (LRT) </w:t>
      </w:r>
      <w:r>
        <w:rPr>
          <w:snapToGrid w:val="0"/>
        </w:rPr>
        <w:t xml:space="preserve">impacts </w:t>
      </w:r>
      <w:proofErr w:type="gramStart"/>
      <w:r>
        <w:rPr>
          <w:snapToGrid w:val="0"/>
        </w:rPr>
        <w:t>at</w:t>
      </w:r>
      <w:proofErr w:type="gramEnd"/>
      <w:r>
        <w:rPr>
          <w:snapToGrid w:val="0"/>
        </w:rPr>
        <w:t xml:space="preserve"> Class I areas</w:t>
      </w:r>
      <w:r w:rsidR="000B6D11">
        <w:rPr>
          <w:snapToGrid w:val="0"/>
        </w:rPr>
        <w:t xml:space="preserve"> (i.e., at distances greater than 50 km from the </w:t>
      </w:r>
      <w:r w:rsidR="006C10D9">
        <w:rPr>
          <w:snapToGrid w:val="0"/>
        </w:rPr>
        <w:t xml:space="preserve">applicant’s stationary </w:t>
      </w:r>
      <w:r w:rsidR="000B6D11">
        <w:rPr>
          <w:snapToGrid w:val="0"/>
        </w:rPr>
        <w:t>source)</w:t>
      </w:r>
      <w:r>
        <w:rPr>
          <w:snapToGrid w:val="0"/>
        </w:rPr>
        <w:t xml:space="preserve">. </w:t>
      </w:r>
      <w:r w:rsidR="000B6D11">
        <w:rPr>
          <w:snapToGrid w:val="0"/>
        </w:rPr>
        <w:t xml:space="preserve"> </w:t>
      </w:r>
      <w:r w:rsidR="0025204C">
        <w:rPr>
          <w:snapToGrid w:val="0"/>
        </w:rPr>
        <w:t xml:space="preserve">However, EPA downgraded the status </w:t>
      </w:r>
      <w:r w:rsidR="006C10D9">
        <w:rPr>
          <w:snapToGrid w:val="0"/>
        </w:rPr>
        <w:t xml:space="preserve">of CALPUFF </w:t>
      </w:r>
      <w:r w:rsidR="0025204C">
        <w:rPr>
          <w:snapToGrid w:val="0"/>
        </w:rPr>
        <w:t xml:space="preserve">in the 2016 revision to the </w:t>
      </w:r>
      <w:r w:rsidR="0025204C">
        <w:rPr>
          <w:snapToGrid w:val="0"/>
        </w:rPr>
        <w:lastRenderedPageBreak/>
        <w:t xml:space="preserve">Guideline.  It may still be used as a screening </w:t>
      </w:r>
      <w:r w:rsidR="006C10D9">
        <w:rPr>
          <w:snapToGrid w:val="0"/>
        </w:rPr>
        <w:t xml:space="preserve">technique for estimating </w:t>
      </w:r>
      <w:proofErr w:type="gramStart"/>
      <w:r w:rsidR="006C10D9">
        <w:rPr>
          <w:snapToGrid w:val="0"/>
        </w:rPr>
        <w:t>the project</w:t>
      </w:r>
      <w:proofErr w:type="gramEnd"/>
      <w:r w:rsidR="006C10D9">
        <w:rPr>
          <w:snapToGrid w:val="0"/>
        </w:rPr>
        <w:t xml:space="preserve"> impacts in a LRT</w:t>
      </w:r>
      <w:r w:rsidR="0025204C">
        <w:rPr>
          <w:snapToGrid w:val="0"/>
        </w:rPr>
        <w:t xml:space="preserve"> analysis, but it now requires approval as an alternative modeling technique if used in </w:t>
      </w:r>
      <w:proofErr w:type="gramStart"/>
      <w:r w:rsidR="0025204C">
        <w:rPr>
          <w:snapToGrid w:val="0"/>
        </w:rPr>
        <w:t>a cumulative</w:t>
      </w:r>
      <w:proofErr w:type="gramEnd"/>
      <w:r w:rsidR="0025204C">
        <w:rPr>
          <w:snapToGrid w:val="0"/>
        </w:rPr>
        <w:t xml:space="preserve"> impact analysis.  </w:t>
      </w:r>
      <w:r w:rsidR="006C10D9">
        <w:rPr>
          <w:snapToGrid w:val="0"/>
        </w:rPr>
        <w:t>CALPUFF may also be used to assess AQRVs</w:t>
      </w:r>
      <w:r w:rsidR="00AD1F45">
        <w:rPr>
          <w:snapToGrid w:val="0"/>
        </w:rPr>
        <w:t>,</w:t>
      </w:r>
      <w:r w:rsidR="006C10D9">
        <w:rPr>
          <w:snapToGrid w:val="0"/>
        </w:rPr>
        <w:t xml:space="preserve"> if </w:t>
      </w:r>
      <w:proofErr w:type="gramStart"/>
      <w:r w:rsidR="006C10D9">
        <w:rPr>
          <w:snapToGrid w:val="0"/>
        </w:rPr>
        <w:t>so</w:t>
      </w:r>
      <w:proofErr w:type="gramEnd"/>
      <w:r w:rsidR="006C10D9">
        <w:rPr>
          <w:snapToGrid w:val="0"/>
        </w:rPr>
        <w:t xml:space="preserve"> directed under FLM guidance. </w:t>
      </w:r>
    </w:p>
    <w:p w14:paraId="530DCF06" w14:textId="44B8B464" w:rsidR="00E25D9E" w:rsidRDefault="000058A0" w:rsidP="00191D7D">
      <w:pPr>
        <w:spacing w:after="120"/>
        <w:rPr>
          <w:snapToGrid w:val="0"/>
        </w:rPr>
      </w:pPr>
      <w:r>
        <w:rPr>
          <w:snapToGrid w:val="0"/>
          <w:lang w:val="it-IT"/>
        </w:rPr>
        <w:t xml:space="preserve">The CALPUFF Modeling System is managed by a private developer who periodically issues updates to the various components.  However, not all components are approved by EPA for regulatory use.  Check </w:t>
      </w:r>
      <w:r>
        <w:fldChar w:fldCharType="begin"/>
      </w:r>
      <w:r>
        <w:instrText>HYPERLINK "https://www.epa.gov/scram"</w:instrText>
      </w:r>
      <w:r>
        <w:fldChar w:fldCharType="separate"/>
      </w:r>
      <w:r w:rsidRPr="00B258DD">
        <w:rPr>
          <w:rStyle w:val="Hyperlink"/>
          <w:snapToGrid w:val="0"/>
          <w:lang w:val="it-IT"/>
        </w:rPr>
        <w:t>SCRAM</w:t>
      </w:r>
      <w:r>
        <w:fldChar w:fldCharType="end"/>
      </w:r>
      <w:r>
        <w:rPr>
          <w:snapToGrid w:val="0"/>
          <w:lang w:val="it-IT"/>
        </w:rPr>
        <w:t xml:space="preserve"> for the latest versions that have been accepted by EPA.</w:t>
      </w:r>
      <w:r w:rsidR="00E25D9E">
        <w:rPr>
          <w:snapToGrid w:val="0"/>
        </w:rPr>
        <w:br w:type="page"/>
      </w:r>
    </w:p>
    <w:p w14:paraId="53CBEAA0" w14:textId="77777777" w:rsidR="009A01E5" w:rsidRDefault="009A01E5" w:rsidP="00E25D9E">
      <w:pPr>
        <w:spacing w:after="0"/>
        <w:rPr>
          <w:snapToGrid w:val="0"/>
        </w:rPr>
      </w:pPr>
    </w:p>
    <w:p w14:paraId="50F4E6F9" w14:textId="77777777" w:rsidR="00E25D9E" w:rsidRDefault="00E25D9E" w:rsidP="00E25D9E">
      <w:pPr>
        <w:spacing w:after="0"/>
        <w:rPr>
          <w:snapToGrid w:val="0"/>
        </w:rPr>
      </w:pPr>
    </w:p>
    <w:p w14:paraId="5E4DB90B" w14:textId="77777777" w:rsidR="00E25D9E" w:rsidRDefault="00E25D9E" w:rsidP="00E25D9E">
      <w:pPr>
        <w:spacing w:after="0"/>
        <w:rPr>
          <w:snapToGrid w:val="0"/>
        </w:rPr>
      </w:pPr>
    </w:p>
    <w:p w14:paraId="66C0CBFC" w14:textId="77777777" w:rsidR="00E25D9E" w:rsidRDefault="00E25D9E" w:rsidP="00E25D9E">
      <w:pPr>
        <w:spacing w:after="0"/>
        <w:rPr>
          <w:snapToGrid w:val="0"/>
        </w:rPr>
      </w:pPr>
    </w:p>
    <w:p w14:paraId="0D5E7F75" w14:textId="77777777" w:rsidR="00E25D9E" w:rsidRDefault="00E25D9E" w:rsidP="00E25D9E">
      <w:pPr>
        <w:spacing w:after="0"/>
        <w:rPr>
          <w:snapToGrid w:val="0"/>
        </w:rPr>
      </w:pPr>
    </w:p>
    <w:p w14:paraId="7D4C571C" w14:textId="77777777" w:rsidR="00E25D9E" w:rsidRDefault="00E25D9E" w:rsidP="00E25D9E">
      <w:pPr>
        <w:spacing w:after="0"/>
        <w:rPr>
          <w:snapToGrid w:val="0"/>
        </w:rPr>
      </w:pPr>
    </w:p>
    <w:p w14:paraId="74B6C26F" w14:textId="77777777" w:rsidR="00E25D9E" w:rsidRDefault="00E25D9E" w:rsidP="00E25D9E">
      <w:pPr>
        <w:spacing w:after="0"/>
        <w:rPr>
          <w:snapToGrid w:val="0"/>
        </w:rPr>
      </w:pPr>
    </w:p>
    <w:p w14:paraId="224E0081" w14:textId="77777777" w:rsidR="00E25D9E" w:rsidRDefault="00E25D9E" w:rsidP="00E25D9E">
      <w:pPr>
        <w:spacing w:after="0"/>
        <w:rPr>
          <w:snapToGrid w:val="0"/>
        </w:rPr>
      </w:pPr>
    </w:p>
    <w:p w14:paraId="25762929" w14:textId="77777777" w:rsidR="00E25D9E" w:rsidRDefault="00E25D9E" w:rsidP="00E25D9E">
      <w:pPr>
        <w:spacing w:after="0"/>
        <w:rPr>
          <w:snapToGrid w:val="0"/>
        </w:rPr>
      </w:pPr>
    </w:p>
    <w:p w14:paraId="4115CAA2" w14:textId="77777777" w:rsidR="00E25D9E" w:rsidRDefault="00E25D9E" w:rsidP="00E25D9E">
      <w:pPr>
        <w:spacing w:after="0"/>
        <w:rPr>
          <w:snapToGrid w:val="0"/>
        </w:rPr>
      </w:pPr>
    </w:p>
    <w:p w14:paraId="7C0B804A" w14:textId="77777777" w:rsidR="00E25D9E" w:rsidRDefault="00E25D9E" w:rsidP="00E25D9E">
      <w:pPr>
        <w:spacing w:after="0"/>
        <w:rPr>
          <w:snapToGrid w:val="0"/>
        </w:rPr>
      </w:pPr>
    </w:p>
    <w:p w14:paraId="6045961C" w14:textId="77777777" w:rsidR="00E25D9E" w:rsidRDefault="00E25D9E" w:rsidP="00E25D9E">
      <w:pPr>
        <w:spacing w:after="0"/>
        <w:rPr>
          <w:snapToGrid w:val="0"/>
        </w:rPr>
      </w:pPr>
    </w:p>
    <w:p w14:paraId="689C9A7E" w14:textId="77777777" w:rsidR="00E25D9E" w:rsidRDefault="00E25D9E" w:rsidP="00E25D9E">
      <w:pPr>
        <w:spacing w:after="0"/>
        <w:jc w:val="center"/>
        <w:rPr>
          <w:snapToGrid w:val="0"/>
        </w:rPr>
      </w:pPr>
      <w:r>
        <w:rPr>
          <w:snapToGrid w:val="0"/>
        </w:rPr>
        <w:t>(This page intentionally left blank)</w:t>
      </w:r>
    </w:p>
    <w:p w14:paraId="5ADFCA4F" w14:textId="77777777" w:rsidR="00FA4387" w:rsidRDefault="00FA4387">
      <w:pPr>
        <w:rPr>
          <w:snapToGrid w:val="0"/>
        </w:rPr>
      </w:pPr>
    </w:p>
    <w:p w14:paraId="5661202D" w14:textId="77777777" w:rsidR="009A01E5" w:rsidRDefault="009A01E5">
      <w:pPr>
        <w:rPr>
          <w:snapToGrid w:val="0"/>
        </w:rPr>
        <w:sectPr w:rsidR="009A01E5" w:rsidSect="00134EF0">
          <w:footerReference w:type="default" r:id="rId52"/>
          <w:pgSz w:w="12240" w:h="15840"/>
          <w:pgMar w:top="720" w:right="1800" w:bottom="720" w:left="1800" w:header="720" w:footer="576" w:gutter="0"/>
          <w:pgNumType w:start="1"/>
          <w:cols w:space="720"/>
          <w:docGrid w:linePitch="326"/>
        </w:sectPr>
      </w:pPr>
    </w:p>
    <w:p w14:paraId="671C3244" w14:textId="77777777" w:rsidR="009A01E5" w:rsidRDefault="001578CE" w:rsidP="001D02EB">
      <w:pPr>
        <w:pStyle w:val="Heading2"/>
      </w:pPr>
      <w:bookmarkStart w:id="50" w:name="GeneralReviewProcedures"/>
      <w:bookmarkStart w:id="51" w:name="_Toc39892301"/>
      <w:bookmarkStart w:id="52" w:name="_Toc43521195"/>
      <w:r>
        <w:lastRenderedPageBreak/>
        <w:tab/>
      </w:r>
      <w:bookmarkStart w:id="53" w:name="_Toc526778229"/>
      <w:r w:rsidR="009A01E5">
        <w:t>General Procedures</w:t>
      </w:r>
      <w:bookmarkEnd w:id="50"/>
      <w:r w:rsidR="009A01E5">
        <w:t xml:space="preserve"> for the Modeling Review</w:t>
      </w:r>
      <w:bookmarkEnd w:id="51"/>
      <w:bookmarkEnd w:id="52"/>
      <w:bookmarkEnd w:id="53"/>
    </w:p>
    <w:p w14:paraId="3FC14554" w14:textId="6B7D042D" w:rsidR="009A01E5" w:rsidRDefault="009A01E5">
      <w:pPr>
        <w:rPr>
          <w:snapToGrid w:val="0"/>
        </w:rPr>
      </w:pPr>
      <w:r>
        <w:rPr>
          <w:snapToGrid w:val="0"/>
        </w:rPr>
        <w:t xml:space="preserve">The phases of the modeling review include </w:t>
      </w:r>
      <w:proofErr w:type="gramStart"/>
      <w:r>
        <w:rPr>
          <w:snapToGrid w:val="0"/>
        </w:rPr>
        <w:t>the completeness</w:t>
      </w:r>
      <w:proofErr w:type="gramEnd"/>
      <w:r>
        <w:rPr>
          <w:snapToGrid w:val="0"/>
        </w:rPr>
        <w:t xml:space="preserve"> determination, the technical review, and documenting the review via </w:t>
      </w:r>
      <w:r w:rsidR="00D93182">
        <w:rPr>
          <w:snapToGrid w:val="0"/>
        </w:rPr>
        <w:t xml:space="preserve">a </w:t>
      </w:r>
      <w:r w:rsidR="007E7D60">
        <w:rPr>
          <w:snapToGrid w:val="0"/>
        </w:rPr>
        <w:t>report</w:t>
      </w:r>
      <w:r>
        <w:rPr>
          <w:snapToGrid w:val="0"/>
        </w:rPr>
        <w:t xml:space="preserve">.  Each of these </w:t>
      </w:r>
      <w:proofErr w:type="gramStart"/>
      <w:r w:rsidR="00140D61">
        <w:rPr>
          <w:snapToGrid w:val="0"/>
        </w:rPr>
        <w:t>phases</w:t>
      </w:r>
      <w:proofErr w:type="gramEnd"/>
      <w:r w:rsidR="00140D61">
        <w:rPr>
          <w:snapToGrid w:val="0"/>
        </w:rPr>
        <w:t xml:space="preserve"> </w:t>
      </w:r>
      <w:r>
        <w:rPr>
          <w:snapToGrid w:val="0"/>
        </w:rPr>
        <w:t xml:space="preserve">is described below.  </w:t>
      </w:r>
    </w:p>
    <w:p w14:paraId="748D6D32" w14:textId="45F51030" w:rsidR="00080945" w:rsidRDefault="00822D22" w:rsidP="00822D22">
      <w:pPr>
        <w:rPr>
          <w:snapToGrid w:val="0"/>
        </w:rPr>
      </w:pPr>
      <w:r>
        <w:rPr>
          <w:snapToGrid w:val="0"/>
        </w:rPr>
        <w:t>ADEC has a legislative metric for issuing Title I permit decisions (minor and PSD)</w:t>
      </w:r>
      <w:r w:rsidR="00DC5092">
        <w:rPr>
          <w:snapToGrid w:val="0"/>
        </w:rPr>
        <w:t>.</w:t>
      </w:r>
      <w:r>
        <w:rPr>
          <w:snapToGrid w:val="0"/>
        </w:rPr>
        <w:t xml:space="preserve"> </w:t>
      </w:r>
      <w:r w:rsidR="00DC5092">
        <w:rPr>
          <w:snapToGrid w:val="0"/>
        </w:rPr>
        <w:t xml:space="preserve"> We</w:t>
      </w:r>
      <w:r w:rsidR="00230A1A">
        <w:rPr>
          <w:snapToGrid w:val="0"/>
        </w:rPr>
        <w:t xml:space="preserve"> a</w:t>
      </w:r>
      <w:r w:rsidR="00DC5092">
        <w:rPr>
          <w:snapToGrid w:val="0"/>
        </w:rPr>
        <w:t>re supposed to issue 95</w:t>
      </w:r>
      <w:r w:rsidR="00207146">
        <w:rPr>
          <w:snapToGrid w:val="0"/>
        </w:rPr>
        <w:t xml:space="preserve"> </w:t>
      </w:r>
      <w:r w:rsidR="00DC5092">
        <w:rPr>
          <w:snapToGrid w:val="0"/>
        </w:rPr>
        <w:t xml:space="preserve">percent of our final permit decisions </w:t>
      </w:r>
      <w:r>
        <w:rPr>
          <w:snapToGrid w:val="0"/>
        </w:rPr>
        <w:t>within 130 days of receiving a</w:t>
      </w:r>
      <w:r w:rsidR="00DC5092">
        <w:rPr>
          <w:snapToGrid w:val="0"/>
        </w:rPr>
        <w:t xml:space="preserve"> complete</w:t>
      </w:r>
      <w:r>
        <w:rPr>
          <w:snapToGrid w:val="0"/>
        </w:rPr>
        <w:t xml:space="preserve"> application.  </w:t>
      </w:r>
    </w:p>
    <w:p w14:paraId="70A31484" w14:textId="77777777" w:rsidR="00822D22" w:rsidRDefault="00DC5092" w:rsidP="00822D22">
      <w:pPr>
        <w:rPr>
          <w:snapToGrid w:val="0"/>
        </w:rPr>
      </w:pPr>
      <w:r>
        <w:rPr>
          <w:snapToGrid w:val="0"/>
        </w:rPr>
        <w:t>Upon receipt of an application</w:t>
      </w:r>
      <w:r w:rsidR="00822D22">
        <w:rPr>
          <w:snapToGrid w:val="0"/>
        </w:rPr>
        <w:t xml:space="preserve">, ADEC has 60 days </w:t>
      </w:r>
      <w:r>
        <w:rPr>
          <w:snapToGrid w:val="0"/>
        </w:rPr>
        <w:t xml:space="preserve">per </w:t>
      </w:r>
      <w:hyperlink r:id="rId53" w:history="1">
        <w:r w:rsidRPr="00DB4222">
          <w:rPr>
            <w:rStyle w:val="Hyperlink"/>
            <w:snapToGrid w:val="0"/>
          </w:rPr>
          <w:t>AS</w:t>
        </w:r>
        <w:r w:rsidRPr="00DB4222">
          <w:rPr>
            <w:rStyle w:val="Hyperlink"/>
          </w:rPr>
          <w:t> 46.14.160</w:t>
        </w:r>
      </w:hyperlink>
      <w:r>
        <w:t xml:space="preserve"> </w:t>
      </w:r>
      <w:r w:rsidR="00822D22">
        <w:rPr>
          <w:snapToGrid w:val="0"/>
        </w:rPr>
        <w:t>to notify the applicant if the application is incomplete and</w:t>
      </w:r>
      <w:r w:rsidR="00080945">
        <w:rPr>
          <w:snapToGrid w:val="0"/>
        </w:rPr>
        <w:t xml:space="preserve"> if so,</w:t>
      </w:r>
      <w:r w:rsidR="00822D22">
        <w:rPr>
          <w:snapToGrid w:val="0"/>
        </w:rPr>
        <w:t xml:space="preserve"> what information is missing.  If ADEC </w:t>
      </w:r>
      <w:r w:rsidR="00822D22" w:rsidRPr="000D7ED5">
        <w:rPr>
          <w:snapToGrid w:val="0"/>
          <w:u w:val="single"/>
        </w:rPr>
        <w:t>does not notify</w:t>
      </w:r>
      <w:r w:rsidR="00822D22">
        <w:rPr>
          <w:snapToGrid w:val="0"/>
        </w:rPr>
        <w:t xml:space="preserve"> the applicant within 60 days, the application is considered complete, leaving only 70 days to issue a </w:t>
      </w:r>
      <w:r>
        <w:rPr>
          <w:snapToGrid w:val="0"/>
        </w:rPr>
        <w:t xml:space="preserve">final </w:t>
      </w:r>
      <w:r w:rsidR="00822D22">
        <w:rPr>
          <w:snapToGrid w:val="0"/>
        </w:rPr>
        <w:t xml:space="preserve">decision.  If ADEC </w:t>
      </w:r>
      <w:r w:rsidR="00822D22" w:rsidRPr="000D7ED5">
        <w:rPr>
          <w:snapToGrid w:val="0"/>
          <w:u w:val="single"/>
        </w:rPr>
        <w:t>does notify</w:t>
      </w:r>
      <w:r w:rsidR="00822D22">
        <w:rPr>
          <w:snapToGrid w:val="0"/>
        </w:rPr>
        <w:t xml:space="preserve"> the applicant that the application is incomplete, once the missing information is provided by the applicant, the 130-day clock restarts.</w:t>
      </w:r>
    </w:p>
    <w:p w14:paraId="3B5707CF" w14:textId="77777777" w:rsidR="00822D22" w:rsidRDefault="00D93182" w:rsidP="00822D22">
      <w:pPr>
        <w:rPr>
          <w:snapToGrid w:val="0"/>
        </w:rPr>
      </w:pPr>
      <w:r>
        <w:rPr>
          <w:snapToGrid w:val="0"/>
        </w:rPr>
        <w:t>Since some time may pass between notifying the applicant of an incomplete application and receiving a response, n</w:t>
      </w:r>
      <w:r w:rsidR="00822D22">
        <w:rPr>
          <w:snapToGrid w:val="0"/>
        </w:rPr>
        <w:t>otes made during the completeness review may help you reacquaint yourself with the application once any missing information is provided.</w:t>
      </w:r>
    </w:p>
    <w:p w14:paraId="14D373C8" w14:textId="77777777" w:rsidR="00822D22" w:rsidRDefault="00822D22" w:rsidP="00822D22">
      <w:r>
        <w:t>ADEC can still ask for information from the applicant after an application is deemed complete – per AS 46.14.160(c) – but receipt of that inf</w:t>
      </w:r>
      <w:r w:rsidR="000D7F9A">
        <w:t xml:space="preserve">ormation does not reset the </w:t>
      </w:r>
      <w:proofErr w:type="gramStart"/>
      <w:r w:rsidR="000D7F9A">
        <w:t>130­</w:t>
      </w:r>
      <w:r>
        <w:t>day</w:t>
      </w:r>
      <w:proofErr w:type="gramEnd"/>
      <w:r>
        <w:t xml:space="preserve"> clock.  </w:t>
      </w:r>
    </w:p>
    <w:p w14:paraId="0F0D827F" w14:textId="77777777" w:rsidR="00157888" w:rsidRDefault="00945267" w:rsidP="00157888">
      <w:pPr>
        <w:rPr>
          <w:b/>
        </w:rPr>
      </w:pPr>
      <w:r>
        <w:t xml:space="preserve">Most Title I permit actions require a 30-day public comment period.   “Fast-track” minor permits do not – see </w:t>
      </w:r>
      <w:hyperlink r:id="rId54" w:history="1">
        <w:r w:rsidRPr="00DB4222">
          <w:rPr>
            <w:rStyle w:val="Hyperlink"/>
          </w:rPr>
          <w:t>18 AAC 50.542</w:t>
        </w:r>
      </w:hyperlink>
      <w:r>
        <w:t xml:space="preserve">(b).  The </w:t>
      </w:r>
      <w:r w:rsidR="00A92CA8">
        <w:t xml:space="preserve">public notice </w:t>
      </w:r>
      <w:r>
        <w:t>package includes the preliminary permit decision and support documents – such as ADEC’s justification for accepting or rejecting the ambient analysis.  ADEC</w:t>
      </w:r>
      <w:r w:rsidRPr="00157888">
        <w:t xml:space="preserve"> must issue a final construction/minor permit decision no more than 30 days after a comment period closes (per </w:t>
      </w:r>
      <w:hyperlink r:id="rId55" w:history="1">
        <w:r w:rsidRPr="00DB4222">
          <w:rPr>
            <w:rStyle w:val="Hyperlink"/>
          </w:rPr>
          <w:t>AS 46.14.170</w:t>
        </w:r>
      </w:hyperlink>
      <w:r w:rsidRPr="00157888">
        <w:t xml:space="preserve">). </w:t>
      </w:r>
      <w:r>
        <w:t xml:space="preserve">Therefore, </w:t>
      </w:r>
      <w:r w:rsidR="00157888">
        <w:t>ADEC</w:t>
      </w:r>
      <w:r w:rsidR="00157888" w:rsidRPr="00157888">
        <w:t xml:space="preserve"> </w:t>
      </w:r>
      <w:r>
        <w:t xml:space="preserve">must </w:t>
      </w:r>
      <w:r w:rsidR="00651E45">
        <w:t xml:space="preserve">either </w:t>
      </w:r>
      <w:r w:rsidR="00157888" w:rsidRPr="00157888">
        <w:t xml:space="preserve">make a preliminary decision within 70 days of receiving a complete </w:t>
      </w:r>
      <w:proofErr w:type="gramStart"/>
      <w:r w:rsidR="00284476">
        <w:t>a</w:t>
      </w:r>
      <w:r w:rsidR="00157888" w:rsidRPr="00157888">
        <w:t>pplication, or</w:t>
      </w:r>
      <w:proofErr w:type="gramEnd"/>
      <w:r w:rsidR="00157888" w:rsidRPr="00157888">
        <w:t xml:space="preserve"> not take the full 30 days to issue a final decision. </w:t>
      </w:r>
      <w:r w:rsidR="00157888" w:rsidRPr="00157888">
        <w:rPr>
          <w:b/>
        </w:rPr>
        <w:t xml:space="preserve"> </w:t>
      </w:r>
    </w:p>
    <w:p w14:paraId="1453F684" w14:textId="2634AF6A" w:rsidR="009A01E5" w:rsidRDefault="00FD7D8B">
      <w:pPr>
        <w:rPr>
          <w:snapToGrid w:val="0"/>
        </w:rPr>
      </w:pPr>
      <w:r>
        <w:rPr>
          <w:noProof/>
        </w:rPr>
        <mc:AlternateContent>
          <mc:Choice Requires="wps">
            <w:drawing>
              <wp:anchor distT="0" distB="0" distL="114300" distR="114300" simplePos="0" relativeHeight="251631104" behindDoc="0" locked="0" layoutInCell="1" allowOverlap="0" wp14:anchorId="1762430F" wp14:editId="1D634E4B">
                <wp:simplePos x="0" y="0"/>
                <wp:positionH relativeFrom="column">
                  <wp:posOffset>95250</wp:posOffset>
                </wp:positionH>
                <wp:positionV relativeFrom="paragraph">
                  <wp:posOffset>713105</wp:posOffset>
                </wp:positionV>
                <wp:extent cx="4914900" cy="1938655"/>
                <wp:effectExtent l="9525" t="15875" r="9525" b="17145"/>
                <wp:wrapTopAndBottom/>
                <wp:docPr id="95"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193865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61D5BC7B" w14:textId="77777777" w:rsidR="004830EA" w:rsidRPr="00134AF5" w:rsidRDefault="004830EA">
                            <w:pPr>
                              <w:rPr>
                                <w:rFonts w:ascii="Arial" w:hAnsi="Arial" w:cs="Arial"/>
                                <w:b/>
                                <w:i/>
                              </w:rPr>
                            </w:pPr>
                            <w:r w:rsidRPr="00134AF5">
                              <w:rPr>
                                <w:rFonts w:ascii="Arial" w:hAnsi="Arial" w:cs="Arial"/>
                                <w:b/>
                                <w:i/>
                                <w:u w:val="single"/>
                              </w:rPr>
                              <w:t>Key points</w:t>
                            </w:r>
                            <w:r w:rsidRPr="00134AF5">
                              <w:rPr>
                                <w:rFonts w:ascii="Arial" w:hAnsi="Arial" w:cs="Arial"/>
                                <w:b/>
                                <w:i/>
                              </w:rPr>
                              <w:t>:</w:t>
                            </w:r>
                          </w:p>
                          <w:p w14:paraId="5FAC96C5" w14:textId="77777777" w:rsidR="004830EA" w:rsidRPr="00822D22" w:rsidRDefault="004830EA" w:rsidP="00407F48">
                            <w:pPr>
                              <w:numPr>
                                <w:ilvl w:val="0"/>
                                <w:numId w:val="44"/>
                              </w:numPr>
                              <w:tabs>
                                <w:tab w:val="clear" w:pos="720"/>
                                <w:tab w:val="num" w:pos="360"/>
                              </w:tabs>
                              <w:spacing w:before="120" w:after="120"/>
                              <w:ind w:left="360"/>
                              <w:rPr>
                                <w:rFonts w:ascii="Arial" w:hAnsi="Arial" w:cs="Arial"/>
                                <w:b/>
                                <w:i/>
                                <w:snapToGrid w:val="0"/>
                              </w:rPr>
                            </w:pPr>
                            <w:r w:rsidRPr="00822D22">
                              <w:rPr>
                                <w:rFonts w:ascii="Arial" w:hAnsi="Arial" w:cs="Arial"/>
                                <w:b/>
                                <w:i/>
                              </w:rPr>
                              <w:t xml:space="preserve">Promptly check whether the applicant has submitted </w:t>
                            </w:r>
                            <w:proofErr w:type="gramStart"/>
                            <w:r w:rsidRPr="00822D22">
                              <w:rPr>
                                <w:rFonts w:ascii="Arial" w:hAnsi="Arial" w:cs="Arial"/>
                                <w:b/>
                                <w:i/>
                              </w:rPr>
                              <w:t>all of</w:t>
                            </w:r>
                            <w:proofErr w:type="gramEnd"/>
                            <w:r w:rsidRPr="00822D22">
                              <w:rPr>
                                <w:rFonts w:ascii="Arial" w:hAnsi="Arial" w:cs="Arial"/>
                                <w:b/>
                                <w:i/>
                              </w:rPr>
                              <w:t xml:space="preserve"> the required elements, prior to conducting a technical review</w:t>
                            </w:r>
                          </w:p>
                          <w:p w14:paraId="7B20E678" w14:textId="77777777" w:rsidR="004830EA" w:rsidRDefault="004830EA" w:rsidP="00407F48">
                            <w:pPr>
                              <w:numPr>
                                <w:ilvl w:val="0"/>
                                <w:numId w:val="44"/>
                              </w:numPr>
                              <w:tabs>
                                <w:tab w:val="clear" w:pos="720"/>
                                <w:tab w:val="num" w:pos="360"/>
                              </w:tabs>
                              <w:spacing w:before="120" w:after="120"/>
                              <w:ind w:left="360"/>
                              <w:rPr>
                                <w:rFonts w:ascii="Arial" w:hAnsi="Arial" w:cs="Arial"/>
                                <w:b/>
                                <w:i/>
                                <w:snapToGrid w:val="0"/>
                              </w:rPr>
                            </w:pPr>
                            <w:r w:rsidRPr="00134AF5">
                              <w:rPr>
                                <w:rFonts w:ascii="Arial" w:hAnsi="Arial" w:cs="Arial"/>
                                <w:b/>
                                <w:i/>
                                <w:snapToGrid w:val="0"/>
                              </w:rPr>
                              <w:t>Begin documentation at the onset of the project.</w:t>
                            </w:r>
                          </w:p>
                          <w:p w14:paraId="383680CE" w14:textId="2BDA0E91" w:rsidR="004830EA" w:rsidRPr="006A70BF" w:rsidRDefault="004830EA" w:rsidP="00407F48">
                            <w:pPr>
                              <w:numPr>
                                <w:ilvl w:val="0"/>
                                <w:numId w:val="43"/>
                              </w:numPr>
                              <w:rPr>
                                <w:rFonts w:ascii="Arial" w:hAnsi="Arial" w:cs="Arial"/>
                                <w:b/>
                                <w:i/>
                                <w:snapToGrid w:val="0"/>
                              </w:rPr>
                            </w:pPr>
                            <w:r w:rsidRPr="006A70BF">
                              <w:rPr>
                                <w:rFonts w:ascii="Arial" w:hAnsi="Arial" w:cs="Arial"/>
                                <w:b/>
                                <w:i/>
                                <w:snapToGrid w:val="0"/>
                              </w:rPr>
                              <w:t xml:space="preserve">If you are reviewing </w:t>
                            </w:r>
                            <w:r>
                              <w:rPr>
                                <w:rFonts w:ascii="Arial" w:hAnsi="Arial" w:cs="Arial"/>
                                <w:b/>
                                <w:i/>
                                <w:snapToGrid w:val="0"/>
                              </w:rPr>
                              <w:t>an ambient demonstration</w:t>
                            </w:r>
                            <w:r w:rsidRPr="006A70BF">
                              <w:rPr>
                                <w:rFonts w:ascii="Arial" w:hAnsi="Arial" w:cs="Arial"/>
                                <w:b/>
                                <w:i/>
                                <w:snapToGrid w:val="0"/>
                              </w:rPr>
                              <w:t xml:space="preserve">, begin preparing either a deficiency notice or a modeling review </w:t>
                            </w:r>
                            <w:r>
                              <w:rPr>
                                <w:rFonts w:ascii="Arial" w:hAnsi="Arial" w:cs="Arial"/>
                                <w:b/>
                                <w:i/>
                                <w:snapToGrid w:val="0"/>
                              </w:rPr>
                              <w:t>report</w:t>
                            </w:r>
                            <w:r w:rsidRPr="006A70BF">
                              <w:rPr>
                                <w:rFonts w:ascii="Arial" w:hAnsi="Arial" w:cs="Arial"/>
                                <w:b/>
                                <w:i/>
                                <w:snapToGrid w:val="0"/>
                              </w:rPr>
                              <w:t xml:space="preserve">.  </w:t>
                            </w:r>
                          </w:p>
                          <w:p w14:paraId="1DF83861" w14:textId="77777777" w:rsidR="004830EA" w:rsidRPr="00134AF5" w:rsidRDefault="004830EA" w:rsidP="006A70BF">
                            <w:pPr>
                              <w:spacing w:before="120" w:after="120"/>
                              <w:rPr>
                                <w:rFonts w:ascii="Arial" w:hAnsi="Arial" w:cs="Arial"/>
                                <w:b/>
                                <w:i/>
                                <w:snapToGrid w:val="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62430F" id="Rectangle 101" o:spid="_x0000_s1026" style="position:absolute;margin-left:7.5pt;margin-top:56.15pt;width:387pt;height:152.6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" o:allowoverlap="f" filled="f" fillcolor="black" strokeweight="1.5pt">
                <v:textbox>
                  <w:txbxContent>
                    <w:p w14:paraId="61D5BC7B" w14:textId="77777777" w:rsidR="004830EA" w:rsidRPr="00134AF5" w:rsidRDefault="004830EA">
                      <w:pPr>
                        <w:rPr>
                          <w:rFonts w:ascii="Arial" w:hAnsi="Arial" w:cs="Arial"/>
                          <w:b/>
                          <w:i/>
                        </w:rPr>
                      </w:pPr>
                      <w:r w:rsidRPr="00134AF5">
                        <w:rPr>
                          <w:rFonts w:ascii="Arial" w:hAnsi="Arial" w:cs="Arial"/>
                          <w:b/>
                          <w:i/>
                          <w:u w:val="single"/>
                        </w:rPr>
                        <w:t>Key points</w:t>
                      </w:r>
                      <w:r w:rsidRPr="00134AF5">
                        <w:rPr>
                          <w:rFonts w:ascii="Arial" w:hAnsi="Arial" w:cs="Arial"/>
                          <w:b/>
                          <w:i/>
                        </w:rPr>
                        <w:t>:</w:t>
                      </w:r>
                    </w:p>
                    <w:p w14:paraId="5FAC96C5" w14:textId="77777777" w:rsidR="004830EA" w:rsidRPr="00822D22" w:rsidRDefault="004830EA" w:rsidP="00407F48">
                      <w:pPr>
                        <w:numPr>
                          <w:ilvl w:val="0"/>
                          <w:numId w:val="44"/>
                        </w:numPr>
                        <w:tabs>
                          <w:tab w:val="clear" w:pos="720"/>
                          <w:tab w:val="num" w:pos="360"/>
                        </w:tabs>
                        <w:spacing w:before="120" w:after="120"/>
                        <w:ind w:left="360"/>
                        <w:rPr>
                          <w:rFonts w:ascii="Arial" w:hAnsi="Arial" w:cs="Arial"/>
                          <w:b/>
                          <w:i/>
                          <w:snapToGrid w:val="0"/>
                        </w:rPr>
                      </w:pPr>
                      <w:r w:rsidRPr="00822D22">
                        <w:rPr>
                          <w:rFonts w:ascii="Arial" w:hAnsi="Arial" w:cs="Arial"/>
                          <w:b/>
                          <w:i/>
                        </w:rPr>
                        <w:t xml:space="preserve">Promptly check whether the applicant has submitted </w:t>
                      </w:r>
                      <w:proofErr w:type="gramStart"/>
                      <w:r w:rsidRPr="00822D22">
                        <w:rPr>
                          <w:rFonts w:ascii="Arial" w:hAnsi="Arial" w:cs="Arial"/>
                          <w:b/>
                          <w:i/>
                        </w:rPr>
                        <w:t>all of</w:t>
                      </w:r>
                      <w:proofErr w:type="gramEnd"/>
                      <w:r w:rsidRPr="00822D22">
                        <w:rPr>
                          <w:rFonts w:ascii="Arial" w:hAnsi="Arial" w:cs="Arial"/>
                          <w:b/>
                          <w:i/>
                        </w:rPr>
                        <w:t xml:space="preserve"> the required elements, prior to conducting a technical review</w:t>
                      </w:r>
                    </w:p>
                    <w:p w14:paraId="7B20E678" w14:textId="77777777" w:rsidR="004830EA" w:rsidRDefault="004830EA" w:rsidP="00407F48">
                      <w:pPr>
                        <w:numPr>
                          <w:ilvl w:val="0"/>
                          <w:numId w:val="44"/>
                        </w:numPr>
                        <w:tabs>
                          <w:tab w:val="clear" w:pos="720"/>
                          <w:tab w:val="num" w:pos="360"/>
                        </w:tabs>
                        <w:spacing w:before="120" w:after="120"/>
                        <w:ind w:left="360"/>
                        <w:rPr>
                          <w:rFonts w:ascii="Arial" w:hAnsi="Arial" w:cs="Arial"/>
                          <w:b/>
                          <w:i/>
                          <w:snapToGrid w:val="0"/>
                        </w:rPr>
                      </w:pPr>
                      <w:r w:rsidRPr="00134AF5">
                        <w:rPr>
                          <w:rFonts w:ascii="Arial" w:hAnsi="Arial" w:cs="Arial"/>
                          <w:b/>
                          <w:i/>
                          <w:snapToGrid w:val="0"/>
                        </w:rPr>
                        <w:t>Begin documentation at the onset of the project.</w:t>
                      </w:r>
                    </w:p>
                    <w:p w14:paraId="383680CE" w14:textId="2BDA0E91" w:rsidR="004830EA" w:rsidRPr="006A70BF" w:rsidRDefault="004830EA" w:rsidP="00407F48">
                      <w:pPr>
                        <w:numPr>
                          <w:ilvl w:val="0"/>
                          <w:numId w:val="43"/>
                        </w:numPr>
                        <w:rPr>
                          <w:rFonts w:ascii="Arial" w:hAnsi="Arial" w:cs="Arial"/>
                          <w:b/>
                          <w:i/>
                          <w:snapToGrid w:val="0"/>
                        </w:rPr>
                      </w:pPr>
                      <w:r w:rsidRPr="006A70BF">
                        <w:rPr>
                          <w:rFonts w:ascii="Arial" w:hAnsi="Arial" w:cs="Arial"/>
                          <w:b/>
                          <w:i/>
                          <w:snapToGrid w:val="0"/>
                        </w:rPr>
                        <w:t xml:space="preserve">If you are reviewing </w:t>
                      </w:r>
                      <w:r>
                        <w:rPr>
                          <w:rFonts w:ascii="Arial" w:hAnsi="Arial" w:cs="Arial"/>
                          <w:b/>
                          <w:i/>
                          <w:snapToGrid w:val="0"/>
                        </w:rPr>
                        <w:t>an ambient demonstration</w:t>
                      </w:r>
                      <w:r w:rsidRPr="006A70BF">
                        <w:rPr>
                          <w:rFonts w:ascii="Arial" w:hAnsi="Arial" w:cs="Arial"/>
                          <w:b/>
                          <w:i/>
                          <w:snapToGrid w:val="0"/>
                        </w:rPr>
                        <w:t xml:space="preserve">, begin preparing either a deficiency notice or a modeling review </w:t>
                      </w:r>
                      <w:r>
                        <w:rPr>
                          <w:rFonts w:ascii="Arial" w:hAnsi="Arial" w:cs="Arial"/>
                          <w:b/>
                          <w:i/>
                          <w:snapToGrid w:val="0"/>
                        </w:rPr>
                        <w:t>report</w:t>
                      </w:r>
                      <w:r w:rsidRPr="006A70BF">
                        <w:rPr>
                          <w:rFonts w:ascii="Arial" w:hAnsi="Arial" w:cs="Arial"/>
                          <w:b/>
                          <w:i/>
                          <w:snapToGrid w:val="0"/>
                        </w:rPr>
                        <w:t xml:space="preserve">.  </w:t>
                      </w:r>
                    </w:p>
                    <w:p w14:paraId="1DF83861" w14:textId="77777777" w:rsidR="004830EA" w:rsidRPr="00134AF5" w:rsidRDefault="004830EA" w:rsidP="006A70BF">
                      <w:pPr>
                        <w:spacing w:before="120" w:after="120"/>
                        <w:rPr>
                          <w:rFonts w:ascii="Arial" w:hAnsi="Arial" w:cs="Arial"/>
                          <w:b/>
                          <w:i/>
                          <w:snapToGrid w:val="0"/>
                        </w:rPr>
                      </w:pPr>
                    </w:p>
                  </w:txbxContent>
                </v:textbox>
                <w10:wrap type="topAndBottom"/>
              </v:rect>
            </w:pict>
          </mc:Fallback>
        </mc:AlternateContent>
      </w:r>
      <w:r w:rsidR="00822D22">
        <w:rPr>
          <w:snapToGrid w:val="0"/>
        </w:rPr>
        <w:t>Since t</w:t>
      </w:r>
      <w:r w:rsidR="009A01E5">
        <w:rPr>
          <w:snapToGrid w:val="0"/>
        </w:rPr>
        <w:t xml:space="preserve">he modeling review </w:t>
      </w:r>
      <w:r w:rsidR="007E7D60">
        <w:rPr>
          <w:snapToGrid w:val="0"/>
        </w:rPr>
        <w:t>report</w:t>
      </w:r>
      <w:r w:rsidR="009A01E5">
        <w:rPr>
          <w:snapToGrid w:val="0"/>
        </w:rPr>
        <w:t xml:space="preserve"> is the ultimate work product associated with </w:t>
      </w:r>
      <w:r w:rsidR="00A265E1">
        <w:rPr>
          <w:snapToGrid w:val="0"/>
        </w:rPr>
        <w:t xml:space="preserve">ADEC’s </w:t>
      </w:r>
      <w:r w:rsidR="009A01E5">
        <w:rPr>
          <w:snapToGrid w:val="0"/>
        </w:rPr>
        <w:t>review</w:t>
      </w:r>
      <w:r w:rsidR="00A265E1">
        <w:rPr>
          <w:snapToGrid w:val="0"/>
        </w:rPr>
        <w:t xml:space="preserve"> of an ambient demonstration</w:t>
      </w:r>
      <w:r w:rsidR="009A01E5">
        <w:rPr>
          <w:snapToGrid w:val="0"/>
        </w:rPr>
        <w:t xml:space="preserve">, </w:t>
      </w:r>
      <w:r w:rsidR="007E7D60">
        <w:rPr>
          <w:snapToGrid w:val="0"/>
        </w:rPr>
        <w:t xml:space="preserve">APP encourages its staff to </w:t>
      </w:r>
      <w:r w:rsidR="009A01E5">
        <w:rPr>
          <w:snapToGrid w:val="0"/>
        </w:rPr>
        <w:t xml:space="preserve">begin writing </w:t>
      </w:r>
      <w:r w:rsidR="007E7D60">
        <w:rPr>
          <w:snapToGrid w:val="0"/>
        </w:rPr>
        <w:t xml:space="preserve">their </w:t>
      </w:r>
      <w:r w:rsidR="00F30425">
        <w:rPr>
          <w:snapToGrid w:val="0"/>
        </w:rPr>
        <w:t>findings</w:t>
      </w:r>
      <w:r w:rsidR="009A01E5">
        <w:rPr>
          <w:snapToGrid w:val="0"/>
        </w:rPr>
        <w:t xml:space="preserve"> at the onset of the review.  </w:t>
      </w:r>
    </w:p>
    <w:p w14:paraId="7424D827" w14:textId="5775E636" w:rsidR="00B62FE7" w:rsidRDefault="00B62FE7" w:rsidP="00B62FE7">
      <w:pPr>
        <w:rPr>
          <w:snapToGrid w:val="0"/>
        </w:rPr>
      </w:pPr>
      <w:r>
        <w:rPr>
          <w:snapToGrid w:val="0"/>
        </w:rPr>
        <w:lastRenderedPageBreak/>
        <w:t xml:space="preserve">A modeling protocol is not </w:t>
      </w:r>
      <w:r w:rsidR="002220A2">
        <w:rPr>
          <w:snapToGrid w:val="0"/>
        </w:rPr>
        <w:t xml:space="preserve">generally </w:t>
      </w:r>
      <w:r>
        <w:rPr>
          <w:snapToGrid w:val="0"/>
        </w:rPr>
        <w:t>required by ADEC</w:t>
      </w:r>
      <w:r w:rsidR="00097E09">
        <w:rPr>
          <w:snapToGrid w:val="0"/>
        </w:rPr>
        <w:t xml:space="preserve">, but they are recommended by both ADEC and EPA (e.g., see Section 9.2.1 of the </w:t>
      </w:r>
      <w:r w:rsidR="00097E09" w:rsidRPr="00196955">
        <w:rPr>
          <w:snapToGrid w:val="0"/>
        </w:rPr>
        <w:t>Guideline</w:t>
      </w:r>
      <w:r w:rsidR="00097E09" w:rsidRPr="00097E09">
        <w:rPr>
          <w:i/>
          <w:snapToGrid w:val="0"/>
        </w:rPr>
        <w:t>)</w:t>
      </w:r>
      <w:r>
        <w:rPr>
          <w:snapToGrid w:val="0"/>
        </w:rPr>
        <w:t xml:space="preserve">.  </w:t>
      </w:r>
      <w:r w:rsidR="00CD047C">
        <w:rPr>
          <w:snapToGrid w:val="0"/>
        </w:rPr>
        <w:t xml:space="preserve">They </w:t>
      </w:r>
      <w:r w:rsidR="00097E09">
        <w:rPr>
          <w:snapToGrid w:val="0"/>
        </w:rPr>
        <w:t xml:space="preserve">can be </w:t>
      </w:r>
      <w:r>
        <w:rPr>
          <w:snapToGrid w:val="0"/>
        </w:rPr>
        <w:t>valuable tool</w:t>
      </w:r>
      <w:r w:rsidR="00CD047C">
        <w:rPr>
          <w:snapToGrid w:val="0"/>
        </w:rPr>
        <w:t>s for</w:t>
      </w:r>
      <w:r>
        <w:rPr>
          <w:snapToGrid w:val="0"/>
        </w:rPr>
        <w:t xml:space="preserve"> identifying and resolving potential areas of concern early in the process</w:t>
      </w:r>
      <w:r w:rsidR="007B57EB">
        <w:rPr>
          <w:snapToGrid w:val="0"/>
        </w:rPr>
        <w:t>,</w:t>
      </w:r>
      <w:r>
        <w:rPr>
          <w:snapToGrid w:val="0"/>
        </w:rPr>
        <w:t xml:space="preserve"> as well as assist</w:t>
      </w:r>
      <w:r w:rsidR="00FD5EEC">
        <w:rPr>
          <w:snapToGrid w:val="0"/>
        </w:rPr>
        <w:t>ing</w:t>
      </w:r>
      <w:r>
        <w:rPr>
          <w:snapToGrid w:val="0"/>
        </w:rPr>
        <w:t xml:space="preserve"> the applicant in preparing </w:t>
      </w:r>
      <w:r w:rsidR="00CD047C">
        <w:rPr>
          <w:snapToGrid w:val="0"/>
        </w:rPr>
        <w:t xml:space="preserve">a </w:t>
      </w:r>
      <w:r>
        <w:rPr>
          <w:snapToGrid w:val="0"/>
        </w:rPr>
        <w:t xml:space="preserve">modeling </w:t>
      </w:r>
      <w:r w:rsidR="00FA4387">
        <w:rPr>
          <w:snapToGrid w:val="0"/>
        </w:rPr>
        <w:t>analysis</w:t>
      </w:r>
      <w:r w:rsidR="00CD047C">
        <w:rPr>
          <w:snapToGrid w:val="0"/>
        </w:rPr>
        <w:t xml:space="preserve"> that is consistent with State and Federal guidance</w:t>
      </w:r>
      <w:r>
        <w:rPr>
          <w:snapToGrid w:val="0"/>
        </w:rPr>
        <w:t>.</w:t>
      </w:r>
    </w:p>
    <w:p w14:paraId="62852FD7" w14:textId="77777777" w:rsidR="00284DBF" w:rsidRDefault="004C30E5" w:rsidP="00E023BD">
      <w:pPr>
        <w:rPr>
          <w:snapToGrid w:val="0"/>
        </w:rPr>
      </w:pPr>
      <w:r>
        <w:rPr>
          <w:snapToGrid w:val="0"/>
        </w:rPr>
        <w:fldChar w:fldCharType="begin"/>
      </w:r>
      <w:r>
        <w:rPr>
          <w:snapToGrid w:val="0"/>
        </w:rPr>
        <w:instrText xml:space="preserve"> REF _Ref371088424 \h </w:instrText>
      </w:r>
      <w:r>
        <w:rPr>
          <w:snapToGrid w:val="0"/>
        </w:rPr>
      </w:r>
      <w:r>
        <w:rPr>
          <w:snapToGrid w:val="0"/>
        </w:rPr>
        <w:fldChar w:fldCharType="separate"/>
      </w:r>
      <w:r w:rsidR="00135FFD">
        <w:t xml:space="preserve">Figure </w:t>
      </w:r>
      <w:r w:rsidR="00135FFD">
        <w:rPr>
          <w:noProof/>
        </w:rPr>
        <w:t>5</w:t>
      </w:r>
      <w:r>
        <w:rPr>
          <w:snapToGrid w:val="0"/>
        </w:rPr>
        <w:fldChar w:fldCharType="end"/>
      </w:r>
      <w:r w:rsidR="009A01E5">
        <w:rPr>
          <w:snapToGrid w:val="0"/>
        </w:rPr>
        <w:t xml:space="preserve"> illustrates the steps involved in a modeling review.  </w:t>
      </w:r>
      <w:r w:rsidR="00284DBF">
        <w:rPr>
          <w:snapToGrid w:val="0"/>
        </w:rPr>
        <w:t xml:space="preserve">These steps are summarized below and elaborated on in the following sub-sections.  </w:t>
      </w:r>
    </w:p>
    <w:p w14:paraId="448544D5" w14:textId="2A892F49" w:rsidR="009A01E5" w:rsidRDefault="009A01E5" w:rsidP="00E023BD">
      <w:pPr>
        <w:rPr>
          <w:snapToGrid w:val="0"/>
        </w:rPr>
      </w:pPr>
      <w:r>
        <w:rPr>
          <w:snapToGrid w:val="0"/>
        </w:rPr>
        <w:t xml:space="preserve">At the </w:t>
      </w:r>
      <w:proofErr w:type="gramStart"/>
      <w:r>
        <w:rPr>
          <w:snapToGrid w:val="0"/>
        </w:rPr>
        <w:t>onset</w:t>
      </w:r>
      <w:proofErr w:type="gramEnd"/>
      <w:r>
        <w:rPr>
          <w:snapToGrid w:val="0"/>
        </w:rPr>
        <w:t xml:space="preserve"> of the review, </w:t>
      </w:r>
      <w:proofErr w:type="gramStart"/>
      <w:r w:rsidR="00790269">
        <w:rPr>
          <w:snapToGrid w:val="0"/>
        </w:rPr>
        <w:t>gather together</w:t>
      </w:r>
      <w:proofErr w:type="gramEnd"/>
      <w:r>
        <w:rPr>
          <w:snapToGrid w:val="0"/>
        </w:rPr>
        <w:t xml:space="preserve"> the following documents or files:</w:t>
      </w:r>
    </w:p>
    <w:p w14:paraId="47AE722D" w14:textId="77777777" w:rsidR="009A01E5" w:rsidRDefault="009A01E5" w:rsidP="00407F48">
      <w:pPr>
        <w:numPr>
          <w:ilvl w:val="0"/>
          <w:numId w:val="12"/>
        </w:numPr>
        <w:tabs>
          <w:tab w:val="clear" w:pos="360"/>
        </w:tabs>
        <w:ind w:left="1080"/>
        <w:rPr>
          <w:snapToGrid w:val="0"/>
        </w:rPr>
      </w:pPr>
      <w:r>
        <w:rPr>
          <w:snapToGrid w:val="0"/>
        </w:rPr>
        <w:t xml:space="preserve">air quality modeling checklist, </w:t>
      </w:r>
    </w:p>
    <w:p w14:paraId="0A5EF72D" w14:textId="4531E042" w:rsidR="009A01E5" w:rsidRDefault="009A01E5" w:rsidP="00407F48">
      <w:pPr>
        <w:numPr>
          <w:ilvl w:val="0"/>
          <w:numId w:val="12"/>
        </w:numPr>
        <w:tabs>
          <w:tab w:val="clear" w:pos="360"/>
        </w:tabs>
        <w:ind w:left="1080"/>
        <w:rPr>
          <w:snapToGrid w:val="0"/>
        </w:rPr>
      </w:pPr>
      <w:r>
        <w:rPr>
          <w:snapToGrid w:val="0"/>
        </w:rPr>
        <w:t xml:space="preserve">the </w:t>
      </w:r>
      <w:proofErr w:type="gramStart"/>
      <w:r>
        <w:rPr>
          <w:snapToGrid w:val="0"/>
        </w:rPr>
        <w:t>modeling</w:t>
      </w:r>
      <w:proofErr w:type="gramEnd"/>
      <w:r>
        <w:rPr>
          <w:snapToGrid w:val="0"/>
        </w:rPr>
        <w:t xml:space="preserve"> review </w:t>
      </w:r>
      <w:r w:rsidR="009B406A">
        <w:rPr>
          <w:snapToGrid w:val="0"/>
        </w:rPr>
        <w:t>report</w:t>
      </w:r>
      <w:r>
        <w:rPr>
          <w:snapToGrid w:val="0"/>
        </w:rPr>
        <w:t xml:space="preserve"> template, </w:t>
      </w:r>
    </w:p>
    <w:p w14:paraId="783D301E" w14:textId="77777777" w:rsidR="009A01E5" w:rsidRDefault="009A01E5" w:rsidP="00407F48">
      <w:pPr>
        <w:numPr>
          <w:ilvl w:val="0"/>
          <w:numId w:val="12"/>
        </w:numPr>
        <w:tabs>
          <w:tab w:val="clear" w:pos="360"/>
        </w:tabs>
        <w:ind w:left="1080"/>
        <w:rPr>
          <w:snapToGrid w:val="0"/>
        </w:rPr>
      </w:pPr>
      <w:r>
        <w:rPr>
          <w:snapToGrid w:val="0"/>
        </w:rPr>
        <w:t xml:space="preserve">a blank document to record deficiencies, </w:t>
      </w:r>
    </w:p>
    <w:p w14:paraId="5E6BE6A2" w14:textId="77777777" w:rsidR="00DD659D" w:rsidRDefault="00DD659D" w:rsidP="00407F48">
      <w:pPr>
        <w:numPr>
          <w:ilvl w:val="0"/>
          <w:numId w:val="12"/>
        </w:numPr>
        <w:tabs>
          <w:tab w:val="clear" w:pos="360"/>
        </w:tabs>
        <w:ind w:left="1080"/>
        <w:rPr>
          <w:snapToGrid w:val="0"/>
        </w:rPr>
      </w:pPr>
      <w:r>
        <w:rPr>
          <w:snapToGrid w:val="0"/>
        </w:rPr>
        <w:t xml:space="preserve">the modeling protocol and </w:t>
      </w:r>
      <w:r w:rsidR="00D171C0">
        <w:rPr>
          <w:snapToGrid w:val="0"/>
        </w:rPr>
        <w:t>ADEC</w:t>
      </w:r>
      <w:r>
        <w:rPr>
          <w:snapToGrid w:val="0"/>
        </w:rPr>
        <w:t xml:space="preserve"> comments</w:t>
      </w:r>
      <w:r w:rsidR="007E3DCB">
        <w:rPr>
          <w:snapToGrid w:val="0"/>
        </w:rPr>
        <w:t xml:space="preserve"> and correspondence</w:t>
      </w:r>
      <w:r w:rsidR="00564DC2">
        <w:rPr>
          <w:snapToGrid w:val="0"/>
        </w:rPr>
        <w:t>,</w:t>
      </w:r>
      <w:r w:rsidR="007E3DCB">
        <w:rPr>
          <w:rStyle w:val="FootnoteReference"/>
          <w:snapToGrid w:val="0"/>
        </w:rPr>
        <w:footnoteReference w:id="24"/>
      </w:r>
    </w:p>
    <w:p w14:paraId="6C7BB8E1" w14:textId="19751D8A" w:rsidR="009A01E5" w:rsidRDefault="009A01E5" w:rsidP="00407F48">
      <w:pPr>
        <w:numPr>
          <w:ilvl w:val="0"/>
          <w:numId w:val="12"/>
        </w:numPr>
        <w:tabs>
          <w:tab w:val="clear" w:pos="360"/>
        </w:tabs>
        <w:ind w:left="1080"/>
        <w:rPr>
          <w:snapToGrid w:val="0"/>
        </w:rPr>
      </w:pPr>
      <w:r>
        <w:rPr>
          <w:snapToGrid w:val="0"/>
        </w:rPr>
        <w:t xml:space="preserve">the </w:t>
      </w:r>
      <w:r w:rsidR="009B406A">
        <w:rPr>
          <w:snapToGrid w:val="0"/>
        </w:rPr>
        <w:t xml:space="preserve">applicant’s </w:t>
      </w:r>
      <w:r>
        <w:rPr>
          <w:snapToGrid w:val="0"/>
        </w:rPr>
        <w:t xml:space="preserve">modeling </w:t>
      </w:r>
      <w:r w:rsidR="007A0E84">
        <w:rPr>
          <w:snapToGrid w:val="0"/>
        </w:rPr>
        <w:t>discussion</w:t>
      </w:r>
      <w:r>
        <w:rPr>
          <w:snapToGrid w:val="0"/>
        </w:rPr>
        <w:t xml:space="preserve">, and </w:t>
      </w:r>
    </w:p>
    <w:p w14:paraId="61707C62" w14:textId="37E0AC16" w:rsidR="009A01E5" w:rsidRDefault="009A01E5" w:rsidP="00407F48">
      <w:pPr>
        <w:numPr>
          <w:ilvl w:val="0"/>
          <w:numId w:val="12"/>
        </w:numPr>
        <w:tabs>
          <w:tab w:val="clear" w:pos="360"/>
        </w:tabs>
        <w:ind w:left="1080"/>
        <w:rPr>
          <w:snapToGrid w:val="0"/>
        </w:rPr>
      </w:pPr>
      <w:r>
        <w:rPr>
          <w:snapToGrid w:val="0"/>
        </w:rPr>
        <w:t xml:space="preserve">the </w:t>
      </w:r>
      <w:r w:rsidR="009B406A">
        <w:rPr>
          <w:snapToGrid w:val="0"/>
        </w:rPr>
        <w:t xml:space="preserve">applicant’s </w:t>
      </w:r>
      <w:r>
        <w:rPr>
          <w:snapToGrid w:val="0"/>
        </w:rPr>
        <w:t xml:space="preserve">electronic modeling files.  </w:t>
      </w:r>
    </w:p>
    <w:p w14:paraId="3360A421" w14:textId="0D5D415E" w:rsidR="009A01E5" w:rsidRDefault="00DD659D" w:rsidP="00E023BD">
      <w:pPr>
        <w:rPr>
          <w:snapToGrid w:val="0"/>
        </w:rPr>
      </w:pPr>
      <w:r>
        <w:rPr>
          <w:snapToGrid w:val="0"/>
        </w:rPr>
        <w:t>When reviewing a modeling analysis, open the protocol</w:t>
      </w:r>
      <w:r w:rsidR="00157E2D">
        <w:rPr>
          <w:snapToGrid w:val="0"/>
        </w:rPr>
        <w:t xml:space="preserve"> and</w:t>
      </w:r>
      <w:r>
        <w:rPr>
          <w:snapToGrid w:val="0"/>
        </w:rPr>
        <w:t xml:space="preserve"> </w:t>
      </w:r>
      <w:r w:rsidR="00D171C0">
        <w:rPr>
          <w:snapToGrid w:val="0"/>
        </w:rPr>
        <w:t>ADEC’s</w:t>
      </w:r>
      <w:r>
        <w:rPr>
          <w:snapToGrid w:val="0"/>
        </w:rPr>
        <w:t xml:space="preserve"> comments</w:t>
      </w:r>
      <w:r w:rsidR="0075004C">
        <w:rPr>
          <w:snapToGrid w:val="0"/>
        </w:rPr>
        <w:t xml:space="preserve"> on the protocol</w:t>
      </w:r>
      <w:r w:rsidR="00157E2D">
        <w:rPr>
          <w:snapToGrid w:val="0"/>
        </w:rPr>
        <w:t xml:space="preserve"> (if a protocol was submitted and approved)</w:t>
      </w:r>
      <w:r>
        <w:rPr>
          <w:snapToGrid w:val="0"/>
        </w:rPr>
        <w:t xml:space="preserve">, the </w:t>
      </w:r>
      <w:r w:rsidR="009B406A">
        <w:rPr>
          <w:snapToGrid w:val="0"/>
        </w:rPr>
        <w:t xml:space="preserve">applicant’s </w:t>
      </w:r>
      <w:r>
        <w:rPr>
          <w:snapToGrid w:val="0"/>
        </w:rPr>
        <w:t xml:space="preserve">modeling </w:t>
      </w:r>
      <w:r w:rsidR="007A0E84">
        <w:rPr>
          <w:snapToGrid w:val="0"/>
        </w:rPr>
        <w:t>discussion</w:t>
      </w:r>
      <w:r>
        <w:rPr>
          <w:snapToGrid w:val="0"/>
        </w:rPr>
        <w:t xml:space="preserve">, and the template for the modeling review </w:t>
      </w:r>
      <w:r w:rsidR="009B406A">
        <w:rPr>
          <w:snapToGrid w:val="0"/>
        </w:rPr>
        <w:t>report</w:t>
      </w:r>
      <w:r>
        <w:rPr>
          <w:snapToGrid w:val="0"/>
        </w:rPr>
        <w:t>.</w:t>
      </w:r>
    </w:p>
    <w:p w14:paraId="1D854861" w14:textId="78F7D097" w:rsidR="009A01E5" w:rsidRDefault="00E054DD" w:rsidP="00F70D47">
      <w:pPr>
        <w:ind w:left="1440" w:hanging="1260"/>
      </w:pPr>
      <w:r>
        <w:rPr>
          <w:snapToGrid w:val="0"/>
        </w:rPr>
        <w:t>Step 1</w:t>
      </w:r>
      <w:r>
        <w:rPr>
          <w:snapToGrid w:val="0"/>
        </w:rPr>
        <w:tab/>
      </w:r>
      <w:r w:rsidR="009A01E5">
        <w:rPr>
          <w:snapToGrid w:val="0"/>
        </w:rPr>
        <w:t xml:space="preserve">Once the documents are open, </w:t>
      </w:r>
      <w:r w:rsidR="00DD659D">
        <w:rPr>
          <w:snapToGrid w:val="0"/>
        </w:rPr>
        <w:t xml:space="preserve">quickly read the protocol and </w:t>
      </w:r>
      <w:r w:rsidR="00D171C0">
        <w:rPr>
          <w:snapToGrid w:val="0"/>
        </w:rPr>
        <w:t>ADEC</w:t>
      </w:r>
      <w:r w:rsidR="00DD659D">
        <w:rPr>
          <w:snapToGrid w:val="0"/>
        </w:rPr>
        <w:t xml:space="preserve">’s comments to refresh your memory of the accepted approach.  </w:t>
      </w:r>
      <w:r w:rsidR="0075004C">
        <w:rPr>
          <w:snapToGrid w:val="0"/>
        </w:rPr>
        <w:t>P</w:t>
      </w:r>
      <w:r w:rsidR="009A01E5">
        <w:rPr>
          <w:snapToGrid w:val="0"/>
        </w:rPr>
        <w:t xml:space="preserve">review the </w:t>
      </w:r>
      <w:r w:rsidR="00F704EC">
        <w:rPr>
          <w:snapToGrid w:val="0"/>
        </w:rPr>
        <w:t xml:space="preserve">applicant’s </w:t>
      </w:r>
      <w:r w:rsidR="009A01E5">
        <w:rPr>
          <w:snapToGrid w:val="0"/>
        </w:rPr>
        <w:t xml:space="preserve">modeling </w:t>
      </w:r>
      <w:r w:rsidR="007A0E84">
        <w:rPr>
          <w:snapToGrid w:val="0"/>
        </w:rPr>
        <w:t>discussion</w:t>
      </w:r>
      <w:r w:rsidR="009A01E5">
        <w:rPr>
          <w:snapToGrid w:val="0"/>
        </w:rPr>
        <w:t xml:space="preserve"> to comprehend </w:t>
      </w:r>
      <w:r w:rsidR="009A01E5">
        <w:t>the "big picture”</w:t>
      </w:r>
      <w:r w:rsidR="00DD659D">
        <w:t xml:space="preserve"> of the approach </w:t>
      </w:r>
      <w:proofErr w:type="gramStart"/>
      <w:r w:rsidR="00DD659D">
        <w:t>actually used</w:t>
      </w:r>
      <w:proofErr w:type="gramEnd"/>
      <w:r w:rsidR="00DD659D">
        <w:t xml:space="preserve"> by the applicant.  After you have first obtained an overview</w:t>
      </w:r>
      <w:r w:rsidR="009A01E5">
        <w:t xml:space="preserve">, then go through the </w:t>
      </w:r>
      <w:r w:rsidR="00DD659D">
        <w:t xml:space="preserve">modeling </w:t>
      </w:r>
      <w:r w:rsidR="007A0E84">
        <w:t>discussion</w:t>
      </w:r>
      <w:r w:rsidR="00DD659D">
        <w:t xml:space="preserve"> </w:t>
      </w:r>
      <w:r w:rsidR="009A01E5">
        <w:t xml:space="preserve">in detail. </w:t>
      </w:r>
    </w:p>
    <w:p w14:paraId="1D36622B" w14:textId="075A7D1F" w:rsidR="009A01E5" w:rsidRDefault="0075004C" w:rsidP="00F70D47">
      <w:r>
        <w:t>T</w:t>
      </w:r>
      <w:r w:rsidR="009A01E5">
        <w:t>he applicant</w:t>
      </w:r>
      <w:r w:rsidR="007A0E84">
        <w:t xml:space="preserve">’s modeling discussion hopefully includes </w:t>
      </w:r>
      <w:r w:rsidR="009A01E5">
        <w:t xml:space="preserve">a summary which answers the general questions of </w:t>
      </w:r>
      <w:r w:rsidR="0057461E">
        <w:t>“</w:t>
      </w:r>
      <w:r w:rsidR="009A01E5">
        <w:t xml:space="preserve">who, what, where, why, when, and how.” </w:t>
      </w:r>
      <w:r w:rsidR="008B7F29">
        <w:t xml:space="preserve"> </w:t>
      </w:r>
      <w:r w:rsidR="009A01E5">
        <w:t xml:space="preserve">Reading this summary and understanding the basic project makes it easier to review and evaluate the details. </w:t>
      </w:r>
      <w:r w:rsidR="008B7F29">
        <w:t xml:space="preserve"> </w:t>
      </w:r>
      <w:r w:rsidR="009A01E5">
        <w:t>Enter this information</w:t>
      </w:r>
      <w:r w:rsidR="007A0E84">
        <w:t>, as warranted,</w:t>
      </w:r>
      <w:r w:rsidR="009A01E5">
        <w:t xml:space="preserve"> in </w:t>
      </w:r>
      <w:r w:rsidR="007A0E84">
        <w:t>your</w:t>
      </w:r>
      <w:r w:rsidR="009A01E5">
        <w:t xml:space="preserve"> modeling </w:t>
      </w:r>
      <w:r w:rsidR="007A0E84">
        <w:t>report</w:t>
      </w:r>
      <w:r w:rsidR="009A01E5">
        <w:t>.</w:t>
      </w:r>
    </w:p>
    <w:p w14:paraId="4A60D68D" w14:textId="0AF89425" w:rsidR="009A01E5" w:rsidRDefault="00C527A7" w:rsidP="00F70D47">
      <w:pPr>
        <w:ind w:left="1440" w:hanging="1260"/>
        <w:rPr>
          <w:snapToGrid w:val="0"/>
        </w:rPr>
      </w:pPr>
      <w:r>
        <w:rPr>
          <w:snapToGrid w:val="0"/>
        </w:rPr>
        <w:t>Step 2</w:t>
      </w:r>
      <w:r>
        <w:rPr>
          <w:snapToGrid w:val="0"/>
        </w:rPr>
        <w:tab/>
      </w:r>
      <w:r w:rsidR="00F732C0">
        <w:rPr>
          <w:snapToGrid w:val="0"/>
        </w:rPr>
        <w:t>Use the PSD/minor air quality modeling review checklist (as applicable) to guide you through the detailed review.</w:t>
      </w:r>
      <w:r w:rsidR="00BD38F0">
        <w:rPr>
          <w:rStyle w:val="FootnoteReference"/>
          <w:snapToGrid w:val="0"/>
        </w:rPr>
        <w:footnoteReference w:id="25"/>
      </w:r>
      <w:r w:rsidR="00F732C0">
        <w:rPr>
          <w:snapToGrid w:val="0"/>
        </w:rPr>
        <w:t xml:space="preserve"> </w:t>
      </w:r>
      <w:r w:rsidR="000A1B71">
        <w:rPr>
          <w:snapToGrid w:val="0"/>
        </w:rPr>
        <w:t xml:space="preserve">See </w:t>
      </w:r>
      <w:hyperlink w:anchor="_Project_Information" w:history="1">
        <w:r w:rsidR="000A1B71" w:rsidRPr="00564DC2">
          <w:rPr>
            <w:rStyle w:val="Hyperlink"/>
            <w:snapToGrid w:val="0"/>
          </w:rPr>
          <w:t xml:space="preserve">Section </w:t>
        </w:r>
        <w:r w:rsidR="00564DC2" w:rsidRPr="00564DC2">
          <w:rPr>
            <w:rStyle w:val="Hyperlink"/>
            <w:snapToGrid w:val="0"/>
          </w:rPr>
          <w:t>2.3</w:t>
        </w:r>
      </w:hyperlink>
      <w:r w:rsidR="000A1B71">
        <w:rPr>
          <w:snapToGrid w:val="0"/>
        </w:rPr>
        <w:t xml:space="preserve"> of this manual for </w:t>
      </w:r>
      <w:r w:rsidR="00564DC2">
        <w:rPr>
          <w:snapToGrid w:val="0"/>
        </w:rPr>
        <w:t xml:space="preserve">more details on </w:t>
      </w:r>
      <w:r w:rsidR="000A1B71">
        <w:rPr>
          <w:snapToGrid w:val="0"/>
        </w:rPr>
        <w:t>review</w:t>
      </w:r>
      <w:r w:rsidR="00564DC2">
        <w:rPr>
          <w:snapToGrid w:val="0"/>
        </w:rPr>
        <w:t>ing</w:t>
      </w:r>
      <w:r w:rsidR="000A1B71">
        <w:rPr>
          <w:snapToGrid w:val="0"/>
        </w:rPr>
        <w:t xml:space="preserve"> project information.</w:t>
      </w:r>
    </w:p>
    <w:p w14:paraId="0013AB47" w14:textId="01BF10EC" w:rsidR="009A01E5" w:rsidRDefault="00306222" w:rsidP="00306222">
      <w:pPr>
        <w:tabs>
          <w:tab w:val="left" w:pos="1800"/>
        </w:tabs>
        <w:ind w:left="1800" w:hanging="360"/>
        <w:rPr>
          <w:snapToGrid w:val="0"/>
        </w:rPr>
      </w:pPr>
      <w:r>
        <w:rPr>
          <w:snapToGrid w:val="0"/>
        </w:rPr>
        <w:t>●</w:t>
      </w:r>
      <w:r>
        <w:rPr>
          <w:snapToGrid w:val="0"/>
        </w:rPr>
        <w:tab/>
      </w:r>
      <w:r w:rsidR="009A01E5">
        <w:rPr>
          <w:snapToGrid w:val="0"/>
        </w:rPr>
        <w:t xml:space="preserve">Open the corresponding modeling files and make certain the information is consistent with </w:t>
      </w:r>
      <w:r w:rsidR="00F732C0">
        <w:rPr>
          <w:snapToGrid w:val="0"/>
        </w:rPr>
        <w:t xml:space="preserve">the applicant’s modeling discussion </w:t>
      </w:r>
      <w:r w:rsidR="009A01E5">
        <w:rPr>
          <w:snapToGrid w:val="0"/>
        </w:rPr>
        <w:t xml:space="preserve">and </w:t>
      </w:r>
      <w:r w:rsidR="009A01E5">
        <w:rPr>
          <w:snapToGrid w:val="0"/>
        </w:rPr>
        <w:lastRenderedPageBreak/>
        <w:t xml:space="preserve">permit application.  </w:t>
      </w:r>
      <w:r w:rsidR="00F732C0">
        <w:rPr>
          <w:snapToGrid w:val="0"/>
        </w:rPr>
        <w:t>M</w:t>
      </w:r>
      <w:r w:rsidR="009A01E5">
        <w:rPr>
          <w:snapToGrid w:val="0"/>
        </w:rPr>
        <w:t xml:space="preserve">ake certain </w:t>
      </w:r>
      <w:r w:rsidR="0075004C">
        <w:rPr>
          <w:snapToGrid w:val="0"/>
        </w:rPr>
        <w:t xml:space="preserve">the modeling </w:t>
      </w:r>
      <w:r w:rsidR="00F732C0">
        <w:rPr>
          <w:snapToGrid w:val="0"/>
        </w:rPr>
        <w:t>discussion</w:t>
      </w:r>
      <w:r w:rsidR="0075004C">
        <w:rPr>
          <w:snapToGrid w:val="0"/>
        </w:rPr>
        <w:t xml:space="preserve"> </w:t>
      </w:r>
      <w:r w:rsidR="009A01E5">
        <w:rPr>
          <w:snapToGrid w:val="0"/>
        </w:rPr>
        <w:t xml:space="preserve">is technically complete. </w:t>
      </w:r>
    </w:p>
    <w:p w14:paraId="0D9E8449" w14:textId="5B4B3FA6" w:rsidR="009A01E5" w:rsidRDefault="00306222" w:rsidP="00306222">
      <w:pPr>
        <w:tabs>
          <w:tab w:val="left" w:pos="1800"/>
        </w:tabs>
        <w:ind w:left="1800" w:hanging="360"/>
        <w:rPr>
          <w:snapToGrid w:val="0"/>
        </w:rPr>
      </w:pPr>
      <w:r>
        <w:rPr>
          <w:snapToGrid w:val="0"/>
        </w:rPr>
        <w:t>●</w:t>
      </w:r>
      <w:r>
        <w:rPr>
          <w:snapToGrid w:val="0"/>
        </w:rPr>
        <w:tab/>
      </w:r>
      <w:r w:rsidR="00F732C0">
        <w:rPr>
          <w:snapToGrid w:val="0"/>
        </w:rPr>
        <w:t>Promptly d</w:t>
      </w:r>
      <w:r w:rsidR="009A01E5">
        <w:rPr>
          <w:snapToGrid w:val="0"/>
        </w:rPr>
        <w:t xml:space="preserve">ocument </w:t>
      </w:r>
      <w:r w:rsidR="00F732C0">
        <w:rPr>
          <w:snapToGrid w:val="0"/>
        </w:rPr>
        <w:t>your</w:t>
      </w:r>
      <w:r w:rsidR="009A01E5">
        <w:rPr>
          <w:snapToGrid w:val="0"/>
        </w:rPr>
        <w:t xml:space="preserve"> finding</w:t>
      </w:r>
      <w:r w:rsidR="00F732C0">
        <w:rPr>
          <w:snapToGrid w:val="0"/>
        </w:rPr>
        <w:t>s</w:t>
      </w:r>
      <w:r w:rsidR="009A01E5">
        <w:rPr>
          <w:snapToGrid w:val="0"/>
        </w:rPr>
        <w:t xml:space="preserve"> in </w:t>
      </w:r>
      <w:r w:rsidR="00F732C0">
        <w:rPr>
          <w:snapToGrid w:val="0"/>
        </w:rPr>
        <w:t>the</w:t>
      </w:r>
      <w:r w:rsidR="009A01E5">
        <w:rPr>
          <w:snapToGrid w:val="0"/>
        </w:rPr>
        <w:t xml:space="preserve"> modeling re</w:t>
      </w:r>
      <w:r w:rsidR="00F732C0">
        <w:rPr>
          <w:snapToGrid w:val="0"/>
        </w:rPr>
        <w:t xml:space="preserve">port </w:t>
      </w:r>
      <w:r w:rsidR="009A01E5">
        <w:rPr>
          <w:snapToGrid w:val="0"/>
        </w:rPr>
        <w:t xml:space="preserve">or the deficiency </w:t>
      </w:r>
      <w:proofErr w:type="gramStart"/>
      <w:r w:rsidR="009A01E5">
        <w:rPr>
          <w:snapToGrid w:val="0"/>
        </w:rPr>
        <w:t>letter, and</w:t>
      </w:r>
      <w:proofErr w:type="gramEnd"/>
      <w:r w:rsidR="009A01E5">
        <w:rPr>
          <w:snapToGrid w:val="0"/>
        </w:rPr>
        <w:t xml:space="preserve"> the</w:t>
      </w:r>
      <w:r w:rsidR="00C54E47">
        <w:rPr>
          <w:snapToGrid w:val="0"/>
        </w:rPr>
        <w:t>n</w:t>
      </w:r>
      <w:r w:rsidR="009A01E5">
        <w:rPr>
          <w:snapToGrid w:val="0"/>
        </w:rPr>
        <w:t xml:space="preserve"> begin reviewing the next section.  </w:t>
      </w:r>
    </w:p>
    <w:p w14:paraId="287AC143" w14:textId="062E6E96" w:rsidR="009A01E5" w:rsidRDefault="00306222" w:rsidP="00F732C0">
      <w:pPr>
        <w:tabs>
          <w:tab w:val="left" w:pos="1800"/>
        </w:tabs>
        <w:ind w:left="1800" w:hanging="360"/>
        <w:rPr>
          <w:snapToGrid w:val="0"/>
        </w:rPr>
      </w:pPr>
      <w:r>
        <w:rPr>
          <w:snapToGrid w:val="0"/>
        </w:rPr>
        <w:t>●</w:t>
      </w:r>
      <w:r>
        <w:rPr>
          <w:snapToGrid w:val="0"/>
        </w:rPr>
        <w:tab/>
      </w:r>
      <w:r w:rsidR="009A01E5">
        <w:rPr>
          <w:snapToGrid w:val="0"/>
        </w:rPr>
        <w:t>Should the review be interrupted, be certain to save the documents, and make a quick note to yourself as</w:t>
      </w:r>
      <w:r w:rsidR="0075004C">
        <w:rPr>
          <w:snapToGrid w:val="0"/>
        </w:rPr>
        <w:t xml:space="preserve"> to</w:t>
      </w:r>
      <w:r w:rsidR="009A01E5">
        <w:rPr>
          <w:snapToGrid w:val="0"/>
        </w:rPr>
        <w:t xml:space="preserve"> where to resume.  </w:t>
      </w:r>
    </w:p>
    <w:p w14:paraId="0854E94D" w14:textId="77777777" w:rsidR="009A01E5" w:rsidRDefault="00CE226F" w:rsidP="00F70D47">
      <w:pPr>
        <w:tabs>
          <w:tab w:val="left" w:pos="1440"/>
        </w:tabs>
        <w:ind w:left="1440" w:hanging="1260"/>
        <w:rPr>
          <w:snapToGrid w:val="0"/>
        </w:rPr>
      </w:pPr>
      <w:r>
        <w:rPr>
          <w:snapToGrid w:val="0"/>
        </w:rPr>
        <w:t>Step 3</w:t>
      </w:r>
      <w:r>
        <w:rPr>
          <w:snapToGrid w:val="0"/>
        </w:rPr>
        <w:tab/>
      </w:r>
      <w:r w:rsidR="009A01E5">
        <w:rPr>
          <w:snapToGrid w:val="0"/>
        </w:rPr>
        <w:t xml:space="preserve">Repeat </w:t>
      </w:r>
      <w:r>
        <w:rPr>
          <w:snapToGrid w:val="0"/>
        </w:rPr>
        <w:t>Step 2</w:t>
      </w:r>
      <w:r w:rsidR="009A01E5">
        <w:rPr>
          <w:snapToGrid w:val="0"/>
        </w:rPr>
        <w:t xml:space="preserve"> until the entire analysis has been reviewed.  </w:t>
      </w:r>
    </w:p>
    <w:p w14:paraId="3C86D496" w14:textId="0F087F54" w:rsidR="009A01E5" w:rsidRDefault="00302455">
      <w:pPr>
        <w:rPr>
          <w:snapToGrid w:val="0"/>
        </w:rPr>
      </w:pPr>
      <w:r>
        <w:rPr>
          <w:snapToGrid w:val="0"/>
        </w:rPr>
        <w:t>W</w:t>
      </w:r>
      <w:r w:rsidR="009A01E5">
        <w:rPr>
          <w:snapToGrid w:val="0"/>
        </w:rPr>
        <w:t xml:space="preserve">aiting to send comments to the applicant until the entire analysis has been reviewed will decrease the number of iterations between ADEC and the applicant, </w:t>
      </w:r>
      <w:r>
        <w:rPr>
          <w:snapToGrid w:val="0"/>
        </w:rPr>
        <w:t>which makes the overall review and permit issuance more efficient</w:t>
      </w:r>
      <w:r w:rsidR="009A01E5">
        <w:rPr>
          <w:snapToGrid w:val="0"/>
        </w:rPr>
        <w:t>.</w:t>
      </w:r>
    </w:p>
    <w:p w14:paraId="1B965F61" w14:textId="77777777" w:rsidR="009A01E5" w:rsidRPr="0057461E" w:rsidRDefault="009A01E5" w:rsidP="008947C5">
      <w:pPr>
        <w:pStyle w:val="Date"/>
        <w:jc w:val="center"/>
        <w:rPr>
          <w:b/>
          <w:snapToGrid w:val="0"/>
        </w:rPr>
      </w:pPr>
      <w:r>
        <w:rPr>
          <w:snapToGrid w:val="0"/>
        </w:rPr>
        <w:br w:type="page"/>
      </w:r>
    </w:p>
    <w:p w14:paraId="72D5BA64" w14:textId="32EF3975" w:rsidR="009A01E5" w:rsidRDefault="00FD7D8B" w:rsidP="00957BFF">
      <w:pPr>
        <w:spacing w:after="0"/>
        <w:jc w:val="center"/>
        <w:rPr>
          <w:snapToGrid w:val="0"/>
        </w:rPr>
      </w:pPr>
      <w:r>
        <w:rPr>
          <w:noProof/>
        </w:rPr>
        <w:lastRenderedPageBreak/>
        <mc:AlternateContent>
          <mc:Choice Requires="wps">
            <w:drawing>
              <wp:anchor distT="0" distB="0" distL="114300" distR="114300" simplePos="0" relativeHeight="251677696" behindDoc="0" locked="0" layoutInCell="0" allowOverlap="1" wp14:anchorId="2FB3473B" wp14:editId="254714A1">
                <wp:simplePos x="0" y="0"/>
                <wp:positionH relativeFrom="column">
                  <wp:posOffset>1631950</wp:posOffset>
                </wp:positionH>
                <wp:positionV relativeFrom="paragraph">
                  <wp:posOffset>84455</wp:posOffset>
                </wp:positionV>
                <wp:extent cx="2377440" cy="877570"/>
                <wp:effectExtent l="12700" t="12065" r="10160" b="5715"/>
                <wp:wrapNone/>
                <wp:docPr id="94" name="AutoShap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877570"/>
                        </a:xfrm>
                        <a:prstGeom prst="flowChartProcess">
                          <a:avLst/>
                        </a:prstGeom>
                        <a:solidFill>
                          <a:srgbClr val="FFFFFF"/>
                        </a:solidFill>
                        <a:ln w="9525">
                          <a:solidFill>
                            <a:srgbClr val="000000"/>
                          </a:solidFill>
                          <a:miter lim="800000"/>
                          <a:headEnd/>
                          <a:tailEnd/>
                        </a:ln>
                      </wps:spPr>
                      <wps:txbx>
                        <w:txbxContent>
                          <w:p w14:paraId="108A1E25" w14:textId="77777777" w:rsidR="004830EA" w:rsidRDefault="004830EA" w:rsidP="00957BFF">
                            <w:pPr>
                              <w:spacing w:after="0"/>
                              <w:rPr>
                                <w:sz w:val="20"/>
                              </w:rPr>
                            </w:pPr>
                            <w:r>
                              <w:rPr>
                                <w:sz w:val="20"/>
                              </w:rPr>
                              <w:t>OPEN:</w:t>
                            </w:r>
                          </w:p>
                          <w:p w14:paraId="1DB33E2C" w14:textId="77777777" w:rsidR="004830EA" w:rsidRDefault="004830EA" w:rsidP="00957BFF">
                            <w:pPr>
                              <w:spacing w:after="0"/>
                              <w:rPr>
                                <w:sz w:val="20"/>
                              </w:rPr>
                            </w:pPr>
                            <w:r>
                              <w:rPr>
                                <w:sz w:val="20"/>
                              </w:rPr>
                              <w:t>- Air Quality Modeling Checklist</w:t>
                            </w:r>
                          </w:p>
                          <w:p w14:paraId="0064D177" w14:textId="11EB3C99" w:rsidR="004830EA" w:rsidRDefault="004830EA" w:rsidP="00957BFF">
                            <w:pPr>
                              <w:spacing w:after="0"/>
                              <w:rPr>
                                <w:sz w:val="20"/>
                              </w:rPr>
                            </w:pPr>
                            <w:r>
                              <w:rPr>
                                <w:sz w:val="20"/>
                              </w:rPr>
                              <w:t>- Modeling Review Report Template</w:t>
                            </w:r>
                          </w:p>
                          <w:p w14:paraId="36C46D8A" w14:textId="77777777" w:rsidR="004830EA" w:rsidRDefault="004830EA" w:rsidP="00957BFF">
                            <w:pPr>
                              <w:pStyle w:val="CommentText"/>
                              <w:spacing w:after="0"/>
                            </w:pPr>
                            <w:r>
                              <w:t>- Deficiency Letter</w:t>
                            </w:r>
                          </w:p>
                          <w:p w14:paraId="28AB2087" w14:textId="77777777" w:rsidR="004830EA" w:rsidRDefault="004830EA" w:rsidP="00D078F8">
                            <w:pPr>
                              <w:rPr>
                                <w:sz w:val="20"/>
                              </w:rPr>
                            </w:pPr>
                            <w:r>
                              <w:rPr>
                                <w:sz w:val="20"/>
                              </w:rPr>
                              <w:t>- Modeling Protocol, Report, and Files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B3473B" id="_x0000_t109" coordsize="21600,21600" o:spt="109" path="m,l,21600r21600,l21600,xe">
                <v:stroke joinstyle="miter"/>
                <v:path gradientshapeok="t" o:connecttype="rect"/>
              </v:shapetype>
              <v:shape id="AutoShape 162" o:spid="_x0000_s1027" type="#_x0000_t109" style="position:absolute;left:0;text-align:left;margin-left:128.5pt;margin-top:6.65pt;width:187.2pt;height:69.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" o:allowincell="f">
                <v:textbox>
                  <w:txbxContent>
                    <w:p w14:paraId="108A1E25" w14:textId="77777777" w:rsidR="004830EA" w:rsidRDefault="004830EA" w:rsidP="00957BFF">
                      <w:pPr>
                        <w:spacing w:after="0"/>
                        <w:rPr>
                          <w:sz w:val="20"/>
                        </w:rPr>
                      </w:pPr>
                      <w:r>
                        <w:rPr>
                          <w:sz w:val="20"/>
                        </w:rPr>
                        <w:t>OPEN:</w:t>
                      </w:r>
                    </w:p>
                    <w:p w14:paraId="1DB33E2C" w14:textId="77777777" w:rsidR="004830EA" w:rsidRDefault="004830EA" w:rsidP="00957BFF">
                      <w:pPr>
                        <w:spacing w:after="0"/>
                        <w:rPr>
                          <w:sz w:val="20"/>
                        </w:rPr>
                      </w:pPr>
                      <w:r>
                        <w:rPr>
                          <w:sz w:val="20"/>
                        </w:rPr>
                        <w:t>- Air Quality Modeling Checklist</w:t>
                      </w:r>
                    </w:p>
                    <w:p w14:paraId="0064D177" w14:textId="11EB3C99" w:rsidR="004830EA" w:rsidRDefault="004830EA" w:rsidP="00957BFF">
                      <w:pPr>
                        <w:spacing w:after="0"/>
                        <w:rPr>
                          <w:sz w:val="20"/>
                        </w:rPr>
                      </w:pPr>
                      <w:r>
                        <w:rPr>
                          <w:sz w:val="20"/>
                        </w:rPr>
                        <w:t>- Modeling Review Report Template</w:t>
                      </w:r>
                    </w:p>
                    <w:p w14:paraId="36C46D8A" w14:textId="77777777" w:rsidR="004830EA" w:rsidRDefault="004830EA" w:rsidP="00957BFF">
                      <w:pPr>
                        <w:pStyle w:val="CommentText"/>
                        <w:spacing w:after="0"/>
                      </w:pPr>
                      <w:r>
                        <w:t>- Deficiency Letter</w:t>
                      </w:r>
                    </w:p>
                    <w:p w14:paraId="28AB2087" w14:textId="77777777" w:rsidR="004830EA" w:rsidRDefault="004830EA" w:rsidP="00D078F8">
                      <w:pPr>
                        <w:rPr>
                          <w:sz w:val="20"/>
                        </w:rPr>
                      </w:pPr>
                      <w:r>
                        <w:rPr>
                          <w:sz w:val="20"/>
                        </w:rPr>
                        <w:t>- Modeling Protocol, Report, and Files</w:t>
                      </w:r>
                    </w:p>
                  </w:txbxContent>
                </v:textbox>
              </v:shape>
            </w:pict>
          </mc:Fallback>
        </mc:AlternateContent>
      </w:r>
    </w:p>
    <w:p w14:paraId="0C5C8A57" w14:textId="77777777" w:rsidR="00D078F8" w:rsidRDefault="00D078F8" w:rsidP="00957BFF">
      <w:pPr>
        <w:spacing w:after="0"/>
        <w:rPr>
          <w:snapToGrid w:val="0"/>
        </w:rPr>
      </w:pPr>
    </w:p>
    <w:p w14:paraId="5533D065" w14:textId="77777777" w:rsidR="00D078F8" w:rsidRDefault="00D078F8" w:rsidP="00957BFF">
      <w:pPr>
        <w:spacing w:after="0"/>
        <w:rPr>
          <w:snapToGrid w:val="0"/>
        </w:rPr>
      </w:pPr>
    </w:p>
    <w:p w14:paraId="3FCE93A6" w14:textId="77777777" w:rsidR="00D078F8" w:rsidRDefault="00D078F8" w:rsidP="00957BFF">
      <w:pPr>
        <w:spacing w:after="0"/>
        <w:rPr>
          <w:snapToGrid w:val="0"/>
        </w:rPr>
      </w:pPr>
    </w:p>
    <w:p w14:paraId="730322CA" w14:textId="77777777" w:rsidR="00D078F8" w:rsidRDefault="00D078F8" w:rsidP="00957BFF">
      <w:pPr>
        <w:spacing w:after="0"/>
        <w:rPr>
          <w:snapToGrid w:val="0"/>
        </w:rPr>
      </w:pPr>
    </w:p>
    <w:p w14:paraId="5A5A9744" w14:textId="5F1EF795" w:rsidR="00D078F8" w:rsidRDefault="00FD7D8B" w:rsidP="00957BFF">
      <w:pPr>
        <w:spacing w:after="0"/>
        <w:rPr>
          <w:snapToGrid w:val="0"/>
        </w:rPr>
      </w:pPr>
      <w:r>
        <w:rPr>
          <w:noProof/>
        </w:rPr>
        <mc:AlternateContent>
          <mc:Choice Requires="wps">
            <w:drawing>
              <wp:anchor distT="0" distB="0" distL="114300" distR="114300" simplePos="0" relativeHeight="251678720" behindDoc="0" locked="0" layoutInCell="0" allowOverlap="1" wp14:anchorId="0BC05F6E" wp14:editId="17A2E459">
                <wp:simplePos x="0" y="0"/>
                <wp:positionH relativeFrom="column">
                  <wp:posOffset>2735580</wp:posOffset>
                </wp:positionH>
                <wp:positionV relativeFrom="paragraph">
                  <wp:posOffset>85725</wp:posOffset>
                </wp:positionV>
                <wp:extent cx="0" cy="219710"/>
                <wp:effectExtent l="59055" t="13335" r="55245" b="14605"/>
                <wp:wrapNone/>
                <wp:docPr id="93"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7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705A0C" id="Line 163"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4pt,6.75pt" to="215.4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" o:allowincell="f">
                <v:stroke endarrow="block"/>
              </v:line>
            </w:pict>
          </mc:Fallback>
        </mc:AlternateContent>
      </w:r>
    </w:p>
    <w:p w14:paraId="6069FD84" w14:textId="4EDEC6F8" w:rsidR="00D078F8" w:rsidRDefault="00FD7D8B" w:rsidP="00957BFF">
      <w:pPr>
        <w:spacing w:after="0"/>
        <w:rPr>
          <w:snapToGrid w:val="0"/>
        </w:rPr>
      </w:pPr>
      <w:r>
        <w:rPr>
          <w:noProof/>
        </w:rPr>
        <mc:AlternateContent>
          <mc:Choice Requires="wps">
            <w:drawing>
              <wp:anchor distT="0" distB="0" distL="114300" distR="114300" simplePos="0" relativeHeight="251659264" behindDoc="1" locked="0" layoutInCell="0" allowOverlap="1" wp14:anchorId="6E19ACE4" wp14:editId="5C449A42">
                <wp:simplePos x="0" y="0"/>
                <wp:positionH relativeFrom="column">
                  <wp:posOffset>1906270</wp:posOffset>
                </wp:positionH>
                <wp:positionV relativeFrom="paragraph">
                  <wp:posOffset>130175</wp:posOffset>
                </wp:positionV>
                <wp:extent cx="1645920" cy="384175"/>
                <wp:effectExtent l="10795" t="13970" r="10160" b="11430"/>
                <wp:wrapNone/>
                <wp:docPr id="92"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384175"/>
                        </a:xfrm>
                        <a:prstGeom prst="flowChartProcess">
                          <a:avLst/>
                        </a:prstGeom>
                        <a:solidFill>
                          <a:srgbClr val="FFFFFF"/>
                        </a:solidFill>
                        <a:ln w="9525">
                          <a:solidFill>
                            <a:srgbClr val="000000"/>
                          </a:solidFill>
                          <a:miter lim="800000"/>
                          <a:headEnd/>
                          <a:tailEnd/>
                        </a:ln>
                      </wps:spPr>
                      <wps:txbx>
                        <w:txbxContent>
                          <w:p w14:paraId="7ED1B133" w14:textId="77777777" w:rsidR="004830EA" w:rsidRDefault="004830EA" w:rsidP="00D078F8">
                            <w:pPr>
                              <w:jc w:val="center"/>
                            </w:pPr>
                            <w:r>
                              <w:rPr>
                                <w:sz w:val="20"/>
                              </w:rPr>
                              <w:t>Review Item</w:t>
                            </w:r>
                            <w:r>
                              <w:t xml:space="preserve"> </w:t>
                            </w:r>
                            <w:r>
                              <w:rPr>
                                <w:sz w:val="20"/>
                              </w:rPr>
                              <w:t>N of the Modeling Review Checklist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9ACE4" id="AutoShape 144" o:spid="_x0000_s1028" type="#_x0000_t109" style="position:absolute;margin-left:150.1pt;margin-top:10.25pt;width:129.6pt;height:3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" o:allowincell="f">
                <v:textbox>
                  <w:txbxContent>
                    <w:p w14:paraId="7ED1B133" w14:textId="77777777" w:rsidR="004830EA" w:rsidRDefault="004830EA" w:rsidP="00D078F8">
                      <w:pPr>
                        <w:jc w:val="center"/>
                      </w:pPr>
                      <w:r>
                        <w:rPr>
                          <w:sz w:val="20"/>
                        </w:rPr>
                        <w:t>Review Item</w:t>
                      </w:r>
                      <w:r>
                        <w:t xml:space="preserve"> </w:t>
                      </w:r>
                      <w:r>
                        <w:rPr>
                          <w:sz w:val="20"/>
                        </w:rPr>
                        <w:t>N of the Modeling Review Checklist</w:t>
                      </w:r>
                    </w:p>
                  </w:txbxContent>
                </v:textbox>
              </v:shape>
            </w:pict>
          </mc:Fallback>
        </mc:AlternateContent>
      </w:r>
    </w:p>
    <w:p w14:paraId="5D2FADC8" w14:textId="78521C90" w:rsidR="00D078F8" w:rsidRDefault="00FD7D8B" w:rsidP="00957BFF">
      <w:pPr>
        <w:spacing w:after="0"/>
        <w:rPr>
          <w:snapToGrid w:val="0"/>
        </w:rPr>
      </w:pPr>
      <w:r>
        <w:rPr>
          <w:noProof/>
        </w:rPr>
        <mc:AlternateContent>
          <mc:Choice Requires="wps">
            <w:drawing>
              <wp:anchor distT="0" distB="0" distL="114300" distR="114300" simplePos="0" relativeHeight="251673600" behindDoc="0" locked="0" layoutInCell="0" allowOverlap="1" wp14:anchorId="6A0A8DED" wp14:editId="2A4BE27A">
                <wp:simplePos x="0" y="0"/>
                <wp:positionH relativeFrom="column">
                  <wp:posOffset>5344160</wp:posOffset>
                </wp:positionH>
                <wp:positionV relativeFrom="paragraph">
                  <wp:posOffset>37465</wp:posOffset>
                </wp:positionV>
                <wp:extent cx="0" cy="3200400"/>
                <wp:effectExtent l="57785" t="20320" r="56515" b="8255"/>
                <wp:wrapNone/>
                <wp:docPr id="91"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200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234483" id="Line 158"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0.8pt,2.95pt" to="420.8pt,2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" o:allowincell="f">
                <v:stroke endarrow="block"/>
              </v:line>
            </w:pict>
          </mc:Fallback>
        </mc:AlternateContent>
      </w:r>
      <w:r>
        <w:rPr>
          <w:noProof/>
        </w:rPr>
        <mc:AlternateContent>
          <mc:Choice Requires="wps">
            <w:drawing>
              <wp:anchor distT="0" distB="0" distL="114300" distR="114300" simplePos="0" relativeHeight="251674624" behindDoc="0" locked="0" layoutInCell="0" allowOverlap="1" wp14:anchorId="31F3BAE7" wp14:editId="7FDA38E1">
                <wp:simplePos x="0" y="0"/>
                <wp:positionH relativeFrom="column">
                  <wp:posOffset>3552190</wp:posOffset>
                </wp:positionH>
                <wp:positionV relativeFrom="paragraph">
                  <wp:posOffset>46355</wp:posOffset>
                </wp:positionV>
                <wp:extent cx="1800225" cy="0"/>
                <wp:effectExtent l="18415" t="57785" r="10160" b="56515"/>
                <wp:wrapNone/>
                <wp:docPr id="90"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0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CA9BBF" id="Line 159"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7pt,3.65pt" to="421.4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" o:allowincell="f">
                <v:stroke endarrow="block"/>
              </v:line>
            </w:pict>
          </mc:Fallback>
        </mc:AlternateContent>
      </w:r>
      <w:r>
        <w:rPr>
          <w:noProof/>
        </w:rPr>
        <mc:AlternateContent>
          <mc:Choice Requires="wps">
            <w:drawing>
              <wp:anchor distT="0" distB="0" distL="114300" distR="114300" simplePos="0" relativeHeight="251669504" behindDoc="0" locked="0" layoutInCell="0" allowOverlap="1" wp14:anchorId="6E5608C8" wp14:editId="737BBA5E">
                <wp:simplePos x="0" y="0"/>
                <wp:positionH relativeFrom="column">
                  <wp:posOffset>1906270</wp:posOffset>
                </wp:positionH>
                <wp:positionV relativeFrom="paragraph">
                  <wp:posOffset>2880995</wp:posOffset>
                </wp:positionV>
                <wp:extent cx="1463040" cy="731520"/>
                <wp:effectExtent l="20320" t="15875" r="21590" b="14605"/>
                <wp:wrapNone/>
                <wp:docPr id="89" name="Auto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731520"/>
                        </a:xfrm>
                        <a:prstGeom prst="flowChartDecision">
                          <a:avLst/>
                        </a:prstGeom>
                        <a:solidFill>
                          <a:srgbClr val="FFFFFF"/>
                        </a:solidFill>
                        <a:ln w="9525">
                          <a:solidFill>
                            <a:srgbClr val="000000"/>
                          </a:solidFill>
                          <a:miter lim="800000"/>
                          <a:headEnd/>
                          <a:tailEnd/>
                        </a:ln>
                      </wps:spPr>
                      <wps:txbx>
                        <w:txbxContent>
                          <w:p w14:paraId="736583D9" w14:textId="77777777" w:rsidR="004830EA" w:rsidRDefault="004830EA" w:rsidP="00D078F8">
                            <w:pPr>
                              <w:pStyle w:val="PlainText"/>
                              <w:spacing w:before="120"/>
                              <w:jc w:val="center"/>
                              <w:rPr>
                                <w:rFonts w:ascii="Times New Roman" w:hAnsi="Times New Roman"/>
                              </w:rPr>
                            </w:pPr>
                            <w:r>
                              <w:rPr>
                                <w:rFonts w:ascii="Times New Roman" w:hAnsi="Times New Roman"/>
                              </w:rPr>
                              <w:t>Finished?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5608C8" id="_x0000_t110" coordsize="21600,21600" o:spt="110" path="m10800,l,10800,10800,21600,21600,10800xe">
                <v:stroke joinstyle="miter"/>
                <v:path gradientshapeok="t" o:connecttype="rect" textboxrect="5400,5400,16200,16200"/>
              </v:shapetype>
              <v:shape id="AutoShape 154" o:spid="_x0000_s1029" type="#_x0000_t110" style="position:absolute;margin-left:150.1pt;margin-top:226.85pt;width:115.2pt;height:57.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" o:allowincell="f">
                <v:textbox>
                  <w:txbxContent>
                    <w:p w14:paraId="736583D9" w14:textId="77777777" w:rsidR="004830EA" w:rsidRDefault="004830EA" w:rsidP="00D078F8">
                      <w:pPr>
                        <w:pStyle w:val="PlainText"/>
                        <w:spacing w:before="120"/>
                        <w:jc w:val="center"/>
                        <w:rPr>
                          <w:rFonts w:ascii="Times New Roman" w:hAnsi="Times New Roman"/>
                        </w:rPr>
                      </w:pPr>
                      <w:r>
                        <w:rPr>
                          <w:rFonts w:ascii="Times New Roman" w:hAnsi="Times New Roman"/>
                        </w:rPr>
                        <w:t>Finished?</w:t>
                      </w:r>
                    </w:p>
                  </w:txbxContent>
                </v:textbox>
              </v:shape>
            </w:pict>
          </mc:Fallback>
        </mc:AlternateContent>
      </w:r>
      <w:r>
        <w:rPr>
          <w:noProof/>
        </w:rPr>
        <mc:AlternateContent>
          <mc:Choice Requires="wps">
            <w:drawing>
              <wp:anchor distT="0" distB="0" distL="114300" distR="114300" simplePos="0" relativeHeight="251668480" behindDoc="0" locked="0" layoutInCell="0" allowOverlap="1" wp14:anchorId="759BCAD4" wp14:editId="67644676">
                <wp:simplePos x="0" y="0"/>
                <wp:positionH relativeFrom="column">
                  <wp:posOffset>2637790</wp:posOffset>
                </wp:positionH>
                <wp:positionV relativeFrom="paragraph">
                  <wp:posOffset>2606675</wp:posOffset>
                </wp:positionV>
                <wp:extent cx="0" cy="274320"/>
                <wp:effectExtent l="56515" t="8255" r="57785" b="22225"/>
                <wp:wrapNone/>
                <wp:docPr id="88"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B01171" id="Line 15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7pt,205.25pt" to="207.7pt,2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UGjKgIAAEw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" o:allowincell="f">
                <v:stroke endarrow="block"/>
              </v:line>
            </w:pict>
          </mc:Fallback>
        </mc:AlternateContent>
      </w:r>
      <w:r>
        <w:rPr>
          <w:noProof/>
        </w:rPr>
        <mc:AlternateContent>
          <mc:Choice Requires="wps">
            <w:drawing>
              <wp:anchor distT="0" distB="0" distL="114300" distR="114300" simplePos="0" relativeHeight="251667456" behindDoc="0" locked="0" layoutInCell="0" allowOverlap="1" wp14:anchorId="74C10FB0" wp14:editId="6D51F82D">
                <wp:simplePos x="0" y="0"/>
                <wp:positionH relativeFrom="column">
                  <wp:posOffset>717550</wp:posOffset>
                </wp:positionH>
                <wp:positionV relativeFrom="paragraph">
                  <wp:posOffset>1692275</wp:posOffset>
                </wp:positionV>
                <wp:extent cx="1005840" cy="548640"/>
                <wp:effectExtent l="12700" t="8255" r="10160" b="5080"/>
                <wp:wrapNone/>
                <wp:docPr id="87" name="AutoShap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548640"/>
                        </a:xfrm>
                        <a:prstGeom prst="flowChartDocument">
                          <a:avLst/>
                        </a:prstGeom>
                        <a:solidFill>
                          <a:srgbClr val="FFFFFF"/>
                        </a:solidFill>
                        <a:ln w="9525">
                          <a:solidFill>
                            <a:srgbClr val="000000"/>
                          </a:solidFill>
                          <a:miter lim="800000"/>
                          <a:headEnd/>
                          <a:tailEnd/>
                        </a:ln>
                      </wps:spPr>
                      <wps:txbx>
                        <w:txbxContent>
                          <w:p w14:paraId="0373119B" w14:textId="77777777" w:rsidR="004830EA" w:rsidRDefault="004830EA" w:rsidP="00957BFF">
                            <w:pPr>
                              <w:spacing w:after="0"/>
                              <w:jc w:val="center"/>
                            </w:pPr>
                            <w:r>
                              <w:rPr>
                                <w:sz w:val="20"/>
                              </w:rPr>
                              <w:t>Deficiency Letter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C10FB0"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152" o:spid="_x0000_s1030" type="#_x0000_t114" style="position:absolute;margin-left:56.5pt;margin-top:133.25pt;width:79.2pt;height:4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" o:allowincell="f">
                <v:textbox>
                  <w:txbxContent>
                    <w:p w14:paraId="0373119B" w14:textId="77777777" w:rsidR="004830EA" w:rsidRDefault="004830EA" w:rsidP="00957BFF">
                      <w:pPr>
                        <w:spacing w:after="0"/>
                        <w:jc w:val="center"/>
                      </w:pPr>
                      <w:r>
                        <w:rPr>
                          <w:sz w:val="20"/>
                        </w:rPr>
                        <w:t>Deficiency Letter</w:t>
                      </w:r>
                    </w:p>
                  </w:txbxContent>
                </v:textbox>
              </v:shape>
            </w:pict>
          </mc:Fallback>
        </mc:AlternateContent>
      </w:r>
      <w:r>
        <w:rPr>
          <w:noProof/>
        </w:rPr>
        <mc:AlternateContent>
          <mc:Choice Requires="wps">
            <w:drawing>
              <wp:anchor distT="0" distB="0" distL="114300" distR="114300" simplePos="0" relativeHeight="251666432" behindDoc="0" locked="0" layoutInCell="0" allowOverlap="1" wp14:anchorId="2D83C9B3" wp14:editId="3199E230">
                <wp:simplePos x="0" y="0"/>
                <wp:positionH relativeFrom="column">
                  <wp:posOffset>3643630</wp:posOffset>
                </wp:positionH>
                <wp:positionV relativeFrom="paragraph">
                  <wp:posOffset>1692275</wp:posOffset>
                </wp:positionV>
                <wp:extent cx="1005840" cy="617220"/>
                <wp:effectExtent l="5080" t="8255" r="8255" b="12700"/>
                <wp:wrapNone/>
                <wp:docPr id="86" name="Auto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617220"/>
                        </a:xfrm>
                        <a:prstGeom prst="flowChartDocument">
                          <a:avLst/>
                        </a:prstGeom>
                        <a:solidFill>
                          <a:srgbClr val="FFFFFF"/>
                        </a:solidFill>
                        <a:ln w="9525">
                          <a:solidFill>
                            <a:srgbClr val="000000"/>
                          </a:solidFill>
                          <a:miter lim="800000"/>
                          <a:headEnd/>
                          <a:tailEnd/>
                        </a:ln>
                      </wps:spPr>
                      <wps:txbx>
                        <w:txbxContent>
                          <w:p w14:paraId="267069FE" w14:textId="2D038C36" w:rsidR="004830EA" w:rsidRDefault="004830EA" w:rsidP="00D078F8">
                            <w:pPr>
                              <w:pStyle w:val="PlainText"/>
                              <w:jc w:val="center"/>
                              <w:rPr>
                                <w:rFonts w:ascii="Times New Roman" w:hAnsi="Times New Roman"/>
                              </w:rPr>
                            </w:pPr>
                            <w:r>
                              <w:rPr>
                                <w:rFonts w:ascii="Times New Roman" w:hAnsi="Times New Roman"/>
                              </w:rPr>
                              <w:t>Modeling Report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3C9B3" id="AutoShape 151" o:spid="_x0000_s1031" type="#_x0000_t114" style="position:absolute;margin-left:286.9pt;margin-top:133.25pt;width:79.2pt;height:48.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" o:allowincell="f">
                <v:textbox>
                  <w:txbxContent>
                    <w:p w14:paraId="267069FE" w14:textId="2D038C36" w:rsidR="004830EA" w:rsidRDefault="004830EA" w:rsidP="00D078F8">
                      <w:pPr>
                        <w:pStyle w:val="PlainText"/>
                        <w:jc w:val="center"/>
                        <w:rPr>
                          <w:rFonts w:ascii="Times New Roman" w:hAnsi="Times New Roman"/>
                        </w:rPr>
                      </w:pPr>
                      <w:r>
                        <w:rPr>
                          <w:rFonts w:ascii="Times New Roman" w:hAnsi="Times New Roman"/>
                        </w:rPr>
                        <w:t>Modeling Report</w:t>
                      </w:r>
                    </w:p>
                  </w:txbxContent>
                </v:textbox>
              </v:shape>
            </w:pict>
          </mc:Fallback>
        </mc:AlternateContent>
      </w:r>
      <w:r>
        <w:rPr>
          <w:noProof/>
        </w:rPr>
        <mc:AlternateContent>
          <mc:Choice Requires="wps">
            <w:drawing>
              <wp:anchor distT="0" distB="0" distL="114300" distR="114300" simplePos="0" relativeHeight="251665408" behindDoc="0" locked="0" layoutInCell="0" allowOverlap="1" wp14:anchorId="33DDAE1F" wp14:editId="1697C05E">
                <wp:simplePos x="0" y="0"/>
                <wp:positionH relativeFrom="column">
                  <wp:posOffset>2729230</wp:posOffset>
                </wp:positionH>
                <wp:positionV relativeFrom="paragraph">
                  <wp:posOffset>339090</wp:posOffset>
                </wp:positionV>
                <wp:extent cx="6350" cy="255905"/>
                <wp:effectExtent l="52705" t="7620" r="55245" b="22225"/>
                <wp:wrapNone/>
                <wp:docPr id="85"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255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DF9AD2" id="Line 150"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9pt,26.7pt" to="215.4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" o:allowincell="f">
                <v:stroke endarrow="block"/>
              </v:line>
            </w:pict>
          </mc:Fallback>
        </mc:AlternateContent>
      </w:r>
      <w:r>
        <w:rPr>
          <w:noProof/>
        </w:rPr>
        <mc:AlternateContent>
          <mc:Choice Requires="wps">
            <w:drawing>
              <wp:anchor distT="0" distB="0" distL="114300" distR="114300" simplePos="0" relativeHeight="251664384" behindDoc="0" locked="0" layoutInCell="0" allowOverlap="1" wp14:anchorId="5A6DA9C9" wp14:editId="11D863DB">
                <wp:simplePos x="0" y="0"/>
                <wp:positionH relativeFrom="column">
                  <wp:posOffset>1174750</wp:posOffset>
                </wp:positionH>
                <wp:positionV relativeFrom="paragraph">
                  <wp:posOffset>1052195</wp:posOffset>
                </wp:positionV>
                <wp:extent cx="0" cy="640080"/>
                <wp:effectExtent l="60325" t="6350" r="53975" b="20320"/>
                <wp:wrapNone/>
                <wp:docPr id="84"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0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4C67B0" id="Line 149"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5pt,82.85pt" to="92.5pt,1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" o:allowincell="f">
                <v:stroke endarrow="block"/>
              </v:line>
            </w:pict>
          </mc:Fallback>
        </mc:AlternateContent>
      </w:r>
      <w:r>
        <w:rPr>
          <w:noProof/>
        </w:rPr>
        <mc:AlternateContent>
          <mc:Choice Requires="wps">
            <w:drawing>
              <wp:anchor distT="0" distB="0" distL="114300" distR="114300" simplePos="0" relativeHeight="251662336" behindDoc="0" locked="0" layoutInCell="0" allowOverlap="1" wp14:anchorId="69897ACC" wp14:editId="13288126">
                <wp:simplePos x="0" y="0"/>
                <wp:positionH relativeFrom="column">
                  <wp:posOffset>4100830</wp:posOffset>
                </wp:positionH>
                <wp:positionV relativeFrom="paragraph">
                  <wp:posOffset>1052195</wp:posOffset>
                </wp:positionV>
                <wp:extent cx="0" cy="640080"/>
                <wp:effectExtent l="52705" t="6350" r="61595" b="20320"/>
                <wp:wrapNone/>
                <wp:docPr id="82"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0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11B974" id="Line 14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9pt,82.85pt" to="322.9pt,1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ellKgIAAEw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" o:allowincell="f">
                <v:stroke endarrow="block"/>
              </v:line>
            </w:pict>
          </mc:Fallback>
        </mc:AlternateContent>
      </w:r>
      <w:r>
        <w:rPr>
          <w:noProof/>
        </w:rPr>
        <mc:AlternateContent>
          <mc:Choice Requires="wps">
            <w:drawing>
              <wp:anchor distT="0" distB="0" distL="114300" distR="114300" simplePos="0" relativeHeight="251687936" behindDoc="0" locked="0" layoutInCell="0" allowOverlap="1" wp14:anchorId="23463F34" wp14:editId="75932C50">
                <wp:simplePos x="0" y="0"/>
                <wp:positionH relativeFrom="column">
                  <wp:posOffset>4100830</wp:posOffset>
                </wp:positionH>
                <wp:positionV relativeFrom="paragraph">
                  <wp:posOffset>2309495</wp:posOffset>
                </wp:positionV>
                <wp:extent cx="0" cy="297180"/>
                <wp:effectExtent l="52705" t="6350" r="61595" b="20320"/>
                <wp:wrapNone/>
                <wp:docPr id="79"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E4549B" id="Line 172"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9pt,181.85pt" to="322.9pt,2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" o:allowincell="f">
                <v:stroke endarrow="block"/>
              </v:line>
            </w:pict>
          </mc:Fallback>
        </mc:AlternateContent>
      </w:r>
      <w:r>
        <w:rPr>
          <w:noProof/>
        </w:rPr>
        <mc:AlternateContent>
          <mc:Choice Requires="wps">
            <w:drawing>
              <wp:anchor distT="0" distB="0" distL="114300" distR="114300" simplePos="0" relativeHeight="251686912" behindDoc="0" locked="0" layoutInCell="0" allowOverlap="1" wp14:anchorId="58F38076" wp14:editId="1CA1A9D7">
                <wp:simplePos x="0" y="0"/>
                <wp:positionH relativeFrom="column">
                  <wp:posOffset>2637790</wp:posOffset>
                </wp:positionH>
                <wp:positionV relativeFrom="paragraph">
                  <wp:posOffset>2606675</wp:posOffset>
                </wp:positionV>
                <wp:extent cx="1463040" cy="0"/>
                <wp:effectExtent l="18415" t="55880" r="13970" b="58420"/>
                <wp:wrapNone/>
                <wp:docPr id="78"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30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C5E5D3" id="Line 171"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7pt,205.25pt" to="322.9pt,2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" o:allowincell="f">
                <v:stroke endarrow="block"/>
              </v:line>
            </w:pict>
          </mc:Fallback>
        </mc:AlternateContent>
      </w:r>
      <w:r>
        <w:rPr>
          <w:noProof/>
        </w:rPr>
        <mc:AlternateContent>
          <mc:Choice Requires="wps">
            <w:drawing>
              <wp:anchor distT="0" distB="0" distL="114300" distR="114300" simplePos="0" relativeHeight="251685888" behindDoc="0" locked="0" layoutInCell="0" allowOverlap="1" wp14:anchorId="10940F27" wp14:editId="7D177572">
                <wp:simplePos x="0" y="0"/>
                <wp:positionH relativeFrom="column">
                  <wp:posOffset>1174750</wp:posOffset>
                </wp:positionH>
                <wp:positionV relativeFrom="paragraph">
                  <wp:posOffset>2606675</wp:posOffset>
                </wp:positionV>
                <wp:extent cx="1463040" cy="0"/>
                <wp:effectExtent l="12700" t="55880" r="19685" b="58420"/>
                <wp:wrapNone/>
                <wp:docPr id="77"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0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D2A994" id="Line 170"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5pt,205.25pt" to="207.7pt,2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" o:allowincell="f">
                <v:stroke endarrow="block"/>
              </v:line>
            </w:pict>
          </mc:Fallback>
        </mc:AlternateContent>
      </w:r>
      <w:r>
        <w:rPr>
          <w:noProof/>
        </w:rPr>
        <mc:AlternateContent>
          <mc:Choice Requires="wps">
            <w:drawing>
              <wp:anchor distT="0" distB="0" distL="114300" distR="114300" simplePos="0" relativeHeight="251676672" behindDoc="0" locked="0" layoutInCell="0" allowOverlap="1" wp14:anchorId="1B160E4E" wp14:editId="26A150CC">
                <wp:simplePos x="0" y="0"/>
                <wp:positionH relativeFrom="column">
                  <wp:posOffset>1174750</wp:posOffset>
                </wp:positionH>
                <wp:positionV relativeFrom="paragraph">
                  <wp:posOffset>2240915</wp:posOffset>
                </wp:positionV>
                <wp:extent cx="0" cy="365760"/>
                <wp:effectExtent l="60325" t="13970" r="53975" b="20320"/>
                <wp:wrapNone/>
                <wp:docPr id="76"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0344D7" id="Line 161"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5pt,176.45pt" to="92.5pt,2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" o:allowincell="f">
                <v:stroke endarrow="block"/>
              </v:line>
            </w:pict>
          </mc:Fallback>
        </mc:AlternateContent>
      </w:r>
    </w:p>
    <w:p w14:paraId="092AC307" w14:textId="77777777" w:rsidR="00D078F8" w:rsidRDefault="00D078F8" w:rsidP="00957BFF">
      <w:pPr>
        <w:spacing w:after="0"/>
        <w:rPr>
          <w:snapToGrid w:val="0"/>
        </w:rPr>
      </w:pPr>
    </w:p>
    <w:p w14:paraId="48889033" w14:textId="77777777" w:rsidR="00D078F8" w:rsidRDefault="00D078F8" w:rsidP="00957BFF">
      <w:pPr>
        <w:spacing w:after="0"/>
        <w:rPr>
          <w:snapToGrid w:val="0"/>
        </w:rPr>
      </w:pPr>
    </w:p>
    <w:p w14:paraId="3A10D842" w14:textId="424DF597" w:rsidR="00D078F8" w:rsidRDefault="00975056" w:rsidP="00957BFF">
      <w:pPr>
        <w:spacing w:after="0"/>
        <w:rPr>
          <w:snapToGrid w:val="0"/>
        </w:rPr>
      </w:pPr>
      <w:r>
        <w:rPr>
          <w:noProof/>
        </w:rPr>
        <mc:AlternateContent>
          <mc:Choice Requires="wps">
            <w:drawing>
              <wp:anchor distT="0" distB="0" distL="114300" distR="114300" simplePos="0" relativeHeight="251660288" behindDoc="0" locked="0" layoutInCell="0" allowOverlap="1" wp14:anchorId="4F239635" wp14:editId="4334D8C0">
                <wp:simplePos x="0" y="0"/>
                <wp:positionH relativeFrom="margin">
                  <wp:align>center</wp:align>
                </wp:positionH>
                <wp:positionV relativeFrom="paragraph">
                  <wp:posOffset>84303</wp:posOffset>
                </wp:positionV>
                <wp:extent cx="1700151" cy="900752"/>
                <wp:effectExtent l="19050" t="19050" r="14605" b="33020"/>
                <wp:wrapNone/>
                <wp:docPr id="80"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0151" cy="900752"/>
                        </a:xfrm>
                        <a:prstGeom prst="flowChartDecision">
                          <a:avLst/>
                        </a:prstGeom>
                        <a:solidFill>
                          <a:srgbClr val="FFFFFF"/>
                        </a:solidFill>
                        <a:ln w="9525">
                          <a:solidFill>
                            <a:srgbClr val="000000"/>
                          </a:solidFill>
                          <a:miter lim="800000"/>
                          <a:headEnd/>
                          <a:tailEnd/>
                        </a:ln>
                      </wps:spPr>
                      <wps:txbx>
                        <w:txbxContent>
                          <w:p w14:paraId="0B0B8021" w14:textId="40FA132C" w:rsidR="004830EA" w:rsidRDefault="004830EA" w:rsidP="00D078F8">
                            <w:pPr>
                              <w:pStyle w:val="PlainText"/>
                              <w:spacing w:before="60"/>
                              <w:jc w:val="center"/>
                              <w:rPr>
                                <w:rFonts w:ascii="Times New Roman" w:hAnsi="Times New Roman"/>
                              </w:rPr>
                            </w:pPr>
                            <w:r>
                              <w:rPr>
                                <w:rFonts w:ascii="Times New Roman" w:hAnsi="Times New Roman"/>
                              </w:rPr>
                              <w:t>Error or Deficiency??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39635" id="AutoShape 145" o:spid="_x0000_s1032" type="#_x0000_t110" style="position:absolute;margin-left:0;margin-top:6.65pt;width:133.85pt;height:70.9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" o:allowincell="f">
                <v:textbox>
                  <w:txbxContent>
                    <w:p w14:paraId="0B0B8021" w14:textId="40FA132C" w:rsidR="004830EA" w:rsidRDefault="004830EA" w:rsidP="00D078F8">
                      <w:pPr>
                        <w:pStyle w:val="PlainText"/>
                        <w:spacing w:before="60"/>
                        <w:jc w:val="center"/>
                        <w:rPr>
                          <w:rFonts w:ascii="Times New Roman" w:hAnsi="Times New Roman"/>
                        </w:rPr>
                      </w:pPr>
                      <w:r>
                        <w:rPr>
                          <w:rFonts w:ascii="Times New Roman" w:hAnsi="Times New Roman"/>
                        </w:rPr>
                        <w:t>Error or Deficiency??</w:t>
                      </w:r>
                    </w:p>
                  </w:txbxContent>
                </v:textbox>
                <w10:wrap anchorx="margin"/>
              </v:shape>
            </w:pict>
          </mc:Fallback>
        </mc:AlternateContent>
      </w:r>
    </w:p>
    <w:p w14:paraId="33452CC0" w14:textId="421BA846" w:rsidR="00D078F8" w:rsidRDefault="00975056" w:rsidP="00957BFF">
      <w:pPr>
        <w:spacing w:after="0"/>
        <w:rPr>
          <w:snapToGrid w:val="0"/>
        </w:rPr>
      </w:pPr>
      <w:r>
        <w:rPr>
          <w:noProof/>
        </w:rPr>
        <mc:AlternateContent>
          <mc:Choice Requires="wps">
            <w:drawing>
              <wp:anchor distT="0" distB="0" distL="114300" distR="114300" simplePos="0" relativeHeight="251671552" behindDoc="0" locked="0" layoutInCell="0" allowOverlap="1" wp14:anchorId="14B0C094" wp14:editId="013A615D">
                <wp:simplePos x="0" y="0"/>
                <wp:positionH relativeFrom="column">
                  <wp:posOffset>3668670</wp:posOffset>
                </wp:positionH>
                <wp:positionV relativeFrom="paragraph">
                  <wp:posOffset>136525</wp:posOffset>
                </wp:positionV>
                <wp:extent cx="457200" cy="210185"/>
                <wp:effectExtent l="2540" t="1270" r="0" b="0"/>
                <wp:wrapNone/>
                <wp:docPr id="74"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10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91AE1D" w14:textId="77777777" w:rsidR="004830EA" w:rsidRDefault="004830EA" w:rsidP="00D078F8">
                            <w:pPr>
                              <w:pStyle w:val="CommentText"/>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B0C094" id="_x0000_t202" coordsize="21600,21600" o:spt="202" path="m,l,21600r21600,l21600,xe">
                <v:stroke joinstyle="miter"/>
                <v:path gradientshapeok="t" o:connecttype="rect"/>
              </v:shapetype>
              <v:shape id="Text Box 156" o:spid="_x0000_s1033" type="#_x0000_t202" style="position:absolute;margin-left:288.85pt;margin-top:10.75pt;width:36pt;height:16.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" o:allowincell="f" stroked="f">
                <v:textbox>
                  <w:txbxContent>
                    <w:p w14:paraId="3391AE1D" w14:textId="77777777" w:rsidR="004830EA" w:rsidRDefault="004830EA" w:rsidP="00D078F8">
                      <w:pPr>
                        <w:pStyle w:val="CommentText"/>
                      </w:pPr>
                      <w:r>
                        <w:t>No</w:t>
                      </w:r>
                    </w:p>
                  </w:txbxContent>
                </v:textbox>
              </v:shape>
            </w:pict>
          </mc:Fallback>
        </mc:AlternateContent>
      </w:r>
      <w:r w:rsidR="00FD7D8B">
        <w:rPr>
          <w:noProof/>
        </w:rPr>
        <mc:AlternateContent>
          <mc:Choice Requires="wps">
            <w:drawing>
              <wp:anchor distT="0" distB="0" distL="114300" distR="114300" simplePos="0" relativeHeight="251670528" behindDoc="0" locked="0" layoutInCell="0" allowOverlap="1" wp14:anchorId="382F9696" wp14:editId="3A134E1C">
                <wp:simplePos x="0" y="0"/>
                <wp:positionH relativeFrom="column">
                  <wp:posOffset>1313180</wp:posOffset>
                </wp:positionH>
                <wp:positionV relativeFrom="paragraph">
                  <wp:posOffset>136525</wp:posOffset>
                </wp:positionV>
                <wp:extent cx="548640" cy="204470"/>
                <wp:effectExtent l="0" t="1270" r="0" b="3810"/>
                <wp:wrapNone/>
                <wp:docPr id="7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04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81986C" w14:textId="77777777" w:rsidR="004830EA" w:rsidRDefault="004830EA" w:rsidP="00D078F8">
                            <w:pPr>
                              <w:pStyle w:val="CommentText"/>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F9696" id="Text Box 155" o:spid="_x0000_s1034" type="#_x0000_t202" style="position:absolute;margin-left:103.4pt;margin-top:10.75pt;width:43.2pt;height:16.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" o:allowincell="f" stroked="f">
                <v:textbox>
                  <w:txbxContent>
                    <w:p w14:paraId="3881986C" w14:textId="77777777" w:rsidR="004830EA" w:rsidRDefault="004830EA" w:rsidP="00D078F8">
                      <w:pPr>
                        <w:pStyle w:val="CommentText"/>
                        <w:jc w:val="center"/>
                      </w:pPr>
                      <w:r>
                        <w:t>Yes</w:t>
                      </w:r>
                    </w:p>
                  </w:txbxContent>
                </v:textbox>
              </v:shape>
            </w:pict>
          </mc:Fallback>
        </mc:AlternateContent>
      </w:r>
    </w:p>
    <w:p w14:paraId="7FD2943E" w14:textId="2AA49749" w:rsidR="00D078F8" w:rsidRDefault="00975056" w:rsidP="00957BFF">
      <w:pPr>
        <w:spacing w:after="0"/>
        <w:rPr>
          <w:snapToGrid w:val="0"/>
        </w:rPr>
      </w:pPr>
      <w:r>
        <w:rPr>
          <w:noProof/>
        </w:rPr>
        <mc:AlternateContent>
          <mc:Choice Requires="wps">
            <w:drawing>
              <wp:anchor distT="0" distB="0" distL="114300" distR="114300" simplePos="0" relativeHeight="251661312" behindDoc="0" locked="0" layoutInCell="0" allowOverlap="1" wp14:anchorId="5A38C67D" wp14:editId="6085CF06">
                <wp:simplePos x="0" y="0"/>
                <wp:positionH relativeFrom="column">
                  <wp:posOffset>3585950</wp:posOffset>
                </wp:positionH>
                <wp:positionV relativeFrom="paragraph">
                  <wp:posOffset>177647</wp:posOffset>
                </wp:positionV>
                <wp:extent cx="519572" cy="0"/>
                <wp:effectExtent l="0" t="0" r="33020" b="19050"/>
                <wp:wrapNone/>
                <wp:docPr id="81"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95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217F06" id="Line 146"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35pt,14pt" to="323.2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" o:allowincell="f"/>
            </w:pict>
          </mc:Fallback>
        </mc:AlternateContent>
      </w:r>
      <w:r>
        <w:rPr>
          <w:noProof/>
        </w:rPr>
        <mc:AlternateContent>
          <mc:Choice Requires="wps">
            <w:drawing>
              <wp:anchor distT="0" distB="0" distL="114300" distR="114300" simplePos="0" relativeHeight="251663360" behindDoc="0" locked="0" layoutInCell="0" allowOverlap="1" wp14:anchorId="3C176BA5" wp14:editId="08F0970E">
                <wp:simplePos x="0" y="0"/>
                <wp:positionH relativeFrom="column">
                  <wp:posOffset>1177119</wp:posOffset>
                </wp:positionH>
                <wp:positionV relativeFrom="paragraph">
                  <wp:posOffset>177647</wp:posOffset>
                </wp:positionV>
                <wp:extent cx="736980" cy="6985"/>
                <wp:effectExtent l="0" t="0" r="25400" b="31115"/>
                <wp:wrapNone/>
                <wp:docPr id="83"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36980" cy="6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E09EFC" id="Line 148" o:spid="_x0000_s1026" style="position:absolute;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7pt,14pt" to="150.7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" o:allowincell="f"/>
            </w:pict>
          </mc:Fallback>
        </mc:AlternateContent>
      </w:r>
    </w:p>
    <w:p w14:paraId="4C8E0E33" w14:textId="4791422D" w:rsidR="00D078F8" w:rsidRDefault="00D078F8" w:rsidP="00957BFF">
      <w:pPr>
        <w:spacing w:after="0"/>
        <w:rPr>
          <w:snapToGrid w:val="0"/>
        </w:rPr>
      </w:pPr>
    </w:p>
    <w:p w14:paraId="00C3A827" w14:textId="77777777" w:rsidR="00D078F8" w:rsidRDefault="00D078F8" w:rsidP="00957BFF">
      <w:pPr>
        <w:spacing w:after="0"/>
        <w:rPr>
          <w:snapToGrid w:val="0"/>
        </w:rPr>
      </w:pPr>
    </w:p>
    <w:p w14:paraId="6D1689AD" w14:textId="77777777" w:rsidR="00D078F8" w:rsidRDefault="00D078F8" w:rsidP="00957BFF">
      <w:pPr>
        <w:spacing w:after="0"/>
        <w:rPr>
          <w:snapToGrid w:val="0"/>
        </w:rPr>
      </w:pPr>
    </w:p>
    <w:p w14:paraId="14ACA3D1" w14:textId="77777777" w:rsidR="00D078F8" w:rsidRDefault="00D078F8" w:rsidP="00957BFF">
      <w:pPr>
        <w:spacing w:after="0"/>
        <w:rPr>
          <w:snapToGrid w:val="0"/>
        </w:rPr>
      </w:pPr>
    </w:p>
    <w:p w14:paraId="3E155295" w14:textId="77777777" w:rsidR="00D078F8" w:rsidRDefault="00D078F8" w:rsidP="00957BFF">
      <w:pPr>
        <w:spacing w:after="0"/>
        <w:rPr>
          <w:snapToGrid w:val="0"/>
        </w:rPr>
      </w:pPr>
    </w:p>
    <w:p w14:paraId="530DE6CF" w14:textId="77777777" w:rsidR="00D078F8" w:rsidRDefault="00D078F8" w:rsidP="00957BFF">
      <w:pPr>
        <w:spacing w:after="0"/>
        <w:rPr>
          <w:snapToGrid w:val="0"/>
        </w:rPr>
      </w:pPr>
    </w:p>
    <w:p w14:paraId="575C7461" w14:textId="4B0FF836" w:rsidR="00D078F8" w:rsidRDefault="00D078F8" w:rsidP="00957BFF">
      <w:pPr>
        <w:spacing w:after="0"/>
        <w:rPr>
          <w:snapToGrid w:val="0"/>
        </w:rPr>
      </w:pPr>
    </w:p>
    <w:p w14:paraId="10E99DA2" w14:textId="16AA79C5" w:rsidR="00D078F8" w:rsidRDefault="00D078F8" w:rsidP="00957BFF">
      <w:pPr>
        <w:spacing w:after="0"/>
        <w:rPr>
          <w:snapToGrid w:val="0"/>
        </w:rPr>
      </w:pPr>
    </w:p>
    <w:p w14:paraId="6D511502" w14:textId="7862FA63" w:rsidR="00D078F8" w:rsidRDefault="00D078F8" w:rsidP="00957BFF">
      <w:pPr>
        <w:spacing w:after="0"/>
        <w:rPr>
          <w:snapToGrid w:val="0"/>
        </w:rPr>
      </w:pPr>
    </w:p>
    <w:p w14:paraId="5A9FE0AA" w14:textId="5C778FD1" w:rsidR="00D078F8" w:rsidRDefault="00D078F8" w:rsidP="00957BFF">
      <w:pPr>
        <w:spacing w:after="0"/>
        <w:rPr>
          <w:snapToGrid w:val="0"/>
        </w:rPr>
      </w:pPr>
    </w:p>
    <w:p w14:paraId="427ACC2C" w14:textId="54DC28F2" w:rsidR="00D078F8" w:rsidRDefault="00D078F8" w:rsidP="00957BFF">
      <w:pPr>
        <w:spacing w:after="0"/>
        <w:rPr>
          <w:snapToGrid w:val="0"/>
        </w:rPr>
      </w:pPr>
    </w:p>
    <w:p w14:paraId="7BF79BD5" w14:textId="55174A78" w:rsidR="00D078F8" w:rsidRDefault="00FD7D8B" w:rsidP="00957BFF">
      <w:pPr>
        <w:spacing w:after="0"/>
        <w:rPr>
          <w:snapToGrid w:val="0"/>
        </w:rPr>
      </w:pPr>
      <w:r>
        <w:rPr>
          <w:noProof/>
        </w:rPr>
        <mc:AlternateContent>
          <mc:Choice Requires="wps">
            <w:drawing>
              <wp:anchor distT="0" distB="0" distL="114300" distR="114300" simplePos="0" relativeHeight="251681792" behindDoc="0" locked="0" layoutInCell="0" allowOverlap="1" wp14:anchorId="5BD89733" wp14:editId="4315C9C0">
                <wp:simplePos x="0" y="0"/>
                <wp:positionH relativeFrom="column">
                  <wp:posOffset>1484630</wp:posOffset>
                </wp:positionH>
                <wp:positionV relativeFrom="paragraph">
                  <wp:posOffset>10795</wp:posOffset>
                </wp:positionV>
                <wp:extent cx="457200" cy="213995"/>
                <wp:effectExtent l="0" t="635" r="1270" b="4445"/>
                <wp:wrapNone/>
                <wp:docPr id="73"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13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9DFC8C" w14:textId="77777777" w:rsidR="004830EA" w:rsidRDefault="004830EA" w:rsidP="00D078F8">
                            <w:pPr>
                              <w:pStyle w:val="CommentText"/>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D89733" id="Text Box 166" o:spid="_x0000_s1035" type="#_x0000_t202" style="position:absolute;margin-left:116.9pt;margin-top:.85pt;width:36pt;height:16.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" o:allowincell="f" stroked="f">
                <v:textbox>
                  <w:txbxContent>
                    <w:p w14:paraId="5A9DFC8C" w14:textId="77777777" w:rsidR="004830EA" w:rsidRDefault="004830EA" w:rsidP="00D078F8">
                      <w:pPr>
                        <w:pStyle w:val="CommentText"/>
                        <w:jc w:val="center"/>
                      </w:pPr>
                      <w:r>
                        <w:t>Yes</w:t>
                      </w:r>
                    </w:p>
                  </w:txbxContent>
                </v:textbox>
              </v:shape>
            </w:pict>
          </mc:Fallback>
        </mc:AlternateContent>
      </w:r>
      <w:r>
        <w:rPr>
          <w:noProof/>
        </w:rPr>
        <mc:AlternateContent>
          <mc:Choice Requires="wps">
            <w:drawing>
              <wp:anchor distT="0" distB="0" distL="114300" distR="114300" simplePos="0" relativeHeight="251675648" behindDoc="0" locked="0" layoutInCell="0" allowOverlap="1" wp14:anchorId="1F2D6A87" wp14:editId="239B02F4">
                <wp:simplePos x="0" y="0"/>
                <wp:positionH relativeFrom="column">
                  <wp:posOffset>3384550</wp:posOffset>
                </wp:positionH>
                <wp:positionV relativeFrom="paragraph">
                  <wp:posOffset>10160</wp:posOffset>
                </wp:positionV>
                <wp:extent cx="457200" cy="213995"/>
                <wp:effectExtent l="3175" t="0" r="0" b="0"/>
                <wp:wrapNone/>
                <wp:docPr id="72"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13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F50537" w14:textId="77777777" w:rsidR="004830EA" w:rsidRDefault="004830EA" w:rsidP="00D078F8">
                            <w:pPr>
                              <w:pStyle w:val="CommentText"/>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D6A87" id="Text Box 160" o:spid="_x0000_s1036" type="#_x0000_t202" style="position:absolute;margin-left:266.5pt;margin-top:.8pt;width:36pt;height:16.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" o:allowincell="f" stroked="f">
                <v:textbox>
                  <w:txbxContent>
                    <w:p w14:paraId="48F50537" w14:textId="77777777" w:rsidR="004830EA" w:rsidRDefault="004830EA" w:rsidP="00D078F8">
                      <w:pPr>
                        <w:pStyle w:val="CommentText"/>
                      </w:pPr>
                      <w:r>
                        <w:t>No</w:t>
                      </w:r>
                    </w:p>
                  </w:txbxContent>
                </v:textbox>
              </v:shape>
            </w:pict>
          </mc:Fallback>
        </mc:AlternateContent>
      </w:r>
    </w:p>
    <w:p w14:paraId="65223123" w14:textId="37FB219C" w:rsidR="00D078F8" w:rsidRDefault="00FD7D8B" w:rsidP="00957BFF">
      <w:pPr>
        <w:spacing w:after="0"/>
        <w:rPr>
          <w:snapToGrid w:val="0"/>
        </w:rPr>
      </w:pPr>
      <w:r>
        <w:rPr>
          <w:noProof/>
        </w:rPr>
        <mc:AlternateContent>
          <mc:Choice Requires="wps">
            <w:drawing>
              <wp:anchor distT="0" distB="0" distL="114300" distR="114300" simplePos="0" relativeHeight="251682816" behindDoc="0" locked="0" layoutInCell="0" allowOverlap="1" wp14:anchorId="2C5C7F35" wp14:editId="51081E6D">
                <wp:simplePos x="0" y="0"/>
                <wp:positionH relativeFrom="column">
                  <wp:posOffset>1576070</wp:posOffset>
                </wp:positionH>
                <wp:positionV relativeFrom="paragraph">
                  <wp:posOffset>92710</wp:posOffset>
                </wp:positionV>
                <wp:extent cx="0" cy="282575"/>
                <wp:effectExtent l="61595" t="10160" r="52705" b="21590"/>
                <wp:wrapNone/>
                <wp:docPr id="71"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25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FE35AD" id="Line 167"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1pt,7.3pt" to="124.1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" o:allowincell="f">
                <v:stroke endarrow="block"/>
              </v:line>
            </w:pict>
          </mc:Fallback>
        </mc:AlternateContent>
      </w:r>
      <w:r>
        <w:rPr>
          <w:noProof/>
        </w:rPr>
        <mc:AlternateContent>
          <mc:Choice Requires="wps">
            <w:drawing>
              <wp:anchor distT="0" distB="0" distL="114300" distR="114300" simplePos="0" relativeHeight="251680768" behindDoc="0" locked="0" layoutInCell="0" allowOverlap="1" wp14:anchorId="7388D6A3" wp14:editId="171E0917">
                <wp:simplePos x="0" y="0"/>
                <wp:positionH relativeFrom="column">
                  <wp:posOffset>1576070</wp:posOffset>
                </wp:positionH>
                <wp:positionV relativeFrom="paragraph">
                  <wp:posOffset>92710</wp:posOffset>
                </wp:positionV>
                <wp:extent cx="330200" cy="0"/>
                <wp:effectExtent l="13970" t="10160" r="8255" b="8890"/>
                <wp:wrapNone/>
                <wp:docPr id="70"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F7D046" id="Line 165"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1pt,7.3pt" to="150.1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" o:allowincell="f"/>
            </w:pict>
          </mc:Fallback>
        </mc:AlternateContent>
      </w:r>
      <w:r>
        <w:rPr>
          <w:noProof/>
        </w:rPr>
        <mc:AlternateContent>
          <mc:Choice Requires="wps">
            <w:drawing>
              <wp:anchor distT="0" distB="0" distL="114300" distR="114300" simplePos="0" relativeHeight="251672576" behindDoc="0" locked="0" layoutInCell="0" allowOverlap="1" wp14:anchorId="639F28DE" wp14:editId="39CCE20D">
                <wp:simplePos x="0" y="0"/>
                <wp:positionH relativeFrom="column">
                  <wp:posOffset>3369310</wp:posOffset>
                </wp:positionH>
                <wp:positionV relativeFrom="paragraph">
                  <wp:posOffset>92710</wp:posOffset>
                </wp:positionV>
                <wp:extent cx="1974850" cy="0"/>
                <wp:effectExtent l="6985" t="57785" r="18415" b="56515"/>
                <wp:wrapNone/>
                <wp:docPr id="69"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48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79B6B7" id="Line 157"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3pt,7.3pt" to="420.8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6smKwIAAE0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" o:allowincell="f">
                <v:stroke endarrow="block"/>
              </v:line>
            </w:pict>
          </mc:Fallback>
        </mc:AlternateContent>
      </w:r>
    </w:p>
    <w:p w14:paraId="6BC4082B" w14:textId="640B4D92" w:rsidR="00D078F8" w:rsidRDefault="00D078F8" w:rsidP="00957BFF">
      <w:pPr>
        <w:spacing w:after="0"/>
        <w:rPr>
          <w:snapToGrid w:val="0"/>
        </w:rPr>
      </w:pPr>
    </w:p>
    <w:p w14:paraId="5A7A4E82" w14:textId="6728EB79" w:rsidR="00D078F8" w:rsidRDefault="00FD7D8B" w:rsidP="00957BFF">
      <w:pPr>
        <w:spacing w:after="0"/>
        <w:rPr>
          <w:snapToGrid w:val="0"/>
        </w:rPr>
      </w:pPr>
      <w:r>
        <w:rPr>
          <w:noProof/>
        </w:rPr>
        <mc:AlternateContent>
          <mc:Choice Requires="wps">
            <w:drawing>
              <wp:anchor distT="0" distB="0" distL="114300" distR="114300" simplePos="0" relativeHeight="251679744" behindDoc="0" locked="0" layoutInCell="0" allowOverlap="1" wp14:anchorId="6BEFBE03" wp14:editId="1E3331E3">
                <wp:simplePos x="0" y="0"/>
                <wp:positionH relativeFrom="column">
                  <wp:posOffset>890905</wp:posOffset>
                </wp:positionH>
                <wp:positionV relativeFrom="paragraph">
                  <wp:posOffset>24130</wp:posOffset>
                </wp:positionV>
                <wp:extent cx="1371600" cy="822960"/>
                <wp:effectExtent l="14605" t="15875" r="23495" b="18415"/>
                <wp:wrapNone/>
                <wp:docPr id="68" name="Auto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822960"/>
                        </a:xfrm>
                        <a:prstGeom prst="flowChartDecision">
                          <a:avLst/>
                        </a:prstGeom>
                        <a:solidFill>
                          <a:srgbClr val="FFFFFF"/>
                        </a:solidFill>
                        <a:ln w="9525">
                          <a:solidFill>
                            <a:srgbClr val="000000"/>
                          </a:solidFill>
                          <a:miter lim="800000"/>
                          <a:headEnd/>
                          <a:tailEnd/>
                        </a:ln>
                      </wps:spPr>
                      <wps:txbx>
                        <w:txbxContent>
                          <w:p w14:paraId="7DBE7606" w14:textId="77777777" w:rsidR="004830EA" w:rsidRDefault="004830EA" w:rsidP="00957BFF">
                            <w:pPr>
                              <w:spacing w:before="60"/>
                              <w:jc w:val="center"/>
                              <w:rPr>
                                <w:sz w:val="20"/>
                              </w:rPr>
                            </w:pPr>
                            <w:r>
                              <w:rPr>
                                <w:sz w:val="20"/>
                              </w:rPr>
                              <w:t>Modeling Accepted?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FBE03" id="AutoShape 164" o:spid="_x0000_s1037" type="#_x0000_t110" style="position:absolute;margin-left:70.15pt;margin-top:1.9pt;width:108pt;height:64.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" o:allowincell="f">
                <v:textbox>
                  <w:txbxContent>
                    <w:p w14:paraId="7DBE7606" w14:textId="77777777" w:rsidR="004830EA" w:rsidRDefault="004830EA" w:rsidP="00957BFF">
                      <w:pPr>
                        <w:spacing w:before="60"/>
                        <w:jc w:val="center"/>
                        <w:rPr>
                          <w:sz w:val="20"/>
                        </w:rPr>
                      </w:pPr>
                      <w:r>
                        <w:rPr>
                          <w:sz w:val="20"/>
                        </w:rPr>
                        <w:t>Modeling Accepted?</w:t>
                      </w:r>
                    </w:p>
                  </w:txbxContent>
                </v:textbox>
              </v:shape>
            </w:pict>
          </mc:Fallback>
        </mc:AlternateContent>
      </w:r>
    </w:p>
    <w:p w14:paraId="2122B8DB" w14:textId="27DE8223" w:rsidR="00D078F8" w:rsidRDefault="00975056" w:rsidP="00957BFF">
      <w:pPr>
        <w:spacing w:after="0"/>
        <w:rPr>
          <w:snapToGrid w:val="0"/>
        </w:rPr>
      </w:pPr>
      <w:r>
        <w:rPr>
          <w:noProof/>
        </w:rPr>
        <mc:AlternateContent>
          <mc:Choice Requires="wps">
            <w:drawing>
              <wp:anchor distT="0" distB="0" distL="114300" distR="114300" simplePos="0" relativeHeight="251689984" behindDoc="0" locked="0" layoutInCell="0" allowOverlap="1" wp14:anchorId="6D896FAF" wp14:editId="1E0500BD">
                <wp:simplePos x="0" y="0"/>
                <wp:positionH relativeFrom="column">
                  <wp:posOffset>2869442</wp:posOffset>
                </wp:positionH>
                <wp:positionV relativeFrom="paragraph">
                  <wp:posOffset>8141</wp:posOffset>
                </wp:positionV>
                <wp:extent cx="457200" cy="238836"/>
                <wp:effectExtent l="0" t="0" r="0" b="8890"/>
                <wp:wrapNone/>
                <wp:docPr id="66"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388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BE4350" w14:textId="77777777" w:rsidR="004830EA" w:rsidRDefault="004830EA" w:rsidP="00D078F8">
                            <w:pPr>
                              <w:pStyle w:val="CommentText"/>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96FAF" id="Text Box 174" o:spid="_x0000_s1038" type="#_x0000_t202" style="position:absolute;margin-left:225.95pt;margin-top:.65pt;width:36pt;height:18.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" o:allowincell="f" stroked="f">
                <v:textbox>
                  <w:txbxContent>
                    <w:p w14:paraId="5FBE4350" w14:textId="77777777" w:rsidR="004830EA" w:rsidRDefault="004830EA" w:rsidP="00D078F8">
                      <w:pPr>
                        <w:pStyle w:val="CommentText"/>
                      </w:pPr>
                      <w:r>
                        <w:t>No</w:t>
                      </w:r>
                    </w:p>
                  </w:txbxContent>
                </v:textbox>
              </v:shape>
            </w:pict>
          </mc:Fallback>
        </mc:AlternateContent>
      </w:r>
      <w:r w:rsidR="00FD7D8B">
        <w:rPr>
          <w:noProof/>
        </w:rPr>
        <mc:AlternateContent>
          <mc:Choice Requires="wps">
            <w:drawing>
              <wp:anchor distT="0" distB="0" distL="114300" distR="114300" simplePos="0" relativeHeight="251692032" behindDoc="0" locked="0" layoutInCell="0" allowOverlap="1" wp14:anchorId="67597279" wp14:editId="33EB9326">
                <wp:simplePos x="0" y="0"/>
                <wp:positionH relativeFrom="column">
                  <wp:posOffset>2268855</wp:posOffset>
                </wp:positionH>
                <wp:positionV relativeFrom="paragraph">
                  <wp:posOffset>261620</wp:posOffset>
                </wp:positionV>
                <wp:extent cx="1463040" cy="0"/>
                <wp:effectExtent l="11430" t="9525" r="11430" b="9525"/>
                <wp:wrapNone/>
                <wp:docPr id="67"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1C5524" id="Line 176"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65pt,20.6pt" to="293.8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nclFQ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" o:allowincell="f"/>
            </w:pict>
          </mc:Fallback>
        </mc:AlternateContent>
      </w:r>
      <w:r w:rsidR="00FD7D8B">
        <w:rPr>
          <w:noProof/>
        </w:rPr>
        <mc:AlternateContent>
          <mc:Choice Requires="wps">
            <w:drawing>
              <wp:anchor distT="0" distB="0" distL="114300" distR="114300" simplePos="0" relativeHeight="251688960" behindDoc="0" locked="0" layoutInCell="0" allowOverlap="1" wp14:anchorId="4C8E83B6" wp14:editId="23E7CCC3">
                <wp:simplePos x="0" y="0"/>
                <wp:positionH relativeFrom="column">
                  <wp:posOffset>493395</wp:posOffset>
                </wp:positionH>
                <wp:positionV relativeFrom="paragraph">
                  <wp:posOffset>11430</wp:posOffset>
                </wp:positionV>
                <wp:extent cx="457200" cy="209550"/>
                <wp:effectExtent l="0" t="0" r="1905" b="2540"/>
                <wp:wrapNone/>
                <wp:docPr id="65"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423582" w14:textId="77777777" w:rsidR="004830EA" w:rsidRDefault="004830EA" w:rsidP="00D078F8">
                            <w:pPr>
                              <w:pStyle w:val="CommentText"/>
                              <w:jc w:val="right"/>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E83B6" id="Text Box 173" o:spid="_x0000_s1039" type="#_x0000_t202" style="position:absolute;margin-left:38.85pt;margin-top:.9pt;width:36pt;height:1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" o:allowincell="f" stroked="f">
                <v:textbox>
                  <w:txbxContent>
                    <w:p w14:paraId="48423582" w14:textId="77777777" w:rsidR="004830EA" w:rsidRDefault="004830EA" w:rsidP="00D078F8">
                      <w:pPr>
                        <w:pStyle w:val="CommentText"/>
                        <w:jc w:val="right"/>
                      </w:pPr>
                      <w:r>
                        <w:t>Yes</w:t>
                      </w:r>
                    </w:p>
                  </w:txbxContent>
                </v:textbox>
              </v:shape>
            </w:pict>
          </mc:Fallback>
        </mc:AlternateContent>
      </w:r>
      <w:r w:rsidR="00FD7D8B">
        <w:rPr>
          <w:noProof/>
        </w:rPr>
        <mc:AlternateContent>
          <mc:Choice Requires="wps">
            <w:drawing>
              <wp:anchor distT="0" distB="0" distL="114300" distR="114300" simplePos="0" relativeHeight="251683840" behindDoc="0" locked="0" layoutInCell="0" allowOverlap="1" wp14:anchorId="125FAFC4" wp14:editId="0B8AE882">
                <wp:simplePos x="0" y="0"/>
                <wp:positionH relativeFrom="column">
                  <wp:posOffset>622935</wp:posOffset>
                </wp:positionH>
                <wp:positionV relativeFrom="paragraph">
                  <wp:posOffset>261620</wp:posOffset>
                </wp:positionV>
                <wp:extent cx="274320" cy="0"/>
                <wp:effectExtent l="13335" t="9525" r="7620" b="9525"/>
                <wp:wrapNone/>
                <wp:docPr id="64"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221D2F" id="Line 168"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05pt,20.6pt" to="70.6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" o:allowincell="f"/>
            </w:pict>
          </mc:Fallback>
        </mc:AlternateContent>
      </w:r>
    </w:p>
    <w:p w14:paraId="4C1A650D" w14:textId="21D293E7" w:rsidR="00D078F8" w:rsidRDefault="00FD7D8B" w:rsidP="00957BFF">
      <w:pPr>
        <w:spacing w:after="0"/>
        <w:rPr>
          <w:snapToGrid w:val="0"/>
        </w:rPr>
      </w:pPr>
      <w:r>
        <w:rPr>
          <w:noProof/>
        </w:rPr>
        <mc:AlternateContent>
          <mc:Choice Requires="wps">
            <w:drawing>
              <wp:anchor distT="0" distB="0" distL="114300" distR="114300" simplePos="0" relativeHeight="251684864" behindDoc="0" locked="0" layoutInCell="0" allowOverlap="1" wp14:anchorId="7BE6B316" wp14:editId="1ACC11C6">
                <wp:simplePos x="0" y="0"/>
                <wp:positionH relativeFrom="column">
                  <wp:posOffset>626110</wp:posOffset>
                </wp:positionH>
                <wp:positionV relativeFrom="paragraph">
                  <wp:posOffset>86995</wp:posOffset>
                </wp:positionV>
                <wp:extent cx="0" cy="435610"/>
                <wp:effectExtent l="54610" t="10160" r="59690" b="20955"/>
                <wp:wrapNone/>
                <wp:docPr id="63"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56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E54EB4" id="Line 169"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pt,6.85pt" to="49.3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k9VKgIAAEw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" o:allowincell="f">
                <v:stroke endarrow="block"/>
              </v:line>
            </w:pict>
          </mc:Fallback>
        </mc:AlternateContent>
      </w:r>
      <w:r>
        <w:rPr>
          <w:noProof/>
        </w:rPr>
        <mc:AlternateContent>
          <mc:Choice Requires="wps">
            <w:drawing>
              <wp:anchor distT="0" distB="0" distL="114300" distR="114300" simplePos="0" relativeHeight="251701248" behindDoc="0" locked="0" layoutInCell="0" allowOverlap="1" wp14:anchorId="5C715EBB" wp14:editId="7F79D52C">
                <wp:simplePos x="0" y="0"/>
                <wp:positionH relativeFrom="column">
                  <wp:posOffset>3740785</wp:posOffset>
                </wp:positionH>
                <wp:positionV relativeFrom="paragraph">
                  <wp:posOffset>86995</wp:posOffset>
                </wp:positionV>
                <wp:extent cx="0" cy="435610"/>
                <wp:effectExtent l="54610" t="10160" r="59690" b="20955"/>
                <wp:wrapNone/>
                <wp:docPr id="62"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56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D03494" id="Line 204"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55pt,6.85pt" to="294.55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vtFKgIAAEw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" o:allowincell="f">
                <v:stroke endarrow="block"/>
              </v:line>
            </w:pict>
          </mc:Fallback>
        </mc:AlternateContent>
      </w:r>
    </w:p>
    <w:p w14:paraId="2BA3861B" w14:textId="77777777" w:rsidR="00D078F8" w:rsidRDefault="00D078F8" w:rsidP="00957BFF">
      <w:pPr>
        <w:spacing w:after="0"/>
        <w:rPr>
          <w:snapToGrid w:val="0"/>
        </w:rPr>
      </w:pPr>
    </w:p>
    <w:p w14:paraId="3B5C803E" w14:textId="77777777" w:rsidR="00D078F8" w:rsidRDefault="00D078F8" w:rsidP="00957BFF">
      <w:pPr>
        <w:spacing w:after="0"/>
        <w:rPr>
          <w:snapToGrid w:val="0"/>
        </w:rPr>
      </w:pPr>
    </w:p>
    <w:p w14:paraId="66B09A78" w14:textId="7A58F341" w:rsidR="00D078F8" w:rsidRDefault="00FD7D8B" w:rsidP="00957BFF">
      <w:pPr>
        <w:spacing w:after="0"/>
        <w:rPr>
          <w:snapToGrid w:val="0"/>
        </w:rPr>
      </w:pPr>
      <w:r>
        <w:rPr>
          <w:noProof/>
        </w:rPr>
        <mc:AlternateContent>
          <mc:Choice Requires="wps">
            <w:drawing>
              <wp:anchor distT="0" distB="0" distL="114300" distR="114300" simplePos="0" relativeHeight="251695104" behindDoc="0" locked="0" layoutInCell="0" allowOverlap="1" wp14:anchorId="044C2300" wp14:editId="277CD08A">
                <wp:simplePos x="0" y="0"/>
                <wp:positionH relativeFrom="column">
                  <wp:posOffset>991870</wp:posOffset>
                </wp:positionH>
                <wp:positionV relativeFrom="paragraph">
                  <wp:posOffset>383540</wp:posOffset>
                </wp:positionV>
                <wp:extent cx="0" cy="318770"/>
                <wp:effectExtent l="58420" t="13335" r="55880" b="20320"/>
                <wp:wrapNone/>
                <wp:docPr id="61"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87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1B740C" id="Line 179"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1pt,30.2pt" to="78.1pt,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" o:allowincell="f">
                <v:stroke endarrow="block"/>
              </v:line>
            </w:pict>
          </mc:Fallback>
        </mc:AlternateContent>
      </w:r>
      <w:r>
        <w:rPr>
          <w:noProof/>
        </w:rPr>
        <mc:AlternateContent>
          <mc:Choice Requires="wps">
            <w:drawing>
              <wp:anchor distT="0" distB="0" distL="114300" distR="114300" simplePos="0" relativeHeight="251691008" behindDoc="0" locked="0" layoutInCell="0" allowOverlap="1" wp14:anchorId="77E75C29" wp14:editId="54264207">
                <wp:simplePos x="0" y="0"/>
                <wp:positionH relativeFrom="column">
                  <wp:posOffset>168910</wp:posOffset>
                </wp:positionH>
                <wp:positionV relativeFrom="paragraph">
                  <wp:posOffset>8890</wp:posOffset>
                </wp:positionV>
                <wp:extent cx="1554480" cy="365760"/>
                <wp:effectExtent l="6985" t="10160" r="10160" b="5080"/>
                <wp:wrapNone/>
                <wp:docPr id="60"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365760"/>
                        </a:xfrm>
                        <a:prstGeom prst="flowChartProcess">
                          <a:avLst/>
                        </a:prstGeom>
                        <a:solidFill>
                          <a:srgbClr val="FFFFFF"/>
                        </a:solidFill>
                        <a:ln w="9525">
                          <a:solidFill>
                            <a:srgbClr val="000000"/>
                          </a:solidFill>
                          <a:miter lim="800000"/>
                          <a:headEnd/>
                          <a:tailEnd/>
                        </a:ln>
                      </wps:spPr>
                      <wps:txbx>
                        <w:txbxContent>
                          <w:p w14:paraId="67FC5934" w14:textId="115E4393" w:rsidR="004830EA" w:rsidRDefault="004830EA" w:rsidP="00D078F8">
                            <w:pPr>
                              <w:jc w:val="center"/>
                              <w:rPr>
                                <w:sz w:val="20"/>
                              </w:rPr>
                            </w:pPr>
                            <w:r>
                              <w:rPr>
                                <w:sz w:val="20"/>
                              </w:rPr>
                              <w:t>Finish Modeling Report</w:t>
                            </w:r>
                          </w:p>
                          <w:p w14:paraId="56F7080A" w14:textId="77777777" w:rsidR="004830EA" w:rsidRDefault="004830EA" w:rsidP="00D078F8">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75C29" id="AutoShape 175" o:spid="_x0000_s1040" type="#_x0000_t109" style="position:absolute;margin-left:13.3pt;margin-top:.7pt;width:122.4pt;height:28.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" o:allowincell="f">
                <v:textbox>
                  <w:txbxContent>
                    <w:p w14:paraId="67FC5934" w14:textId="115E4393" w:rsidR="004830EA" w:rsidRDefault="004830EA" w:rsidP="00D078F8">
                      <w:pPr>
                        <w:jc w:val="center"/>
                        <w:rPr>
                          <w:sz w:val="20"/>
                        </w:rPr>
                      </w:pPr>
                      <w:r>
                        <w:rPr>
                          <w:sz w:val="20"/>
                        </w:rPr>
                        <w:t>Finish Modeling Report</w:t>
                      </w:r>
                    </w:p>
                    <w:p w14:paraId="56F7080A" w14:textId="77777777" w:rsidR="004830EA" w:rsidRDefault="004830EA" w:rsidP="00D078F8">
                      <w:pPr>
                        <w:rPr>
                          <w:sz w:val="20"/>
                        </w:rPr>
                      </w:pPr>
                    </w:p>
                  </w:txbxContent>
                </v:textbox>
              </v:shape>
            </w:pict>
          </mc:Fallback>
        </mc:AlternateContent>
      </w:r>
      <w:r>
        <w:rPr>
          <w:noProof/>
        </w:rPr>
        <mc:AlternateContent>
          <mc:Choice Requires="wps">
            <w:drawing>
              <wp:anchor distT="0" distB="0" distL="114300" distR="114300" simplePos="0" relativeHeight="251693056" behindDoc="0" locked="0" layoutInCell="0" allowOverlap="1" wp14:anchorId="01C794B3" wp14:editId="0524A88F">
                <wp:simplePos x="0" y="0"/>
                <wp:positionH relativeFrom="column">
                  <wp:posOffset>2820670</wp:posOffset>
                </wp:positionH>
                <wp:positionV relativeFrom="paragraph">
                  <wp:posOffset>0</wp:posOffset>
                </wp:positionV>
                <wp:extent cx="1554480" cy="365760"/>
                <wp:effectExtent l="10795" t="10795" r="6350" b="13970"/>
                <wp:wrapNone/>
                <wp:docPr id="59" name="Auto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365760"/>
                        </a:xfrm>
                        <a:prstGeom prst="flowChartProcess">
                          <a:avLst/>
                        </a:prstGeom>
                        <a:solidFill>
                          <a:srgbClr val="FFFFFF"/>
                        </a:solidFill>
                        <a:ln w="9525">
                          <a:solidFill>
                            <a:srgbClr val="000000"/>
                          </a:solidFill>
                          <a:miter lim="800000"/>
                          <a:headEnd/>
                          <a:tailEnd/>
                        </a:ln>
                      </wps:spPr>
                      <wps:txbx>
                        <w:txbxContent>
                          <w:p w14:paraId="342BB0D1" w14:textId="77777777" w:rsidR="004830EA" w:rsidRDefault="004830EA" w:rsidP="00D078F8">
                            <w:pPr>
                              <w:pStyle w:val="PlainText"/>
                              <w:jc w:val="center"/>
                              <w:rPr>
                                <w:rFonts w:ascii="Times New Roman" w:hAnsi="Times New Roman"/>
                              </w:rPr>
                            </w:pPr>
                            <w:r>
                              <w:rPr>
                                <w:rFonts w:ascii="Times New Roman" w:hAnsi="Times New Roman"/>
                              </w:rPr>
                              <w:t>Finish Deficiency Letter &amp; Document Project Status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794B3" id="AutoShape 177" o:spid="_x0000_s1041" type="#_x0000_t109" style="position:absolute;margin-left:222.1pt;margin-top:0;width:122.4pt;height:28.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" o:allowincell="f">
                <v:textbox>
                  <w:txbxContent>
                    <w:p w14:paraId="342BB0D1" w14:textId="77777777" w:rsidR="004830EA" w:rsidRDefault="004830EA" w:rsidP="00D078F8">
                      <w:pPr>
                        <w:pStyle w:val="PlainText"/>
                        <w:jc w:val="center"/>
                        <w:rPr>
                          <w:rFonts w:ascii="Times New Roman" w:hAnsi="Times New Roman"/>
                        </w:rPr>
                      </w:pPr>
                      <w:r>
                        <w:rPr>
                          <w:rFonts w:ascii="Times New Roman" w:hAnsi="Times New Roman"/>
                        </w:rPr>
                        <w:t>Finish Deficiency Letter &amp; Document Project Status</w:t>
                      </w:r>
                    </w:p>
                  </w:txbxContent>
                </v:textbox>
              </v:shape>
            </w:pict>
          </mc:Fallback>
        </mc:AlternateContent>
      </w:r>
      <w:r>
        <w:rPr>
          <w:noProof/>
        </w:rPr>
        <mc:AlternateContent>
          <mc:Choice Requires="wps">
            <w:drawing>
              <wp:anchor distT="0" distB="0" distL="114300" distR="114300" simplePos="0" relativeHeight="251696128" behindDoc="0" locked="0" layoutInCell="0" allowOverlap="1" wp14:anchorId="60A0379F" wp14:editId="627651C4">
                <wp:simplePos x="0" y="0"/>
                <wp:positionH relativeFrom="column">
                  <wp:posOffset>3735070</wp:posOffset>
                </wp:positionH>
                <wp:positionV relativeFrom="paragraph">
                  <wp:posOffset>374650</wp:posOffset>
                </wp:positionV>
                <wp:extent cx="0" cy="327660"/>
                <wp:effectExtent l="58420" t="13970" r="55880" b="20320"/>
                <wp:wrapNone/>
                <wp:docPr id="58"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6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E3E639" id="Line 180"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1pt,29.5pt" to="294.1pt,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" o:allowincell="f">
                <v:stroke endarrow="block"/>
              </v:line>
            </w:pict>
          </mc:Fallback>
        </mc:AlternateContent>
      </w:r>
    </w:p>
    <w:p w14:paraId="2022E688" w14:textId="77777777" w:rsidR="00D078F8" w:rsidRDefault="00D078F8" w:rsidP="00957BFF">
      <w:pPr>
        <w:spacing w:after="0"/>
        <w:rPr>
          <w:snapToGrid w:val="0"/>
        </w:rPr>
      </w:pPr>
    </w:p>
    <w:p w14:paraId="75F2A953" w14:textId="77777777" w:rsidR="00D078F8" w:rsidRDefault="00D078F8" w:rsidP="009213BF">
      <w:pPr>
        <w:spacing w:after="0"/>
        <w:jc w:val="right"/>
        <w:rPr>
          <w:snapToGrid w:val="0"/>
        </w:rPr>
      </w:pPr>
    </w:p>
    <w:p w14:paraId="7956BEA6" w14:textId="77777777" w:rsidR="00D078F8" w:rsidRDefault="00D078F8" w:rsidP="00957BFF">
      <w:pPr>
        <w:spacing w:after="0"/>
        <w:rPr>
          <w:snapToGrid w:val="0"/>
        </w:rPr>
      </w:pPr>
    </w:p>
    <w:p w14:paraId="0FDCDCEB" w14:textId="321B626C" w:rsidR="00D078F8" w:rsidRDefault="00FD7D8B" w:rsidP="00957BFF">
      <w:pPr>
        <w:spacing w:after="0"/>
        <w:rPr>
          <w:snapToGrid w:val="0"/>
        </w:rPr>
      </w:pPr>
      <w:r>
        <w:rPr>
          <w:noProof/>
        </w:rPr>
        <mc:AlternateContent>
          <mc:Choice Requires="wps">
            <w:drawing>
              <wp:anchor distT="0" distB="0" distL="114300" distR="114300" simplePos="0" relativeHeight="251697152" behindDoc="0" locked="0" layoutInCell="0" allowOverlap="1" wp14:anchorId="7D82A920" wp14:editId="6ACBC64E">
                <wp:simplePos x="0" y="0"/>
                <wp:positionH relativeFrom="column">
                  <wp:posOffset>2454910</wp:posOffset>
                </wp:positionH>
                <wp:positionV relativeFrom="paragraph">
                  <wp:posOffset>1270</wp:posOffset>
                </wp:positionV>
                <wp:extent cx="1280160" cy="0"/>
                <wp:effectExtent l="16510" t="55880" r="8255" b="58420"/>
                <wp:wrapNone/>
                <wp:docPr id="57"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0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14821F" id="Line 181" o:spid="_x0000_s1026"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3pt,.1pt" to="29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" o:allowincell="f">
                <v:stroke endarrow="block"/>
              </v:line>
            </w:pict>
          </mc:Fallback>
        </mc:AlternateContent>
      </w:r>
      <w:r>
        <w:rPr>
          <w:noProof/>
        </w:rPr>
        <mc:AlternateContent>
          <mc:Choice Requires="wps">
            <w:drawing>
              <wp:anchor distT="0" distB="0" distL="114300" distR="114300" simplePos="0" relativeHeight="251699200" behindDoc="0" locked="0" layoutInCell="0" allowOverlap="1" wp14:anchorId="2C29FD52" wp14:editId="6EF476C8">
                <wp:simplePos x="0" y="0"/>
                <wp:positionH relativeFrom="column">
                  <wp:posOffset>2454910</wp:posOffset>
                </wp:positionH>
                <wp:positionV relativeFrom="paragraph">
                  <wp:posOffset>1270</wp:posOffset>
                </wp:positionV>
                <wp:extent cx="0" cy="365760"/>
                <wp:effectExtent l="54610" t="8255" r="59690" b="16510"/>
                <wp:wrapNone/>
                <wp:docPr id="55"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3289F1" id="Line 183"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3pt,.1pt" to="193.3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kuKwIAAEw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" o:allowincell="f">
                <v:stroke endarrow="block"/>
              </v:line>
            </w:pict>
          </mc:Fallback>
        </mc:AlternateContent>
      </w:r>
      <w:r>
        <w:rPr>
          <w:noProof/>
        </w:rPr>
        <mc:AlternateContent>
          <mc:Choice Requires="wps">
            <w:drawing>
              <wp:anchor distT="0" distB="0" distL="114300" distR="114300" simplePos="0" relativeHeight="251698176" behindDoc="0" locked="0" layoutInCell="0" allowOverlap="1" wp14:anchorId="61E80476" wp14:editId="5A47B909">
                <wp:simplePos x="0" y="0"/>
                <wp:positionH relativeFrom="column">
                  <wp:posOffset>991870</wp:posOffset>
                </wp:positionH>
                <wp:positionV relativeFrom="paragraph">
                  <wp:posOffset>1270</wp:posOffset>
                </wp:positionV>
                <wp:extent cx="1463040" cy="0"/>
                <wp:effectExtent l="10795" t="55880" r="21590" b="58420"/>
                <wp:wrapNone/>
                <wp:docPr id="54"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0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743A8D" id="Line 182"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1pt,.1pt" to="193.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CTyKgIAAE0EAAAOAAAAZHJzL2Uyb0RvYy54bWysVM2O2jAQvlfqO1i+QxI2U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" o:allowincell="f">
                <v:stroke endarrow="block"/>
              </v:line>
            </w:pict>
          </mc:Fallback>
        </mc:AlternateContent>
      </w:r>
    </w:p>
    <w:p w14:paraId="2713EB87" w14:textId="77777777" w:rsidR="00D078F8" w:rsidRDefault="00D078F8" w:rsidP="00957BFF">
      <w:pPr>
        <w:spacing w:after="0"/>
        <w:rPr>
          <w:snapToGrid w:val="0"/>
        </w:rPr>
      </w:pPr>
    </w:p>
    <w:p w14:paraId="423F70CF" w14:textId="5F9B96C9" w:rsidR="00D078F8" w:rsidRDefault="00123191" w:rsidP="00957BFF">
      <w:pPr>
        <w:spacing w:after="0"/>
        <w:rPr>
          <w:snapToGrid w:val="0"/>
        </w:rPr>
      </w:pPr>
      <w:r>
        <w:rPr>
          <w:noProof/>
        </w:rPr>
        <mc:AlternateContent>
          <mc:Choice Requires="wps">
            <w:drawing>
              <wp:anchor distT="0" distB="0" distL="114300" distR="114300" simplePos="0" relativeHeight="251700224" behindDoc="0" locked="0" layoutInCell="0" allowOverlap="1" wp14:anchorId="189F23B8" wp14:editId="4FE156E2">
                <wp:simplePos x="0" y="0"/>
                <wp:positionH relativeFrom="column">
                  <wp:posOffset>1638300</wp:posOffset>
                </wp:positionH>
                <wp:positionV relativeFrom="paragraph">
                  <wp:posOffset>13970</wp:posOffset>
                </wp:positionV>
                <wp:extent cx="2286000" cy="542925"/>
                <wp:effectExtent l="0" t="0" r="19050" b="28575"/>
                <wp:wrapNone/>
                <wp:docPr id="56"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542925"/>
                        </a:xfrm>
                        <a:prstGeom prst="flowChartProcess">
                          <a:avLst/>
                        </a:prstGeom>
                        <a:solidFill>
                          <a:srgbClr val="FFFFFF"/>
                        </a:solidFill>
                        <a:ln w="9525">
                          <a:solidFill>
                            <a:srgbClr val="000000"/>
                          </a:solidFill>
                          <a:miter lim="800000"/>
                          <a:headEnd/>
                          <a:tailEnd/>
                        </a:ln>
                      </wps:spPr>
                      <wps:txbx>
                        <w:txbxContent>
                          <w:p w14:paraId="0D511CD9" w14:textId="271E7AC2" w:rsidR="004830EA" w:rsidRDefault="004830EA" w:rsidP="00D078F8">
                            <w:pPr>
                              <w:jc w:val="center"/>
                              <w:rPr>
                                <w:sz w:val="20"/>
                              </w:rPr>
                            </w:pPr>
                            <w:r>
                              <w:rPr>
                                <w:sz w:val="20"/>
                              </w:rPr>
                              <w:t xml:space="preserve">Coordinate Next Step (Permit Development or Notifying Applicant of Deficiency) w/Permit Engineer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F23B8" id="AutoShape 184" o:spid="_x0000_s1042" type="#_x0000_t109" style="position:absolute;margin-left:129pt;margin-top:1.1pt;width:180pt;height:42.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" o:allowincell="f">
                <v:textbox>
                  <w:txbxContent>
                    <w:p w14:paraId="0D511CD9" w14:textId="271E7AC2" w:rsidR="004830EA" w:rsidRDefault="004830EA" w:rsidP="00D078F8">
                      <w:pPr>
                        <w:jc w:val="center"/>
                        <w:rPr>
                          <w:sz w:val="20"/>
                        </w:rPr>
                      </w:pPr>
                      <w:r>
                        <w:rPr>
                          <w:sz w:val="20"/>
                        </w:rPr>
                        <w:t xml:space="preserve">Coordinate Next Step (Permit Development or Notifying Applicant of Deficiency) w/Permit Engineer </w:t>
                      </w:r>
                    </w:p>
                  </w:txbxContent>
                </v:textbox>
              </v:shape>
            </w:pict>
          </mc:Fallback>
        </mc:AlternateContent>
      </w:r>
    </w:p>
    <w:p w14:paraId="16D79C14" w14:textId="77777777" w:rsidR="00D078F8" w:rsidRDefault="00D078F8" w:rsidP="00957BFF">
      <w:pPr>
        <w:spacing w:after="0"/>
        <w:rPr>
          <w:snapToGrid w:val="0"/>
        </w:rPr>
      </w:pPr>
    </w:p>
    <w:p w14:paraId="688B6DCD" w14:textId="77777777" w:rsidR="00D078F8" w:rsidRDefault="00D078F8" w:rsidP="00957BFF">
      <w:pPr>
        <w:spacing w:after="0"/>
        <w:rPr>
          <w:snapToGrid w:val="0"/>
        </w:rPr>
      </w:pPr>
    </w:p>
    <w:p w14:paraId="480036B3" w14:textId="77777777" w:rsidR="00173E9E" w:rsidRDefault="00173E9E" w:rsidP="00957BFF">
      <w:pPr>
        <w:keepNext/>
        <w:spacing w:after="0"/>
        <w:jc w:val="center"/>
      </w:pPr>
      <w:r>
        <w:rPr>
          <w:noProof/>
        </w:rPr>
        <w:drawing>
          <wp:inline distT="0" distB="0" distL="0" distR="0" wp14:anchorId="1CFFFC42" wp14:editId="16736AFC">
            <wp:extent cx="1557679" cy="85198"/>
            <wp:effectExtent l="0" t="0" r="0" b="0"/>
            <wp:docPr id="16"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C183D7F6-B498-43B3-948B-1728B52AA6E4}">
                          <adec:decorative xmlns:adec="http://schemas.microsoft.com/office/drawing/2017/decorative" val="1"/>
                        </a:ext>
                      </a:extLst>
                    </pic:cNvPr>
                    <pic:cNvPicPr/>
                  </pic:nvPicPr>
                  <pic:blipFill>
                    <a:blip r:embed="rId56" cstate="print"/>
                    <a:stretch>
                      <a:fillRect/>
                    </a:stretch>
                  </pic:blipFill>
                  <pic:spPr>
                    <a:xfrm>
                      <a:off x="0" y="0"/>
                      <a:ext cx="1562100" cy="85440"/>
                    </a:xfrm>
                    <a:prstGeom prst="rect">
                      <a:avLst/>
                    </a:prstGeom>
                    <a:ln>
                      <a:noFill/>
                    </a:ln>
                    <a:effectLst>
                      <a:softEdge rad="112500"/>
                    </a:effectLst>
                  </pic:spPr>
                </pic:pic>
              </a:graphicData>
            </a:graphic>
          </wp:inline>
        </w:drawing>
      </w:r>
    </w:p>
    <w:p w14:paraId="4B3F5A14" w14:textId="130EACBF" w:rsidR="00D078F8" w:rsidRDefault="00173E9E" w:rsidP="00173E9E">
      <w:pPr>
        <w:pStyle w:val="Caption"/>
        <w:jc w:val="center"/>
        <w:rPr>
          <w:snapToGrid w:val="0"/>
        </w:rPr>
      </w:pPr>
      <w:bookmarkStart w:id="54" w:name="_Ref371088424"/>
      <w:bookmarkStart w:id="55" w:name="_Toc360016188"/>
      <w:bookmarkStart w:id="56" w:name="_Toc526778348"/>
      <w:r>
        <w:t xml:space="preserve">Figure </w:t>
      </w:r>
      <w:r w:rsidR="00B560B0">
        <w:rPr>
          <w:noProof/>
        </w:rPr>
        <w:fldChar w:fldCharType="begin"/>
      </w:r>
      <w:r w:rsidR="00B560B0">
        <w:rPr>
          <w:noProof/>
        </w:rPr>
        <w:instrText xml:space="preserve"> SEQ Figure \* ARABIC </w:instrText>
      </w:r>
      <w:r w:rsidR="00B560B0">
        <w:rPr>
          <w:noProof/>
        </w:rPr>
        <w:fldChar w:fldCharType="separate"/>
      </w:r>
      <w:r w:rsidR="00135FFD">
        <w:rPr>
          <w:noProof/>
        </w:rPr>
        <w:t>5</w:t>
      </w:r>
      <w:r w:rsidR="00B560B0">
        <w:rPr>
          <w:noProof/>
        </w:rPr>
        <w:fldChar w:fldCharType="end"/>
      </w:r>
      <w:bookmarkEnd w:id="54"/>
      <w:r>
        <w:t xml:space="preserve">. </w:t>
      </w:r>
      <w:r w:rsidR="00811CEA">
        <w:t xml:space="preserve"> </w:t>
      </w:r>
      <w:r w:rsidRPr="001C2F49">
        <w:t>Modeling Review Procedures</w:t>
      </w:r>
      <w:bookmarkEnd w:id="55"/>
      <w:bookmarkEnd w:id="56"/>
    </w:p>
    <w:p w14:paraId="586F7E11" w14:textId="77777777" w:rsidR="009A01E5" w:rsidRDefault="009A01E5">
      <w:pPr>
        <w:pStyle w:val="Date"/>
        <w:rPr>
          <w:snapToGrid w:val="0"/>
        </w:rPr>
      </w:pPr>
      <w:r>
        <w:rPr>
          <w:snapToGrid w:val="0"/>
        </w:rPr>
        <w:br w:type="page"/>
      </w:r>
    </w:p>
    <w:p w14:paraId="484432FC" w14:textId="77777777" w:rsidR="009A01E5" w:rsidRDefault="001578CE" w:rsidP="00E255C0">
      <w:pPr>
        <w:pStyle w:val="Heading3"/>
        <w:rPr>
          <w:snapToGrid w:val="0"/>
        </w:rPr>
      </w:pPr>
      <w:bookmarkStart w:id="57" w:name="_Toc338241932"/>
      <w:bookmarkStart w:id="58" w:name="_Toc338241933"/>
      <w:bookmarkStart w:id="59" w:name="_Toc338241934"/>
      <w:bookmarkStart w:id="60" w:name="_Toc338241935"/>
      <w:bookmarkStart w:id="61" w:name="_Toc338241936"/>
      <w:bookmarkStart w:id="62" w:name="_Toc338241937"/>
      <w:bookmarkStart w:id="63" w:name="_Toc338241938"/>
      <w:bookmarkStart w:id="64" w:name="_Toc338241939"/>
      <w:bookmarkStart w:id="65" w:name="_Toc338241940"/>
      <w:bookmarkStart w:id="66" w:name="_Toc338241941"/>
      <w:bookmarkStart w:id="67" w:name="_Toc338241942"/>
      <w:bookmarkStart w:id="68" w:name="_Toc338241943"/>
      <w:bookmarkStart w:id="69" w:name="_Toc39892302"/>
      <w:bookmarkStart w:id="70" w:name="_Toc43521196"/>
      <w:bookmarkStart w:id="71" w:name="Completeness"/>
      <w:bookmarkEnd w:id="57"/>
      <w:bookmarkEnd w:id="58"/>
      <w:bookmarkEnd w:id="59"/>
      <w:bookmarkEnd w:id="60"/>
      <w:bookmarkEnd w:id="61"/>
      <w:bookmarkEnd w:id="62"/>
      <w:bookmarkEnd w:id="63"/>
      <w:bookmarkEnd w:id="64"/>
      <w:bookmarkEnd w:id="65"/>
      <w:bookmarkEnd w:id="66"/>
      <w:bookmarkEnd w:id="67"/>
      <w:bookmarkEnd w:id="68"/>
      <w:r>
        <w:rPr>
          <w:snapToGrid w:val="0"/>
        </w:rPr>
        <w:lastRenderedPageBreak/>
        <w:tab/>
      </w:r>
      <w:bookmarkStart w:id="72" w:name="_Toc526778230"/>
      <w:r w:rsidR="009A01E5">
        <w:rPr>
          <w:snapToGrid w:val="0"/>
        </w:rPr>
        <w:t>Completeness and Technical Review</w:t>
      </w:r>
      <w:bookmarkEnd w:id="69"/>
      <w:r w:rsidR="009A01E5">
        <w:rPr>
          <w:snapToGrid w:val="0"/>
        </w:rPr>
        <w:t xml:space="preserve"> Phase</w:t>
      </w:r>
      <w:bookmarkEnd w:id="70"/>
      <w:bookmarkEnd w:id="72"/>
    </w:p>
    <w:bookmarkEnd w:id="71"/>
    <w:p w14:paraId="7B64BB18" w14:textId="0AF569C9" w:rsidR="009A01E5" w:rsidRDefault="009A01E5">
      <w:pPr>
        <w:rPr>
          <w:snapToGrid w:val="0"/>
        </w:rPr>
      </w:pPr>
      <w:r>
        <w:rPr>
          <w:snapToGrid w:val="0"/>
        </w:rPr>
        <w:t xml:space="preserve">The completeness review is intended as a first level review of the </w:t>
      </w:r>
      <w:r w:rsidR="00C60C12">
        <w:rPr>
          <w:snapToGrid w:val="0"/>
        </w:rPr>
        <w:t>permit application</w:t>
      </w:r>
      <w:r w:rsidR="00C61267">
        <w:rPr>
          <w:snapToGrid w:val="0"/>
        </w:rPr>
        <w:t xml:space="preserve"> (which includes</w:t>
      </w:r>
      <w:r w:rsidR="00C60C12">
        <w:rPr>
          <w:snapToGrid w:val="0"/>
        </w:rPr>
        <w:t xml:space="preserve"> the </w:t>
      </w:r>
      <w:r>
        <w:rPr>
          <w:snapToGrid w:val="0"/>
        </w:rPr>
        <w:t>modeling analysis</w:t>
      </w:r>
      <w:r w:rsidR="00C61267">
        <w:rPr>
          <w:snapToGrid w:val="0"/>
        </w:rPr>
        <w:t>)</w:t>
      </w:r>
      <w:r>
        <w:rPr>
          <w:snapToGrid w:val="0"/>
        </w:rPr>
        <w:t xml:space="preserve">, to ensure </w:t>
      </w:r>
      <w:r w:rsidR="00C60C12">
        <w:rPr>
          <w:snapToGrid w:val="0"/>
        </w:rPr>
        <w:t xml:space="preserve">ADEC has received </w:t>
      </w:r>
      <w:proofErr w:type="gramStart"/>
      <w:r>
        <w:rPr>
          <w:snapToGrid w:val="0"/>
        </w:rPr>
        <w:t xml:space="preserve">all </w:t>
      </w:r>
      <w:r w:rsidR="00C60C12">
        <w:rPr>
          <w:snapToGrid w:val="0"/>
        </w:rPr>
        <w:t>of</w:t>
      </w:r>
      <w:proofErr w:type="gramEnd"/>
      <w:r w:rsidR="00C60C12">
        <w:rPr>
          <w:snapToGrid w:val="0"/>
        </w:rPr>
        <w:t xml:space="preserve"> the </w:t>
      </w:r>
      <w:r>
        <w:rPr>
          <w:snapToGrid w:val="0"/>
        </w:rPr>
        <w:t xml:space="preserve">components </w:t>
      </w:r>
      <w:r w:rsidR="00C61267">
        <w:rPr>
          <w:snapToGrid w:val="0"/>
        </w:rPr>
        <w:t>required by regulation</w:t>
      </w:r>
      <w:r w:rsidR="00C60C12">
        <w:rPr>
          <w:snapToGrid w:val="0"/>
        </w:rPr>
        <w:t xml:space="preserve"> </w:t>
      </w:r>
      <w:r w:rsidR="00C61267">
        <w:rPr>
          <w:snapToGrid w:val="0"/>
        </w:rPr>
        <w:t>for the given permit classification</w:t>
      </w:r>
      <w:r>
        <w:rPr>
          <w:snapToGrid w:val="0"/>
        </w:rPr>
        <w:t xml:space="preserve">. </w:t>
      </w:r>
      <w:r w:rsidR="00F30425">
        <w:rPr>
          <w:snapToGrid w:val="0"/>
        </w:rPr>
        <w:t xml:space="preserve"> </w:t>
      </w:r>
      <w:r w:rsidR="00C61267">
        <w:rPr>
          <w:snapToGrid w:val="0"/>
        </w:rPr>
        <w:t xml:space="preserve">Per </w:t>
      </w:r>
      <w:hyperlink r:id="rId57" w:anchor="46.14.160" w:history="1">
        <w:r w:rsidRPr="00FB2D7D">
          <w:rPr>
            <w:rStyle w:val="Hyperlink"/>
          </w:rPr>
          <w:t>AS 46.14.160</w:t>
        </w:r>
      </w:hyperlink>
      <w:r>
        <w:t xml:space="preserve"> </w:t>
      </w:r>
      <w:r w:rsidR="00C61267">
        <w:t xml:space="preserve">applications default complete </w:t>
      </w:r>
      <w:r>
        <w:t>within 60 days</w:t>
      </w:r>
      <w:r w:rsidR="00C61267">
        <w:t xml:space="preserve"> of receipt, unless we otherwise notify the applicant in writing</w:t>
      </w:r>
      <w:r>
        <w:t xml:space="preserve">. </w:t>
      </w:r>
    </w:p>
    <w:p w14:paraId="626A87D8" w14:textId="77777777" w:rsidR="009A01E5" w:rsidRDefault="009A01E5" w:rsidP="00B04032">
      <w:pPr>
        <w:pStyle w:val="CheckReminder"/>
      </w:pPr>
      <w:r>
        <w:t xml:space="preserve">Use the </w:t>
      </w:r>
      <w:r w:rsidR="00C60C12">
        <w:t xml:space="preserve">applicable </w:t>
      </w:r>
      <w:r>
        <w:t>air quality checklist</w:t>
      </w:r>
      <w:r w:rsidR="00CF6802">
        <w:t xml:space="preserve"> (PSD or minor)</w:t>
      </w:r>
      <w:r>
        <w:t xml:space="preserve"> to keep track of the review.</w:t>
      </w:r>
    </w:p>
    <w:p w14:paraId="2BEA5AB0" w14:textId="77777777" w:rsidR="009A01E5" w:rsidRDefault="00F70D47">
      <w:pPr>
        <w:rPr>
          <w:snapToGrid w:val="0"/>
        </w:rPr>
      </w:pPr>
      <w:r>
        <w:rPr>
          <w:snapToGrid w:val="0"/>
        </w:rPr>
        <w:t xml:space="preserve">ADEC has developed two </w:t>
      </w:r>
      <w:r w:rsidR="009A01E5">
        <w:rPr>
          <w:snapToGrid w:val="0"/>
        </w:rPr>
        <w:t>air quality modeling checklist</w:t>
      </w:r>
      <w:r w:rsidR="00C60C12">
        <w:rPr>
          <w:snapToGrid w:val="0"/>
        </w:rPr>
        <w:t>s</w:t>
      </w:r>
      <w:r w:rsidR="009A01E5">
        <w:rPr>
          <w:snapToGrid w:val="0"/>
        </w:rPr>
        <w:t xml:space="preserve"> </w:t>
      </w:r>
      <w:r>
        <w:rPr>
          <w:snapToGrid w:val="0"/>
        </w:rPr>
        <w:t xml:space="preserve">- one for PSD applications and the other for minor permit applications - </w:t>
      </w:r>
      <w:r w:rsidR="009A01E5">
        <w:rPr>
          <w:snapToGrid w:val="0"/>
        </w:rPr>
        <w:t>which may be used to assist you in determining that all components of the modeling analysis have been addressed.  During the review process, use this form to track the presence and acceptability of each component of the modeling analysis.  Place a</w:t>
      </w:r>
      <w:r w:rsidR="009A01E5">
        <w:t xml:space="preserve"> </w:t>
      </w:r>
      <w:proofErr w:type="gramStart"/>
      <w:r w:rsidR="009A01E5">
        <w:t>check-mark</w:t>
      </w:r>
      <w:proofErr w:type="gramEnd"/>
      <w:r w:rsidR="009A01E5">
        <w:t xml:space="preserve"> </w:t>
      </w:r>
      <w:proofErr w:type="gramStart"/>
      <w:r w:rsidR="009A01E5">
        <w:t>by</w:t>
      </w:r>
      <w:proofErr w:type="gramEnd"/>
      <w:r w:rsidR="009A01E5">
        <w:t xml:space="preserve"> the items you have reviewed and approved.  This manual serves to provide additional details to help answer technical questions during the review process. </w:t>
      </w:r>
      <w:r w:rsidR="00514A1A">
        <w:t xml:space="preserve"> </w:t>
      </w:r>
      <w:r w:rsidR="009A01E5">
        <w:t>I</w:t>
      </w:r>
      <w:r w:rsidR="009A01E5">
        <w:rPr>
          <w:snapToGrid w:val="0"/>
        </w:rPr>
        <w:t xml:space="preserve">f you are unable to complete your review of the modeling analysis, the checklist serves as a reminder of the project status </w:t>
      </w:r>
      <w:proofErr w:type="gramStart"/>
      <w:r w:rsidR="009A01E5">
        <w:rPr>
          <w:snapToGrid w:val="0"/>
        </w:rPr>
        <w:t>at a glance</w:t>
      </w:r>
      <w:proofErr w:type="gramEnd"/>
      <w:r w:rsidR="009A01E5">
        <w:rPr>
          <w:snapToGrid w:val="0"/>
        </w:rPr>
        <w:t>.</w:t>
      </w:r>
    </w:p>
    <w:p w14:paraId="58A5D705" w14:textId="77777777" w:rsidR="009A01E5" w:rsidRDefault="009A01E5">
      <w:pPr>
        <w:rPr>
          <w:snapToGrid w:val="0"/>
        </w:rPr>
      </w:pPr>
      <w:r>
        <w:t>Some items may require re-review if the applicant makes changes to address a modeled</w:t>
      </w:r>
      <w:r>
        <w:br/>
        <w:t xml:space="preserve">violation or is changing the project design (which </w:t>
      </w:r>
      <w:r w:rsidR="00514A1A">
        <w:t>does</w:t>
      </w:r>
      <w:r>
        <w:t xml:space="preserve"> happen for</w:t>
      </w:r>
      <w:r w:rsidR="00D541C1">
        <w:t xml:space="preserve"> </w:t>
      </w:r>
      <w:r>
        <w:t xml:space="preserve">some applicants). This can make </w:t>
      </w:r>
      <w:proofErr w:type="gramStart"/>
      <w:r>
        <w:t>the tracking</w:t>
      </w:r>
      <w:proofErr w:type="gramEnd"/>
      <w:r>
        <w:t xml:space="preserve"> of the project status tricky. </w:t>
      </w:r>
      <w:r>
        <w:rPr>
          <w:snapToGrid w:val="0"/>
        </w:rPr>
        <w:t>Often, revisions are submitted several months after the review has been initiated.  Sometimes the changes (both direct and indirect) are unclear; so much time is spent identifying these, along with how it impacts what has already been reviewed.</w:t>
      </w:r>
      <w:r w:rsidR="006D144B">
        <w:rPr>
          <w:snapToGrid w:val="0"/>
        </w:rPr>
        <w:t xml:space="preserve">  See the </w:t>
      </w:r>
      <w:r w:rsidR="009C2D0F">
        <w:rPr>
          <w:snapToGrid w:val="0"/>
        </w:rPr>
        <w:t>example below</w:t>
      </w:r>
      <w:r w:rsidR="006D144B">
        <w:rPr>
          <w:snapToGrid w:val="0"/>
        </w:rPr>
        <w:t xml:space="preserve"> </w:t>
      </w:r>
      <w:r w:rsidR="009C2D0F">
        <w:rPr>
          <w:snapToGrid w:val="0"/>
        </w:rPr>
        <w:t>(</w:t>
      </w:r>
      <w:r w:rsidR="006D144B">
        <w:rPr>
          <w:snapToGrid w:val="0"/>
        </w:rPr>
        <w:t>after the ‘Document changes’ checkmark</w:t>
      </w:r>
      <w:r w:rsidR="009C2D0F">
        <w:rPr>
          <w:snapToGrid w:val="0"/>
        </w:rPr>
        <w:t>)</w:t>
      </w:r>
      <w:r w:rsidR="006D144B">
        <w:rPr>
          <w:snapToGrid w:val="0"/>
        </w:rPr>
        <w:t xml:space="preserve"> of direct and indirect changes.</w:t>
      </w:r>
    </w:p>
    <w:p w14:paraId="6D36C6C9" w14:textId="77777777" w:rsidR="009A01E5" w:rsidRDefault="009A01E5" w:rsidP="00B04032">
      <w:pPr>
        <w:pStyle w:val="CheckReminder"/>
      </w:pPr>
      <w:r>
        <w:t>Keep organized.</w:t>
      </w:r>
    </w:p>
    <w:p w14:paraId="69750367" w14:textId="77777777" w:rsidR="009A01E5" w:rsidRDefault="009A01E5">
      <w:pPr>
        <w:rPr>
          <w:snapToGrid w:val="0"/>
        </w:rPr>
      </w:pPr>
      <w:r>
        <w:rPr>
          <w:snapToGrid w:val="0"/>
        </w:rPr>
        <w:t xml:space="preserve">Organization is the key to efficiency.  Ideally, when a revision has been submitted you would know the </w:t>
      </w:r>
      <w:proofErr w:type="gramStart"/>
      <w:r>
        <w:rPr>
          <w:snapToGrid w:val="0"/>
        </w:rPr>
        <w:t>current status</w:t>
      </w:r>
      <w:proofErr w:type="gramEnd"/>
      <w:r>
        <w:rPr>
          <w:snapToGrid w:val="0"/>
        </w:rPr>
        <w:t xml:space="preserve"> of the review, how these changes affect previously reviewed materials, and materials not yet reviewed.  Refer to your partially completed checklist, modeling review memo, and/or deficiency letter for an indication of project status.  </w:t>
      </w:r>
    </w:p>
    <w:p w14:paraId="49108652" w14:textId="77777777" w:rsidR="009A01E5" w:rsidRDefault="009A01E5" w:rsidP="00B04032">
      <w:pPr>
        <w:pStyle w:val="CheckReminder"/>
      </w:pPr>
      <w:r>
        <w:t>Document changes.</w:t>
      </w:r>
    </w:p>
    <w:p w14:paraId="19FDD3F4" w14:textId="4B4B3F30" w:rsidR="009A01E5" w:rsidRDefault="00995F10">
      <w:pPr>
        <w:rPr>
          <w:snapToGrid w:val="0"/>
        </w:rPr>
      </w:pPr>
      <w:r>
        <w:rPr>
          <w:snapToGrid w:val="0"/>
        </w:rPr>
        <w:t>Whether a revised analysis is in response to ADEC comments on a previous submittal or the analysis is an unsolicited submission from the applicant to correct inaccuracies or provide additional information</w:t>
      </w:r>
      <w:r w:rsidR="009A01E5">
        <w:rPr>
          <w:snapToGrid w:val="0"/>
        </w:rPr>
        <w:t xml:space="preserve">, take a moment to consider what potential </w:t>
      </w:r>
      <w:proofErr w:type="gramStart"/>
      <w:r w:rsidR="009A01E5">
        <w:rPr>
          <w:snapToGrid w:val="0"/>
        </w:rPr>
        <w:t>impacts</w:t>
      </w:r>
      <w:proofErr w:type="gramEnd"/>
      <w:r w:rsidR="009A01E5">
        <w:rPr>
          <w:snapToGrid w:val="0"/>
        </w:rPr>
        <w:t xml:space="preserve"> these changes would have </w:t>
      </w:r>
      <w:proofErr w:type="gramStart"/>
      <w:r w:rsidR="009A01E5">
        <w:rPr>
          <w:snapToGrid w:val="0"/>
        </w:rPr>
        <w:t>to</w:t>
      </w:r>
      <w:proofErr w:type="gramEnd"/>
      <w:r w:rsidR="009A01E5">
        <w:rPr>
          <w:snapToGrid w:val="0"/>
        </w:rPr>
        <w:t xml:space="preserve"> the </w:t>
      </w:r>
      <w:proofErr w:type="gramStart"/>
      <w:r w:rsidR="009A01E5">
        <w:rPr>
          <w:snapToGrid w:val="0"/>
        </w:rPr>
        <w:t>analysis as a whole</w:t>
      </w:r>
      <w:proofErr w:type="gramEnd"/>
      <w:r w:rsidR="009A01E5">
        <w:rPr>
          <w:snapToGrid w:val="0"/>
        </w:rPr>
        <w:t xml:space="preserve">.  Use the checklist to review potential areas that may change, and document changes accordingly.  It may be helpful to write the details within the modeling </w:t>
      </w:r>
      <w:r w:rsidR="00A022D7">
        <w:rPr>
          <w:snapToGrid w:val="0"/>
        </w:rPr>
        <w:t>report</w:t>
      </w:r>
      <w:r w:rsidR="009A01E5">
        <w:rPr>
          <w:snapToGrid w:val="0"/>
        </w:rPr>
        <w:t xml:space="preserve"> and on the </w:t>
      </w:r>
      <w:proofErr w:type="gramStart"/>
      <w:r w:rsidR="009A01E5">
        <w:rPr>
          <w:snapToGrid w:val="0"/>
        </w:rPr>
        <w:t>form,</w:t>
      </w:r>
      <w:proofErr w:type="gramEnd"/>
      <w:r w:rsidR="009A01E5">
        <w:rPr>
          <w:snapToGrid w:val="0"/>
        </w:rPr>
        <w:t xml:space="preserve"> to keep track of changes.  The background section of the modeling </w:t>
      </w:r>
      <w:r w:rsidR="00A022D7">
        <w:rPr>
          <w:snapToGrid w:val="0"/>
        </w:rPr>
        <w:t>report</w:t>
      </w:r>
      <w:r w:rsidR="009A01E5">
        <w:rPr>
          <w:snapToGrid w:val="0"/>
        </w:rPr>
        <w:t xml:space="preserve"> is the appropriate place to document the date the revision is received and how it affects the analysis.</w:t>
      </w:r>
    </w:p>
    <w:p w14:paraId="39B8FB27" w14:textId="0415D210" w:rsidR="009A01E5" w:rsidRDefault="009A01E5" w:rsidP="00B04032">
      <w:pPr>
        <w:rPr>
          <w:snapToGrid w:val="0"/>
        </w:rPr>
      </w:pPr>
      <w:r>
        <w:rPr>
          <w:snapToGrid w:val="0"/>
        </w:rPr>
        <w:t>As an example, if the applicant submits changes to the modeling due to new emissions information</w:t>
      </w:r>
      <w:r w:rsidR="006D144B">
        <w:rPr>
          <w:snapToGrid w:val="0"/>
        </w:rPr>
        <w:t xml:space="preserve"> (direct change)</w:t>
      </w:r>
      <w:r>
        <w:rPr>
          <w:snapToGrid w:val="0"/>
        </w:rPr>
        <w:t xml:space="preserve">, theoretically there should be no changes to the meteorology, </w:t>
      </w:r>
      <w:r>
        <w:rPr>
          <w:snapToGrid w:val="0"/>
        </w:rPr>
        <w:lastRenderedPageBreak/>
        <w:t xml:space="preserve">receptor grid, or model options.  However, these changes may result in a need to revise the load screening analysis (if applicable), the significant impact analysis, the cumulative </w:t>
      </w:r>
      <w:r w:rsidR="00A022D7">
        <w:rPr>
          <w:snapToGrid w:val="0"/>
        </w:rPr>
        <w:t>A</w:t>
      </w:r>
      <w:r>
        <w:rPr>
          <w:snapToGrid w:val="0"/>
        </w:rPr>
        <w:t>AAQS and PSD increment inventories, and the corresponding compliance analysis</w:t>
      </w:r>
      <w:r w:rsidR="006D144B">
        <w:rPr>
          <w:snapToGrid w:val="0"/>
        </w:rPr>
        <w:t xml:space="preserve"> (indirect changes)</w:t>
      </w:r>
      <w:r>
        <w:rPr>
          <w:snapToGrid w:val="0"/>
        </w:rPr>
        <w:t xml:space="preserve">.  </w:t>
      </w:r>
    </w:p>
    <w:p w14:paraId="0887D3E6" w14:textId="77777777" w:rsidR="009A01E5" w:rsidRDefault="009A01E5" w:rsidP="00B04032">
      <w:pPr>
        <w:pStyle w:val="CheckReminder"/>
      </w:pPr>
      <w:r>
        <w:t xml:space="preserve">Take a moment to consider the impact of these changes and then document the receipt of the changes and likely steps that should be revised.  Then, complete the technical review. </w:t>
      </w:r>
    </w:p>
    <w:p w14:paraId="5DD8D207" w14:textId="1D8E97CD" w:rsidR="009A01E5" w:rsidRDefault="00DA246C" w:rsidP="00B04032">
      <w:pPr>
        <w:rPr>
          <w:snapToGrid w:val="0"/>
        </w:rPr>
      </w:pPr>
      <w:r>
        <w:rPr>
          <w:snapToGrid w:val="0"/>
        </w:rPr>
        <w:t>Judgment</w:t>
      </w:r>
      <w:r w:rsidR="009A01E5">
        <w:rPr>
          <w:snapToGrid w:val="0"/>
        </w:rPr>
        <w:t xml:space="preserve"> is required to discern the amount of documentation necessary to track the revisions.  Revisions may be small and only affect a single model run (e.g., annual NO</w:t>
      </w:r>
      <w:r w:rsidR="009A01E5">
        <w:rPr>
          <w:snapToGrid w:val="0"/>
          <w:vertAlign w:val="subscript"/>
        </w:rPr>
        <w:t>2</w:t>
      </w:r>
      <w:r w:rsidR="009A01E5">
        <w:rPr>
          <w:snapToGrid w:val="0"/>
        </w:rPr>
        <w:t xml:space="preserve"> for the </w:t>
      </w:r>
      <w:r w:rsidR="00A022D7">
        <w:rPr>
          <w:snapToGrid w:val="0"/>
        </w:rPr>
        <w:t>A</w:t>
      </w:r>
      <w:r w:rsidR="009A01E5">
        <w:rPr>
          <w:snapToGrid w:val="0"/>
        </w:rPr>
        <w:t>AAQS analysis).  Other projects consist of multiple operating scenarios for multiple pollutants, in which the applicant has submitted numerous partial revisions over several months.  Such a scenario may require a spreadsheet to keep track of all the changes.</w:t>
      </w:r>
    </w:p>
    <w:p w14:paraId="61FE4E94" w14:textId="14A951BF" w:rsidR="009A01E5" w:rsidRDefault="009A01E5" w:rsidP="00B04032">
      <w:pPr>
        <w:pStyle w:val="CheckReminder"/>
      </w:pPr>
      <w:r>
        <w:t xml:space="preserve">In some cases, you may wish to incorporate minor changes yourself to expedite the review.  Under such circumstances, you should document your change in </w:t>
      </w:r>
      <w:r w:rsidR="00836591">
        <w:t>your</w:t>
      </w:r>
      <w:r>
        <w:t xml:space="preserve"> modeling review </w:t>
      </w:r>
      <w:r w:rsidR="00836591">
        <w:t>report</w:t>
      </w:r>
      <w:r>
        <w:t xml:space="preserve">.   </w:t>
      </w:r>
    </w:p>
    <w:p w14:paraId="74195D27" w14:textId="77777777" w:rsidR="009A01E5" w:rsidRDefault="009A01E5">
      <w:pPr>
        <w:rPr>
          <w:snapToGrid w:val="0"/>
        </w:rPr>
      </w:pPr>
      <w:r>
        <w:rPr>
          <w:snapToGrid w:val="0"/>
        </w:rPr>
        <w:t xml:space="preserve">The technical review is </w:t>
      </w:r>
      <w:proofErr w:type="gramStart"/>
      <w:r>
        <w:rPr>
          <w:snapToGrid w:val="0"/>
        </w:rPr>
        <w:t>the means by which</w:t>
      </w:r>
      <w:proofErr w:type="gramEnd"/>
      <w:r>
        <w:rPr>
          <w:snapToGrid w:val="0"/>
        </w:rPr>
        <w:t xml:space="preserve"> ADEC, the applicant, and the public are assured that the correct input data</w:t>
      </w:r>
      <w:r w:rsidR="00274DCD">
        <w:rPr>
          <w:snapToGrid w:val="0"/>
        </w:rPr>
        <w:t xml:space="preserve">, </w:t>
      </w:r>
      <w:r>
        <w:rPr>
          <w:snapToGrid w:val="0"/>
        </w:rPr>
        <w:t>tools, methodologies, and assumptions were used in the analysis.  Consequently, the conclusions of the analysis are supportable and credible</w:t>
      </w:r>
      <w:r w:rsidR="00274DCD">
        <w:rPr>
          <w:snapToGrid w:val="0"/>
        </w:rPr>
        <w:t xml:space="preserve">, and </w:t>
      </w:r>
      <w:r w:rsidR="007E7FD3">
        <w:rPr>
          <w:snapToGrid w:val="0"/>
        </w:rPr>
        <w:t xml:space="preserve">the model results are </w:t>
      </w:r>
      <w:r w:rsidR="00274DCD">
        <w:rPr>
          <w:snapToGrid w:val="0"/>
        </w:rPr>
        <w:t>reproducible</w:t>
      </w:r>
      <w:r>
        <w:rPr>
          <w:snapToGrid w:val="0"/>
        </w:rPr>
        <w:t>.  The technical review consists of performing the tasks described in the remaining sections of this manual.  Hence, it provides the bulk of the effort during the review process.</w:t>
      </w:r>
    </w:p>
    <w:p w14:paraId="0C1795C3" w14:textId="02625437" w:rsidR="009A01E5" w:rsidRDefault="001578CE" w:rsidP="00E255C0">
      <w:pPr>
        <w:pStyle w:val="Heading3"/>
        <w:rPr>
          <w:snapToGrid w:val="0"/>
        </w:rPr>
      </w:pPr>
      <w:bookmarkStart w:id="73" w:name="_Toc39892304"/>
      <w:bookmarkStart w:id="74" w:name="_Toc43521197"/>
      <w:r>
        <w:rPr>
          <w:snapToGrid w:val="0"/>
        </w:rPr>
        <w:tab/>
      </w:r>
      <w:bookmarkStart w:id="75" w:name="_Toc526778231"/>
      <w:r w:rsidR="009A01E5">
        <w:rPr>
          <w:snapToGrid w:val="0"/>
        </w:rPr>
        <w:t xml:space="preserve">Preparation </w:t>
      </w:r>
      <w:proofErr w:type="gramStart"/>
      <w:r w:rsidR="009A01E5">
        <w:rPr>
          <w:snapToGrid w:val="0"/>
        </w:rPr>
        <w:t>of</w:t>
      </w:r>
      <w:proofErr w:type="gramEnd"/>
      <w:r w:rsidR="009A01E5">
        <w:rPr>
          <w:snapToGrid w:val="0"/>
        </w:rPr>
        <w:t xml:space="preserve"> </w:t>
      </w:r>
      <w:bookmarkEnd w:id="73"/>
      <w:r w:rsidR="009A01E5">
        <w:rPr>
          <w:snapToGrid w:val="0"/>
        </w:rPr>
        <w:t>the Modeling Review</w:t>
      </w:r>
      <w:bookmarkEnd w:id="75"/>
      <w:r w:rsidR="009A01E5">
        <w:rPr>
          <w:snapToGrid w:val="0"/>
        </w:rPr>
        <w:t xml:space="preserve"> </w:t>
      </w:r>
      <w:bookmarkEnd w:id="74"/>
    </w:p>
    <w:p w14:paraId="7FD8FF3A" w14:textId="175AA031" w:rsidR="009A01E5" w:rsidRDefault="009A01E5">
      <w:pPr>
        <w:rPr>
          <w:snapToGrid w:val="0"/>
        </w:rPr>
      </w:pPr>
      <w:r>
        <w:rPr>
          <w:snapToGrid w:val="0"/>
        </w:rPr>
        <w:t xml:space="preserve">The technical analysis report (TAR) is an </w:t>
      </w:r>
      <w:r w:rsidR="00830A07">
        <w:rPr>
          <w:snapToGrid w:val="0"/>
        </w:rPr>
        <w:t>all-encompassing</w:t>
      </w:r>
      <w:r>
        <w:rPr>
          <w:snapToGrid w:val="0"/>
        </w:rPr>
        <w:t xml:space="preserve"> permit document created by the lead permit engineer.  The findings of the modeling review are one aspect of the TAR.  However, because the modeling review is often performed separately and perhaps at different times from the rest of the permit application review, ADEC </w:t>
      </w:r>
      <w:r w:rsidR="00AA3C2E">
        <w:rPr>
          <w:snapToGrid w:val="0"/>
        </w:rPr>
        <w:t xml:space="preserve">typically develops a separate </w:t>
      </w:r>
      <w:r>
        <w:rPr>
          <w:snapToGrid w:val="0"/>
        </w:rPr>
        <w:t xml:space="preserve">modeling review </w:t>
      </w:r>
      <w:r w:rsidR="00AA3C2E">
        <w:rPr>
          <w:snapToGrid w:val="0"/>
        </w:rPr>
        <w:t xml:space="preserve">document </w:t>
      </w:r>
      <w:r>
        <w:rPr>
          <w:snapToGrid w:val="0"/>
        </w:rPr>
        <w:t xml:space="preserve">to communicate the findings of the modeling review, which is </w:t>
      </w:r>
      <w:r w:rsidR="00AA3C2E">
        <w:rPr>
          <w:snapToGrid w:val="0"/>
        </w:rPr>
        <w:t xml:space="preserve">then </w:t>
      </w:r>
      <w:r>
        <w:rPr>
          <w:snapToGrid w:val="0"/>
        </w:rPr>
        <w:t xml:space="preserve">included as an attachment to the TAR.  The modeling review </w:t>
      </w:r>
      <w:r w:rsidR="00AA3C2E">
        <w:rPr>
          <w:snapToGrid w:val="0"/>
        </w:rPr>
        <w:t xml:space="preserve">report </w:t>
      </w:r>
      <w:r>
        <w:rPr>
          <w:snapToGrid w:val="0"/>
        </w:rPr>
        <w:t>is discussed in detail in this section.</w:t>
      </w:r>
    </w:p>
    <w:p w14:paraId="42C44669" w14:textId="67721874" w:rsidR="009A01E5" w:rsidRDefault="009A01E5" w:rsidP="00B04032">
      <w:pPr>
        <w:rPr>
          <w:snapToGrid w:val="0"/>
        </w:rPr>
      </w:pPr>
      <w:r>
        <w:rPr>
          <w:snapToGrid w:val="0"/>
        </w:rPr>
        <w:t xml:space="preserve">The modeling review </w:t>
      </w:r>
      <w:r w:rsidR="001844B4">
        <w:rPr>
          <w:snapToGrid w:val="0"/>
        </w:rPr>
        <w:t xml:space="preserve">report </w:t>
      </w:r>
      <w:r>
        <w:rPr>
          <w:snapToGrid w:val="0"/>
        </w:rPr>
        <w:t xml:space="preserve">serves two purposes: (1) it provides a public record of the basis of the permit and (2) internal to ADEC, it provides a record of what was done and what decisions were made.  This may be very </w:t>
      </w:r>
      <w:proofErr w:type="gramStart"/>
      <w:r>
        <w:rPr>
          <w:snapToGrid w:val="0"/>
        </w:rPr>
        <w:t>helpful</w:t>
      </w:r>
      <w:proofErr w:type="gramEnd"/>
      <w:r>
        <w:rPr>
          <w:snapToGrid w:val="0"/>
        </w:rPr>
        <w:t xml:space="preserve"> a few years in the future, when you are attempting to understand details about a previously issued permit.  The modeling review </w:t>
      </w:r>
      <w:r w:rsidR="001844B4">
        <w:rPr>
          <w:snapToGrid w:val="0"/>
        </w:rPr>
        <w:t xml:space="preserve">report </w:t>
      </w:r>
      <w:r>
        <w:rPr>
          <w:snapToGrid w:val="0"/>
        </w:rPr>
        <w:t xml:space="preserve">should not repeat everything in the </w:t>
      </w:r>
      <w:r w:rsidR="001844B4">
        <w:rPr>
          <w:snapToGrid w:val="0"/>
        </w:rPr>
        <w:t xml:space="preserve">applicant’s </w:t>
      </w:r>
      <w:r>
        <w:rPr>
          <w:snapToGrid w:val="0"/>
        </w:rPr>
        <w:t xml:space="preserve">modeling report.  Instead, the </w:t>
      </w:r>
      <w:r w:rsidR="001844B4">
        <w:rPr>
          <w:snapToGrid w:val="0"/>
        </w:rPr>
        <w:t xml:space="preserve">report </w:t>
      </w:r>
      <w:r>
        <w:rPr>
          <w:snapToGrid w:val="0"/>
        </w:rPr>
        <w:t xml:space="preserve">should summarize the key findings of the modeling analysis, describe what was done during the review, highlight any unusual or controversial issues, and document changes made to the information in the original application and how any issues were resolved.  </w:t>
      </w:r>
    </w:p>
    <w:p w14:paraId="7ECE0B2C" w14:textId="1F20F751" w:rsidR="009A01E5" w:rsidRDefault="009A01E5" w:rsidP="00B04032">
      <w:pPr>
        <w:pStyle w:val="CheckReminder"/>
      </w:pPr>
      <w:r>
        <w:t xml:space="preserve">Start creating the modeling review </w:t>
      </w:r>
      <w:r w:rsidR="001844B4">
        <w:t xml:space="preserve">report </w:t>
      </w:r>
      <w:r>
        <w:t xml:space="preserve">at the </w:t>
      </w:r>
      <w:proofErr w:type="gramStart"/>
      <w:r>
        <w:t>onset</w:t>
      </w:r>
      <w:proofErr w:type="gramEnd"/>
      <w:r>
        <w:t xml:space="preserve"> of the project.</w:t>
      </w:r>
    </w:p>
    <w:p w14:paraId="3C3BD94F" w14:textId="71EDDFDF" w:rsidR="009A01E5" w:rsidRPr="008E760F" w:rsidRDefault="00BB5DE8" w:rsidP="008E760F">
      <w:pPr>
        <w:rPr>
          <w:snapToGrid w:val="0"/>
        </w:rPr>
      </w:pPr>
      <w:r w:rsidRPr="00BB5DE8">
        <w:rPr>
          <w:snapToGrid w:val="0"/>
        </w:rPr>
        <w:lastRenderedPageBreak/>
        <w:t>T</w:t>
      </w:r>
      <w:r w:rsidR="004E282E" w:rsidRPr="00BB5DE8">
        <w:rPr>
          <w:snapToGrid w:val="0"/>
        </w:rPr>
        <w:t>emplate</w:t>
      </w:r>
      <w:r w:rsidRPr="00BB5DE8">
        <w:rPr>
          <w:snapToGrid w:val="0"/>
        </w:rPr>
        <w:t>s</w:t>
      </w:r>
      <w:r w:rsidR="004E282E" w:rsidRPr="00BB5DE8">
        <w:rPr>
          <w:snapToGrid w:val="0"/>
        </w:rPr>
        <w:t xml:space="preserve"> </w:t>
      </w:r>
      <w:r w:rsidR="0062052B">
        <w:rPr>
          <w:snapToGrid w:val="0"/>
        </w:rPr>
        <w:t>for the</w:t>
      </w:r>
      <w:r w:rsidR="004E282E" w:rsidRPr="00BB5DE8">
        <w:rPr>
          <w:snapToGrid w:val="0"/>
        </w:rPr>
        <w:t xml:space="preserve"> modeling review </w:t>
      </w:r>
      <w:r w:rsidR="001844B4">
        <w:rPr>
          <w:snapToGrid w:val="0"/>
        </w:rPr>
        <w:t>report</w:t>
      </w:r>
      <w:r w:rsidR="001844B4" w:rsidRPr="00BB5DE8">
        <w:rPr>
          <w:snapToGrid w:val="0"/>
        </w:rPr>
        <w:t xml:space="preserve"> </w:t>
      </w:r>
      <w:r w:rsidRPr="00BB5DE8">
        <w:rPr>
          <w:snapToGrid w:val="0"/>
        </w:rPr>
        <w:t>are available</w:t>
      </w:r>
      <w:r w:rsidR="004E282E" w:rsidRPr="00BB5DE8">
        <w:rPr>
          <w:snapToGrid w:val="0"/>
        </w:rPr>
        <w:t xml:space="preserve"> electronically </w:t>
      </w:r>
      <w:r w:rsidR="007B56EC">
        <w:rPr>
          <w:snapToGrid w:val="0"/>
        </w:rPr>
        <w:t xml:space="preserve">on the Juneau server at: </w:t>
      </w:r>
      <w:hyperlink r:id="rId58" w:history="1">
        <w:r w:rsidR="0062052B">
          <w:rPr>
            <w:rStyle w:val="Hyperlink"/>
          </w:rPr>
          <w:t>G:\AQ\PERMITS\Modeling\Documents\Internal Review Procedures\Review Templates</w:t>
        </w:r>
      </w:hyperlink>
      <w:r w:rsidRPr="00BB5DE8">
        <w:rPr>
          <w:snapToGrid w:val="0"/>
        </w:rPr>
        <w:t>.  One template is for PSD permits and the other is for minor permits</w:t>
      </w:r>
      <w:r w:rsidR="004E282E" w:rsidRPr="00BB5DE8">
        <w:rPr>
          <w:snapToGrid w:val="0"/>
        </w:rPr>
        <w:t>.</w:t>
      </w:r>
      <w:r>
        <w:rPr>
          <w:snapToGrid w:val="0"/>
        </w:rPr>
        <w:t xml:space="preserve">  The templates</w:t>
      </w:r>
      <w:r w:rsidR="009A01E5">
        <w:rPr>
          <w:snapToGrid w:val="0"/>
        </w:rPr>
        <w:t xml:space="preserve"> may be used as a starting point for developing the project-specific </w:t>
      </w:r>
      <w:r w:rsidR="001844B4">
        <w:rPr>
          <w:snapToGrid w:val="0"/>
        </w:rPr>
        <w:t>report</w:t>
      </w:r>
      <w:r w:rsidR="009A01E5">
        <w:rPr>
          <w:snapToGrid w:val="0"/>
        </w:rPr>
        <w:t xml:space="preserve">.  </w:t>
      </w:r>
      <w:r w:rsidR="009757A2" w:rsidRPr="009757A2">
        <w:t>Th</w:t>
      </w:r>
      <w:r w:rsidR="009757A2">
        <w:t>ey p</w:t>
      </w:r>
      <w:r w:rsidR="009757A2" w:rsidRPr="009757A2">
        <w:t>rovide examples of how you, the reviewer, could articulate your findings regarding an applicant’s ambient demonstration.</w:t>
      </w:r>
      <w:r w:rsidR="009757A2" w:rsidRPr="007400D7">
        <w:rPr>
          <w:rFonts w:ascii="Arial" w:hAnsi="Arial" w:cs="Arial"/>
        </w:rPr>
        <w:t xml:space="preserve">  </w:t>
      </w:r>
      <w:r w:rsidR="009757A2">
        <w:rPr>
          <w:snapToGrid w:val="0"/>
        </w:rPr>
        <w:t xml:space="preserve">However, be aware that the templates are broadly written to accommodate a </w:t>
      </w:r>
      <w:proofErr w:type="gramStart"/>
      <w:r w:rsidR="009757A2">
        <w:rPr>
          <w:snapToGrid w:val="0"/>
        </w:rPr>
        <w:t>wide-variety</w:t>
      </w:r>
      <w:proofErr w:type="gramEnd"/>
      <w:r w:rsidR="009757A2">
        <w:rPr>
          <w:snapToGrid w:val="0"/>
        </w:rPr>
        <w:t xml:space="preserve"> of modeling scenarios.  You will therefore need to revise, add and delete various sections to make it focused and applicable for the given analysis that you’re reviewing.  You may also develop an extremely short (abridged) report </w:t>
      </w:r>
      <w:r w:rsidR="009A01E5">
        <w:rPr>
          <w:snapToGrid w:val="0"/>
        </w:rPr>
        <w:t xml:space="preserve">if the applicant is only revising a portion of a previously approved analysis.  In </w:t>
      </w:r>
      <w:r w:rsidR="0084290E">
        <w:rPr>
          <w:snapToGrid w:val="0"/>
        </w:rPr>
        <w:t>that type of situation</w:t>
      </w:r>
      <w:r w:rsidR="009A01E5">
        <w:rPr>
          <w:snapToGrid w:val="0"/>
        </w:rPr>
        <w:t xml:space="preserve">, </w:t>
      </w:r>
      <w:r w:rsidR="0084290E">
        <w:rPr>
          <w:snapToGrid w:val="0"/>
        </w:rPr>
        <w:t xml:space="preserve">you may </w:t>
      </w:r>
      <w:r w:rsidR="009A01E5">
        <w:rPr>
          <w:snapToGrid w:val="0"/>
        </w:rPr>
        <w:t xml:space="preserve">reference the previous </w:t>
      </w:r>
      <w:r w:rsidR="001844B4">
        <w:rPr>
          <w:snapToGrid w:val="0"/>
        </w:rPr>
        <w:t xml:space="preserve">report(s) or </w:t>
      </w:r>
      <w:r w:rsidR="009A01E5">
        <w:rPr>
          <w:snapToGrid w:val="0"/>
        </w:rPr>
        <w:t>memorand</w:t>
      </w:r>
      <w:r w:rsidR="001844B4">
        <w:rPr>
          <w:snapToGrid w:val="0"/>
        </w:rPr>
        <w:t>a</w:t>
      </w:r>
      <w:r w:rsidR="009A01E5">
        <w:rPr>
          <w:snapToGrid w:val="0"/>
        </w:rPr>
        <w:t xml:space="preserve"> and only note those items that have changed or otherwise warrant discussion.  In all cases, state whether </w:t>
      </w:r>
      <w:r w:rsidR="0084290E">
        <w:rPr>
          <w:snapToGrid w:val="0"/>
        </w:rPr>
        <w:t>you (</w:t>
      </w:r>
      <w:r w:rsidR="009A01E5">
        <w:rPr>
          <w:snapToGrid w:val="0"/>
        </w:rPr>
        <w:t>ADEC</w:t>
      </w:r>
      <w:r w:rsidR="0084290E">
        <w:rPr>
          <w:snapToGrid w:val="0"/>
        </w:rPr>
        <w:t>)</w:t>
      </w:r>
      <w:r w:rsidR="009A01E5">
        <w:rPr>
          <w:snapToGrid w:val="0"/>
        </w:rPr>
        <w:t xml:space="preserve"> </w:t>
      </w:r>
      <w:proofErr w:type="gramStart"/>
      <w:r w:rsidR="001844B4">
        <w:rPr>
          <w:snapToGrid w:val="0"/>
        </w:rPr>
        <w:t>agrees</w:t>
      </w:r>
      <w:proofErr w:type="gramEnd"/>
      <w:r w:rsidR="001844B4">
        <w:rPr>
          <w:snapToGrid w:val="0"/>
        </w:rPr>
        <w:t xml:space="preserve"> </w:t>
      </w:r>
      <w:r w:rsidR="009A01E5">
        <w:rPr>
          <w:snapToGrid w:val="0"/>
        </w:rPr>
        <w:t>or disagrees with the approach used by the applicant.  Specific statements may be warranted in the various subsections, especially in situations where the applicant used a unique or controversial approach.</w:t>
      </w:r>
    </w:p>
    <w:p w14:paraId="5F0C71FB" w14:textId="77777777" w:rsidR="009A01E5" w:rsidRDefault="009A01E5" w:rsidP="00E255C0">
      <w:pPr>
        <w:pStyle w:val="Heading3"/>
        <w:rPr>
          <w:snapToGrid w:val="0"/>
        </w:rPr>
      </w:pPr>
      <w:bookmarkStart w:id="76" w:name="CoordinatePermitEngineer"/>
      <w:bookmarkStart w:id="77" w:name="_Toc43521200"/>
      <w:bookmarkStart w:id="78" w:name="_Toc526778232"/>
      <w:r>
        <w:rPr>
          <w:snapToGrid w:val="0"/>
        </w:rPr>
        <w:t>Coordination</w:t>
      </w:r>
      <w:bookmarkEnd w:id="76"/>
      <w:r>
        <w:rPr>
          <w:snapToGrid w:val="0"/>
        </w:rPr>
        <w:t xml:space="preserve"> of Modeling Reviewer with Permit Engineer</w:t>
      </w:r>
      <w:bookmarkEnd w:id="77"/>
      <w:bookmarkEnd w:id="78"/>
    </w:p>
    <w:p w14:paraId="7B7D928E" w14:textId="77777777" w:rsidR="009A01E5" w:rsidRDefault="009A01E5" w:rsidP="00A63999">
      <w:pPr>
        <w:spacing w:after="120"/>
        <w:rPr>
          <w:snapToGrid w:val="0"/>
        </w:rPr>
      </w:pPr>
      <w:r>
        <w:rPr>
          <w:snapToGrid w:val="0"/>
        </w:rPr>
        <w:t xml:space="preserve">The modeling review must occur in coordination with the permit engineer to ensure consistency of technical information and communication.  </w:t>
      </w:r>
    </w:p>
    <w:p w14:paraId="1B6C52C4" w14:textId="620C497B" w:rsidR="009A01E5" w:rsidRDefault="006343AC" w:rsidP="00B04032">
      <w:pPr>
        <w:pStyle w:val="CheckReminder"/>
      </w:pPr>
      <w:r>
        <w:t>E</w:t>
      </w:r>
      <w:r w:rsidR="009A01E5">
        <w:t xml:space="preserve">nsure that the </w:t>
      </w:r>
      <w:r>
        <w:t xml:space="preserve">modeled EU inventory and emission </w:t>
      </w:r>
      <w:r w:rsidR="009A01E5">
        <w:t xml:space="preserve">rates are consistent with those presented in the permit application being reviewed by the permit engineer. </w:t>
      </w:r>
    </w:p>
    <w:p w14:paraId="25AFE260" w14:textId="77777777" w:rsidR="009A01E5" w:rsidRDefault="009A01E5" w:rsidP="00B04032">
      <w:pPr>
        <w:pStyle w:val="CheckReminder"/>
      </w:pPr>
      <w:r>
        <w:t>In addition to checking the consistency of the technical aspects of the modeling submittal, keep the permit en</w:t>
      </w:r>
      <w:r w:rsidRPr="00B04032">
        <w:t>gi</w:t>
      </w:r>
      <w:r>
        <w:t xml:space="preserve">neer informed throughout the review process of milestones of progress (e.g., protocol approval, completeness, technical approval, etc.) and any communication between you and the applicant or applicant’s consultant.  Be certain to provide the permit engineer with a copy of any communication, including emails and letters.  </w:t>
      </w:r>
    </w:p>
    <w:p w14:paraId="678C470D" w14:textId="77777777" w:rsidR="009A01E5" w:rsidRDefault="009A01E5" w:rsidP="00407F48">
      <w:pPr>
        <w:numPr>
          <w:ilvl w:val="0"/>
          <w:numId w:val="15"/>
        </w:numPr>
        <w:spacing w:before="120" w:after="120"/>
        <w:rPr>
          <w:snapToGrid w:val="0"/>
        </w:rPr>
      </w:pPr>
      <w:r>
        <w:rPr>
          <w:snapToGrid w:val="0"/>
        </w:rPr>
        <w:t>Communicate to the permit</w:t>
      </w:r>
      <w:r w:rsidRPr="00B04032">
        <w:rPr>
          <w:rStyle w:val="CheckReminderChar"/>
        </w:rPr>
        <w:t xml:space="preserve"> </w:t>
      </w:r>
      <w:r>
        <w:rPr>
          <w:snapToGrid w:val="0"/>
        </w:rPr>
        <w:t xml:space="preserve">engineer any restrictions in operations that were necessary in the modeling compliance demonstration.  </w:t>
      </w:r>
    </w:p>
    <w:p w14:paraId="0B8EB72F" w14:textId="3D06CCB8" w:rsidR="009A01E5" w:rsidRDefault="009A01E5">
      <w:pPr>
        <w:ind w:left="240"/>
        <w:rPr>
          <w:snapToGrid w:val="0"/>
        </w:rPr>
      </w:pPr>
      <w:r>
        <w:rPr>
          <w:snapToGrid w:val="0"/>
        </w:rPr>
        <w:t xml:space="preserve">Permit terms </w:t>
      </w:r>
      <w:r w:rsidR="00EF0093">
        <w:rPr>
          <w:snapToGrid w:val="0"/>
        </w:rPr>
        <w:t xml:space="preserve">such as </w:t>
      </w:r>
      <w:r>
        <w:rPr>
          <w:snapToGrid w:val="0"/>
        </w:rPr>
        <w:t xml:space="preserve">limiting operating load, sulfur content of fuel, or the number of </w:t>
      </w:r>
      <w:r w:rsidR="00060FB0">
        <w:rPr>
          <w:snapToGrid w:val="0"/>
        </w:rPr>
        <w:t>EUs</w:t>
      </w:r>
      <w:r>
        <w:rPr>
          <w:snapToGrid w:val="0"/>
        </w:rPr>
        <w:t xml:space="preserve"> operating at a single time may be required to demonstrate compliance with the short-term standards or increments.  Restricting the annual operating hours to less than 8</w:t>
      </w:r>
      <w:r w:rsidR="00830A07">
        <w:rPr>
          <w:snapToGrid w:val="0"/>
        </w:rPr>
        <w:t>,</w:t>
      </w:r>
      <w:r>
        <w:rPr>
          <w:snapToGrid w:val="0"/>
        </w:rPr>
        <w:t xml:space="preserve">760 may be necessary to demonstrate compliance with the annual </w:t>
      </w:r>
      <w:r w:rsidR="00A022D7">
        <w:rPr>
          <w:snapToGrid w:val="0"/>
        </w:rPr>
        <w:t>A</w:t>
      </w:r>
      <w:r>
        <w:rPr>
          <w:snapToGrid w:val="0"/>
        </w:rPr>
        <w:t xml:space="preserve">AAQS/ increments.  It is not </w:t>
      </w:r>
      <w:r w:rsidR="00651F4F">
        <w:rPr>
          <w:snapToGrid w:val="0"/>
        </w:rPr>
        <w:t xml:space="preserve">generally </w:t>
      </w:r>
      <w:r>
        <w:rPr>
          <w:snapToGrid w:val="0"/>
        </w:rPr>
        <w:t xml:space="preserve">necessary to impose </w:t>
      </w:r>
      <w:r w:rsidR="00651F4F">
        <w:rPr>
          <w:snapToGrid w:val="0"/>
        </w:rPr>
        <w:t xml:space="preserve">operational </w:t>
      </w:r>
      <w:r>
        <w:rPr>
          <w:snapToGrid w:val="0"/>
        </w:rPr>
        <w:t xml:space="preserve">restrictions for purposes of complying with the </w:t>
      </w:r>
      <w:r w:rsidR="00881460">
        <w:rPr>
          <w:snapToGrid w:val="0"/>
        </w:rPr>
        <w:t>A</w:t>
      </w:r>
      <w:r>
        <w:rPr>
          <w:snapToGrid w:val="0"/>
        </w:rPr>
        <w:t xml:space="preserve">AAQS/increments if the applicant is able to demonstrate compliance with </w:t>
      </w:r>
      <w:r w:rsidR="002D63EB">
        <w:rPr>
          <w:snapToGrid w:val="0"/>
        </w:rPr>
        <w:t xml:space="preserve">unrestricted </w:t>
      </w:r>
      <w:r>
        <w:rPr>
          <w:snapToGrid w:val="0"/>
        </w:rPr>
        <w:t>emissions.</w:t>
      </w:r>
      <w:r w:rsidR="00651F4F">
        <w:rPr>
          <w:snapToGrid w:val="0"/>
        </w:rPr>
        <w:t xml:space="preserve">  </w:t>
      </w:r>
      <w:r w:rsidR="003D61BD">
        <w:rPr>
          <w:snapToGrid w:val="0"/>
        </w:rPr>
        <w:t>However, you may still need to determine whether the assumed stack heights/orientation, or means for precluding public access, need to be imposed as ambient air conditions.</w:t>
      </w:r>
    </w:p>
    <w:p w14:paraId="1C2E6B2D" w14:textId="35C2A278" w:rsidR="003242D4" w:rsidRDefault="003242D4">
      <w:pPr>
        <w:spacing w:after="0"/>
        <w:rPr>
          <w:snapToGrid w:val="0"/>
        </w:rPr>
      </w:pPr>
      <w:r>
        <w:rPr>
          <w:snapToGrid w:val="0"/>
        </w:rPr>
        <w:br w:type="page"/>
      </w:r>
    </w:p>
    <w:p w14:paraId="5C172777" w14:textId="77777777" w:rsidR="003242D4" w:rsidRDefault="003242D4" w:rsidP="003242D4">
      <w:pPr>
        <w:spacing w:after="0"/>
        <w:rPr>
          <w:snapToGrid w:val="0"/>
        </w:rPr>
      </w:pPr>
    </w:p>
    <w:p w14:paraId="7F51EED2" w14:textId="77777777" w:rsidR="003242D4" w:rsidRDefault="003242D4" w:rsidP="003242D4">
      <w:pPr>
        <w:spacing w:after="0"/>
        <w:rPr>
          <w:snapToGrid w:val="0"/>
        </w:rPr>
      </w:pPr>
    </w:p>
    <w:p w14:paraId="0543F264" w14:textId="77777777" w:rsidR="003242D4" w:rsidRDefault="003242D4" w:rsidP="003242D4">
      <w:pPr>
        <w:spacing w:after="0"/>
        <w:rPr>
          <w:snapToGrid w:val="0"/>
        </w:rPr>
      </w:pPr>
    </w:p>
    <w:p w14:paraId="1AB6A2CC" w14:textId="77777777" w:rsidR="003242D4" w:rsidRDefault="003242D4" w:rsidP="003242D4">
      <w:pPr>
        <w:spacing w:after="0"/>
        <w:rPr>
          <w:snapToGrid w:val="0"/>
        </w:rPr>
      </w:pPr>
    </w:p>
    <w:p w14:paraId="6B9035FD" w14:textId="77777777" w:rsidR="003242D4" w:rsidRDefault="003242D4" w:rsidP="003242D4">
      <w:pPr>
        <w:spacing w:after="0"/>
        <w:rPr>
          <w:snapToGrid w:val="0"/>
        </w:rPr>
      </w:pPr>
    </w:p>
    <w:p w14:paraId="16740880" w14:textId="77777777" w:rsidR="003242D4" w:rsidRDefault="003242D4" w:rsidP="003242D4">
      <w:pPr>
        <w:spacing w:after="0"/>
        <w:rPr>
          <w:snapToGrid w:val="0"/>
        </w:rPr>
      </w:pPr>
    </w:p>
    <w:p w14:paraId="7C76C507" w14:textId="77777777" w:rsidR="003242D4" w:rsidRDefault="003242D4" w:rsidP="003242D4">
      <w:pPr>
        <w:spacing w:after="0"/>
        <w:rPr>
          <w:snapToGrid w:val="0"/>
        </w:rPr>
      </w:pPr>
    </w:p>
    <w:p w14:paraId="73719606" w14:textId="77777777" w:rsidR="003242D4" w:rsidRDefault="003242D4" w:rsidP="003242D4">
      <w:pPr>
        <w:spacing w:after="0"/>
        <w:rPr>
          <w:snapToGrid w:val="0"/>
        </w:rPr>
      </w:pPr>
    </w:p>
    <w:p w14:paraId="67956761" w14:textId="77777777" w:rsidR="003242D4" w:rsidRDefault="003242D4" w:rsidP="003242D4">
      <w:pPr>
        <w:spacing w:after="0"/>
        <w:rPr>
          <w:snapToGrid w:val="0"/>
        </w:rPr>
      </w:pPr>
    </w:p>
    <w:p w14:paraId="69ABD02C" w14:textId="77777777" w:rsidR="003242D4" w:rsidRDefault="003242D4" w:rsidP="003242D4">
      <w:pPr>
        <w:spacing w:after="0"/>
        <w:rPr>
          <w:snapToGrid w:val="0"/>
        </w:rPr>
      </w:pPr>
    </w:p>
    <w:p w14:paraId="7F5E2350" w14:textId="77777777" w:rsidR="003242D4" w:rsidRDefault="003242D4" w:rsidP="003242D4">
      <w:pPr>
        <w:spacing w:after="0"/>
        <w:rPr>
          <w:snapToGrid w:val="0"/>
        </w:rPr>
      </w:pPr>
    </w:p>
    <w:p w14:paraId="597DB384" w14:textId="77777777" w:rsidR="003242D4" w:rsidRDefault="003242D4" w:rsidP="003242D4">
      <w:pPr>
        <w:spacing w:after="0"/>
        <w:rPr>
          <w:snapToGrid w:val="0"/>
        </w:rPr>
      </w:pPr>
    </w:p>
    <w:p w14:paraId="465CA7BE" w14:textId="77777777" w:rsidR="003242D4" w:rsidRDefault="003242D4" w:rsidP="003242D4">
      <w:pPr>
        <w:spacing w:after="0"/>
        <w:jc w:val="center"/>
        <w:rPr>
          <w:snapToGrid w:val="0"/>
        </w:rPr>
      </w:pPr>
      <w:r>
        <w:rPr>
          <w:snapToGrid w:val="0"/>
        </w:rPr>
        <w:t>(This page intentionally left blank)</w:t>
      </w:r>
    </w:p>
    <w:p w14:paraId="06DFA7B8" w14:textId="77777777" w:rsidR="00F30425" w:rsidRDefault="00F30425">
      <w:pPr>
        <w:ind w:left="240"/>
        <w:rPr>
          <w:snapToGrid w:val="0"/>
        </w:rPr>
      </w:pPr>
    </w:p>
    <w:p w14:paraId="0B70B57C" w14:textId="77777777" w:rsidR="003242D4" w:rsidRDefault="003242D4">
      <w:pPr>
        <w:ind w:left="240"/>
        <w:rPr>
          <w:snapToGrid w:val="0"/>
        </w:rPr>
      </w:pPr>
    </w:p>
    <w:p w14:paraId="3BD262A8" w14:textId="77777777" w:rsidR="00F30425" w:rsidRDefault="00F30425">
      <w:pPr>
        <w:ind w:left="240"/>
        <w:rPr>
          <w:snapToGrid w:val="0"/>
        </w:rPr>
        <w:sectPr w:rsidR="00F30425" w:rsidSect="001D02EB">
          <w:pgSz w:w="12240" w:h="15840" w:code="1"/>
          <w:pgMar w:top="720" w:right="1800" w:bottom="720" w:left="1800" w:header="720" w:footer="576" w:gutter="0"/>
          <w:cols w:space="720"/>
          <w:docGrid w:linePitch="326"/>
        </w:sectPr>
      </w:pPr>
    </w:p>
    <w:p w14:paraId="7D164A68" w14:textId="77777777" w:rsidR="009A01E5" w:rsidRDefault="001578CE" w:rsidP="001578CE">
      <w:pPr>
        <w:pStyle w:val="Heading2"/>
        <w:rPr>
          <w:snapToGrid w:val="0"/>
        </w:rPr>
      </w:pPr>
      <w:bookmarkStart w:id="79" w:name="_Project_Information"/>
      <w:bookmarkStart w:id="80" w:name="_Toc43521208"/>
      <w:bookmarkStart w:id="81" w:name="ProjectInformation"/>
      <w:bookmarkEnd w:id="79"/>
      <w:r>
        <w:rPr>
          <w:snapToGrid w:val="0"/>
        </w:rPr>
        <w:lastRenderedPageBreak/>
        <w:tab/>
      </w:r>
      <w:bookmarkStart w:id="82" w:name="_Toc526778233"/>
      <w:r w:rsidR="009A01E5">
        <w:rPr>
          <w:snapToGrid w:val="0"/>
        </w:rPr>
        <w:t>Project Information</w:t>
      </w:r>
      <w:bookmarkEnd w:id="80"/>
      <w:bookmarkEnd w:id="82"/>
    </w:p>
    <w:bookmarkEnd w:id="81"/>
    <w:p w14:paraId="5B316ACB" w14:textId="21FCD9B8" w:rsidR="009A01E5" w:rsidRDefault="009A01E5">
      <w:pPr>
        <w:rPr>
          <w:snapToGrid w:val="0"/>
        </w:rPr>
      </w:pPr>
      <w:r>
        <w:rPr>
          <w:snapToGrid w:val="0"/>
        </w:rPr>
        <w:t xml:space="preserve">One of the most important aspects of the modeling review is to ensure that you have a good understanding of the proposed project, </w:t>
      </w:r>
      <w:r w:rsidR="00C81FD2">
        <w:rPr>
          <w:snapToGrid w:val="0"/>
        </w:rPr>
        <w:t>EUs</w:t>
      </w:r>
      <w:r>
        <w:rPr>
          <w:snapToGrid w:val="0"/>
        </w:rPr>
        <w:t xml:space="preserve">, and methods of operation.  Without a good general understanding of the project, it is possible that certain </w:t>
      </w:r>
      <w:r w:rsidR="00AE7756">
        <w:rPr>
          <w:snapToGrid w:val="0"/>
        </w:rPr>
        <w:t>EU</w:t>
      </w:r>
      <w:r>
        <w:rPr>
          <w:snapToGrid w:val="0"/>
        </w:rPr>
        <w:t xml:space="preserve">s or operating scenarios may not be properly accounted for.  </w:t>
      </w:r>
      <w:r w:rsidR="00B4605E">
        <w:rPr>
          <w:snapToGrid w:val="0"/>
        </w:rPr>
        <w:t>You should also discuss the project scope and permit classification</w:t>
      </w:r>
      <w:r>
        <w:rPr>
          <w:snapToGrid w:val="0"/>
        </w:rPr>
        <w:t xml:space="preserve"> with the permit engineer </w:t>
      </w:r>
      <w:r w:rsidR="00B4605E">
        <w:rPr>
          <w:snapToGrid w:val="0"/>
        </w:rPr>
        <w:t>in case there are aspects or findings that may affect either effort</w:t>
      </w:r>
      <w:r>
        <w:rPr>
          <w:snapToGrid w:val="0"/>
        </w:rPr>
        <w:t>.</w:t>
      </w:r>
    </w:p>
    <w:p w14:paraId="11DAE70F" w14:textId="348FF5F8" w:rsidR="009A01E5" w:rsidRDefault="009A01E5">
      <w:pPr>
        <w:rPr>
          <w:snapToGrid w:val="0"/>
        </w:rPr>
      </w:pPr>
      <w:r>
        <w:rPr>
          <w:snapToGrid w:val="0"/>
        </w:rPr>
        <w:t xml:space="preserve">The air quality analysis requires specific information on the </w:t>
      </w:r>
      <w:r w:rsidR="0044044B">
        <w:rPr>
          <w:snapToGrid w:val="0"/>
        </w:rPr>
        <w:t xml:space="preserve">EU location and </w:t>
      </w:r>
      <w:r>
        <w:rPr>
          <w:snapToGrid w:val="0"/>
        </w:rPr>
        <w:t>physical characteristics (</w:t>
      </w:r>
      <w:r w:rsidR="0044044B">
        <w:rPr>
          <w:snapToGrid w:val="0"/>
        </w:rPr>
        <w:t>e.g.,</w:t>
      </w:r>
      <w:r>
        <w:rPr>
          <w:snapToGrid w:val="0"/>
        </w:rPr>
        <w:t xml:space="preserve"> emission rate, stack height, stack diameter, exit velocity</w:t>
      </w:r>
      <w:r w:rsidR="0044044B">
        <w:rPr>
          <w:snapToGrid w:val="0"/>
        </w:rPr>
        <w:t>,</w:t>
      </w:r>
      <w:r>
        <w:rPr>
          <w:snapToGrid w:val="0"/>
        </w:rPr>
        <w:t xml:space="preserve"> and temperature), nearby structures, ambient air boundaries, and receptors.  The</w:t>
      </w:r>
      <w:r w:rsidR="0044044B">
        <w:rPr>
          <w:snapToGrid w:val="0"/>
        </w:rPr>
        <w:t xml:space="preserve">se topics are generally </w:t>
      </w:r>
      <w:r>
        <w:rPr>
          <w:snapToGrid w:val="0"/>
        </w:rPr>
        <w:t>discussed in this section</w:t>
      </w:r>
      <w:r w:rsidR="00D541C1">
        <w:rPr>
          <w:snapToGrid w:val="0"/>
        </w:rPr>
        <w:t>.</w:t>
      </w:r>
      <w:r w:rsidR="0044044B">
        <w:rPr>
          <w:snapToGrid w:val="0"/>
        </w:rPr>
        <w:t xml:space="preserve">  Additional details may be found in other sections of this manual. </w:t>
      </w:r>
    </w:p>
    <w:p w14:paraId="2264B9BA" w14:textId="77777777" w:rsidR="009A01E5" w:rsidRDefault="001578CE" w:rsidP="001578CE">
      <w:pPr>
        <w:pStyle w:val="Heading3"/>
        <w:rPr>
          <w:snapToGrid w:val="0"/>
        </w:rPr>
      </w:pPr>
      <w:bookmarkStart w:id="83" w:name="_Toc43521209"/>
      <w:r>
        <w:rPr>
          <w:snapToGrid w:val="0"/>
        </w:rPr>
        <w:tab/>
      </w:r>
      <w:bookmarkStart w:id="84" w:name="_Toc526778234"/>
      <w:r w:rsidR="009A01E5">
        <w:rPr>
          <w:snapToGrid w:val="0"/>
        </w:rPr>
        <w:t>Project Location Map, Topographical Data, and Land Use Analysis</w:t>
      </w:r>
      <w:bookmarkEnd w:id="83"/>
      <w:bookmarkEnd w:id="84"/>
      <w:r w:rsidR="009A01E5">
        <w:rPr>
          <w:snapToGrid w:val="0"/>
        </w:rPr>
        <w:t xml:space="preserve"> </w:t>
      </w:r>
    </w:p>
    <w:p w14:paraId="0D35E6B2" w14:textId="7DA135DF" w:rsidR="009A01E5" w:rsidRDefault="00612027">
      <w:pPr>
        <w:rPr>
          <w:snapToGrid w:val="0"/>
        </w:rPr>
      </w:pPr>
      <w:r>
        <w:rPr>
          <w:snapToGrid w:val="0"/>
        </w:rPr>
        <w:t>The applicant should provide</w:t>
      </w:r>
      <w:r w:rsidR="009A01E5">
        <w:rPr>
          <w:snapToGrid w:val="0"/>
        </w:rPr>
        <w:t xml:space="preserve"> a project location map </w:t>
      </w:r>
      <w:proofErr w:type="gramStart"/>
      <w:r w:rsidR="009A01E5">
        <w:rPr>
          <w:snapToGrid w:val="0"/>
        </w:rPr>
        <w:t>in</w:t>
      </w:r>
      <w:proofErr w:type="gramEnd"/>
      <w:r w:rsidR="009A01E5">
        <w:rPr>
          <w:snapToGrid w:val="0"/>
        </w:rPr>
        <w:t xml:space="preserve"> sufficient resolution to identify the source location, ambient air boundar</w:t>
      </w:r>
      <w:r>
        <w:rPr>
          <w:snapToGrid w:val="0"/>
        </w:rPr>
        <w:t>y</w:t>
      </w:r>
      <w:r w:rsidR="009A01E5">
        <w:rPr>
          <w:snapToGrid w:val="0"/>
        </w:rPr>
        <w:t>, nearby terrain features</w:t>
      </w:r>
      <w:r>
        <w:rPr>
          <w:snapToGrid w:val="0"/>
        </w:rPr>
        <w:t xml:space="preserve"> (if any)</w:t>
      </w:r>
      <w:r w:rsidR="009A01E5">
        <w:rPr>
          <w:snapToGrid w:val="0"/>
        </w:rPr>
        <w:t>, and any meteorological or air quality monitoring sites used in the analysis.  Generally, a USGS topographical quadrangle map (</w:t>
      </w:r>
      <w:proofErr w:type="gramStart"/>
      <w:r w:rsidR="009A01E5">
        <w:rPr>
          <w:snapToGrid w:val="0"/>
        </w:rPr>
        <w:t>7.5 minute</w:t>
      </w:r>
      <w:proofErr w:type="gramEnd"/>
      <w:r w:rsidR="009A01E5">
        <w:rPr>
          <w:snapToGrid w:val="0"/>
        </w:rPr>
        <w:t xml:space="preserve"> scale or 24k Digital Raster Graphics [DRG] digital files) or a </w:t>
      </w:r>
      <w:proofErr w:type="gramStart"/>
      <w:r w:rsidR="009A01E5">
        <w:rPr>
          <w:snapToGrid w:val="0"/>
        </w:rPr>
        <w:t>high resolution</w:t>
      </w:r>
      <w:proofErr w:type="gramEnd"/>
      <w:r w:rsidR="009A01E5">
        <w:rPr>
          <w:snapToGrid w:val="0"/>
        </w:rPr>
        <w:t xml:space="preserve"> Digital Ortho Quarter Quadrangle (DOQQ) photograph is sufficient for this purpose.  The </w:t>
      </w:r>
      <w:r>
        <w:rPr>
          <w:snapToGrid w:val="0"/>
        </w:rPr>
        <w:t>applicant should also provide</w:t>
      </w:r>
      <w:r w:rsidR="009A01E5">
        <w:rPr>
          <w:snapToGrid w:val="0"/>
        </w:rPr>
        <w:t xml:space="preserve"> a scaled site plan or plot plan in sufficient resolution to identify the </w:t>
      </w:r>
      <w:r>
        <w:rPr>
          <w:snapToGrid w:val="0"/>
        </w:rPr>
        <w:t xml:space="preserve">EU </w:t>
      </w:r>
      <w:r w:rsidR="009A01E5">
        <w:rPr>
          <w:snapToGrid w:val="0"/>
        </w:rPr>
        <w:t xml:space="preserve">and </w:t>
      </w:r>
      <w:proofErr w:type="gramStart"/>
      <w:r w:rsidR="009A01E5">
        <w:rPr>
          <w:snapToGrid w:val="0"/>
        </w:rPr>
        <w:t>buildings</w:t>
      </w:r>
      <w:proofErr w:type="gramEnd"/>
      <w:r>
        <w:rPr>
          <w:snapToGrid w:val="0"/>
        </w:rPr>
        <w:t xml:space="preserve"> locations</w:t>
      </w:r>
      <w:r w:rsidR="009A01E5">
        <w:rPr>
          <w:snapToGrid w:val="0"/>
        </w:rPr>
        <w:t xml:space="preserve">, property and </w:t>
      </w:r>
      <w:r>
        <w:rPr>
          <w:snapToGrid w:val="0"/>
        </w:rPr>
        <w:t>ambient air boundary</w:t>
      </w:r>
      <w:r w:rsidR="009A01E5">
        <w:rPr>
          <w:snapToGrid w:val="0"/>
        </w:rPr>
        <w:t xml:space="preserve">, and roads.  The coordinates and site plan orientation </w:t>
      </w:r>
      <w:r>
        <w:rPr>
          <w:snapToGrid w:val="0"/>
        </w:rPr>
        <w:t xml:space="preserve">should </w:t>
      </w:r>
      <w:r w:rsidR="009A01E5">
        <w:rPr>
          <w:snapToGrid w:val="0"/>
        </w:rPr>
        <w:t>be identified.  Rather than plant coordinates, the Universal Transverse Mercator (UTM) coordinate system is strongly recommended.</w:t>
      </w:r>
    </w:p>
    <w:p w14:paraId="67DFF123" w14:textId="24BCCFC3" w:rsidR="009A01E5" w:rsidRDefault="009A01E5">
      <w:pPr>
        <w:rPr>
          <w:snapToGrid w:val="0"/>
        </w:rPr>
      </w:pPr>
      <w:r>
        <w:rPr>
          <w:snapToGrid w:val="0"/>
        </w:rPr>
        <w:t xml:space="preserve">ADEC </w:t>
      </w:r>
      <w:r w:rsidR="00612027">
        <w:rPr>
          <w:snapToGrid w:val="0"/>
        </w:rPr>
        <w:t xml:space="preserve">generally </w:t>
      </w:r>
      <w:r>
        <w:rPr>
          <w:snapToGrid w:val="0"/>
        </w:rPr>
        <w:t>recommends that the applicant submit the project location map and site plan not only in the application as “</w:t>
      </w:r>
      <w:proofErr w:type="gramStart"/>
      <w:r>
        <w:rPr>
          <w:snapToGrid w:val="0"/>
        </w:rPr>
        <w:t>hard-copies</w:t>
      </w:r>
      <w:proofErr w:type="gramEnd"/>
      <w:r>
        <w:rPr>
          <w:snapToGrid w:val="0"/>
        </w:rPr>
        <w:t>”, but also as digital files.  This will expedite the review of this information.</w:t>
      </w:r>
    </w:p>
    <w:p w14:paraId="1532A794" w14:textId="6F53C307" w:rsidR="009A01E5" w:rsidRDefault="009A01E5">
      <w:pPr>
        <w:rPr>
          <w:snapToGrid w:val="0"/>
        </w:rPr>
      </w:pPr>
      <w:r>
        <w:rPr>
          <w:snapToGrid w:val="0"/>
        </w:rPr>
        <w:t xml:space="preserve">Topographical data and base elevations of </w:t>
      </w:r>
      <w:r w:rsidR="002505C0">
        <w:rPr>
          <w:snapToGrid w:val="0"/>
        </w:rPr>
        <w:t>EUs</w:t>
      </w:r>
      <w:r>
        <w:rPr>
          <w:snapToGrid w:val="0"/>
        </w:rPr>
        <w:t xml:space="preserve"> can be reviewed and verified using either topographical maps and/or graphical plots of USGS </w:t>
      </w:r>
      <w:r w:rsidR="002D63EB">
        <w:rPr>
          <w:snapToGrid w:val="0"/>
        </w:rPr>
        <w:t>National Elevation Data (NED)</w:t>
      </w:r>
      <w:r>
        <w:rPr>
          <w:snapToGrid w:val="0"/>
        </w:rPr>
        <w:t xml:space="preserve"> </w:t>
      </w:r>
      <w:r w:rsidR="002D63EB">
        <w:rPr>
          <w:snapToGrid w:val="0"/>
        </w:rPr>
        <w:t xml:space="preserve">terrain </w:t>
      </w:r>
      <w:r>
        <w:rPr>
          <w:snapToGrid w:val="0"/>
        </w:rPr>
        <w:t>data.</w:t>
      </w:r>
      <w:r w:rsidR="00FD426D">
        <w:rPr>
          <w:rStyle w:val="FootnoteReference"/>
          <w:snapToGrid w:val="0"/>
        </w:rPr>
        <w:footnoteReference w:id="26"/>
      </w:r>
      <w:r>
        <w:rPr>
          <w:snapToGrid w:val="0"/>
        </w:rPr>
        <w:t xml:space="preserve">  The GUI modeling systems previously described can be efficiently used to load digital DRG and/or </w:t>
      </w:r>
      <w:r w:rsidR="002D63EB">
        <w:rPr>
          <w:snapToGrid w:val="0"/>
        </w:rPr>
        <w:t xml:space="preserve">NED </w:t>
      </w:r>
      <w:r>
        <w:rPr>
          <w:snapToGrid w:val="0"/>
        </w:rPr>
        <w:t>data for the topographical review.</w:t>
      </w:r>
    </w:p>
    <w:p w14:paraId="5353A6C4" w14:textId="6B620D70" w:rsidR="009A01E5" w:rsidRDefault="004526DB">
      <w:pPr>
        <w:rPr>
          <w:snapToGrid w:val="0"/>
        </w:rPr>
      </w:pPr>
      <w:r>
        <w:rPr>
          <w:snapToGrid w:val="0"/>
        </w:rPr>
        <w:t>A</w:t>
      </w:r>
      <w:r w:rsidR="009A01E5">
        <w:rPr>
          <w:snapToGrid w:val="0"/>
        </w:rPr>
        <w:t xml:space="preserve"> </w:t>
      </w:r>
      <w:r w:rsidR="002D63EB">
        <w:rPr>
          <w:snapToGrid w:val="0"/>
        </w:rPr>
        <w:t xml:space="preserve">“rural” vs. “urban” </w:t>
      </w:r>
      <w:r w:rsidR="009A01E5">
        <w:rPr>
          <w:snapToGrid w:val="0"/>
        </w:rPr>
        <w:t xml:space="preserve">land use analysis is not </w:t>
      </w:r>
      <w:r w:rsidR="002D63EB">
        <w:rPr>
          <w:snapToGrid w:val="0"/>
        </w:rPr>
        <w:t xml:space="preserve">typically </w:t>
      </w:r>
      <w:r w:rsidR="009A01E5">
        <w:rPr>
          <w:snapToGrid w:val="0"/>
        </w:rPr>
        <w:t xml:space="preserve">required in Alaska unless the </w:t>
      </w:r>
      <w:r w:rsidR="002D63EB">
        <w:rPr>
          <w:snapToGrid w:val="0"/>
        </w:rPr>
        <w:t xml:space="preserve">stationary source </w:t>
      </w:r>
      <w:proofErr w:type="gramStart"/>
      <w:r w:rsidR="009A01E5">
        <w:rPr>
          <w:snapToGrid w:val="0"/>
        </w:rPr>
        <w:t>is located in</w:t>
      </w:r>
      <w:proofErr w:type="gramEnd"/>
      <w:r w:rsidR="009A01E5">
        <w:rPr>
          <w:snapToGrid w:val="0"/>
        </w:rPr>
        <w:t xml:space="preserve"> the greater Anchorage area (all other areas of the state are rural).  However, land use data </w:t>
      </w:r>
      <w:r w:rsidR="005768B6">
        <w:rPr>
          <w:snapToGrid w:val="0"/>
        </w:rPr>
        <w:t>will nevertheless</w:t>
      </w:r>
      <w:r w:rsidR="002D63EB">
        <w:rPr>
          <w:snapToGrid w:val="0"/>
        </w:rPr>
        <w:t xml:space="preserve"> still </w:t>
      </w:r>
      <w:r w:rsidR="005768B6">
        <w:rPr>
          <w:snapToGrid w:val="0"/>
        </w:rPr>
        <w:t xml:space="preserve">be </w:t>
      </w:r>
      <w:r w:rsidR="002D63EB">
        <w:rPr>
          <w:snapToGrid w:val="0"/>
        </w:rPr>
        <w:t xml:space="preserve">needed </w:t>
      </w:r>
      <w:r w:rsidR="009A01E5">
        <w:rPr>
          <w:snapToGrid w:val="0"/>
        </w:rPr>
        <w:t>when AERMOD is used</w:t>
      </w:r>
      <w:r w:rsidR="002505C0">
        <w:rPr>
          <w:snapToGrid w:val="0"/>
        </w:rPr>
        <w:t xml:space="preserve"> (see Section </w:t>
      </w:r>
      <w:r w:rsidR="002505C0">
        <w:rPr>
          <w:snapToGrid w:val="0"/>
        </w:rPr>
        <w:fldChar w:fldCharType="begin"/>
      </w:r>
      <w:r w:rsidR="002505C0">
        <w:rPr>
          <w:snapToGrid w:val="0"/>
        </w:rPr>
        <w:instrText xml:space="preserve"> REF _Ref482265396 \w \h </w:instrText>
      </w:r>
      <w:r w:rsidR="002505C0">
        <w:rPr>
          <w:snapToGrid w:val="0"/>
        </w:rPr>
      </w:r>
      <w:r w:rsidR="002505C0">
        <w:rPr>
          <w:snapToGrid w:val="0"/>
        </w:rPr>
        <w:fldChar w:fldCharType="separate"/>
      </w:r>
      <w:r w:rsidR="00135FFD">
        <w:rPr>
          <w:snapToGrid w:val="0"/>
        </w:rPr>
        <w:t>2.6.4.2</w:t>
      </w:r>
      <w:r w:rsidR="002505C0">
        <w:rPr>
          <w:snapToGrid w:val="0"/>
        </w:rPr>
        <w:fldChar w:fldCharType="end"/>
      </w:r>
      <w:r w:rsidR="002505C0">
        <w:rPr>
          <w:snapToGrid w:val="0"/>
        </w:rPr>
        <w:t>)</w:t>
      </w:r>
      <w:r w:rsidR="009A01E5">
        <w:rPr>
          <w:snapToGrid w:val="0"/>
        </w:rPr>
        <w:t xml:space="preserve">.  Land use data is available from USGS in </w:t>
      </w:r>
      <w:r w:rsidR="00ED5FCD">
        <w:rPr>
          <w:snapToGrid w:val="0"/>
        </w:rPr>
        <w:t xml:space="preserve">ArcGIS </w:t>
      </w:r>
      <w:r w:rsidR="009A01E5">
        <w:rPr>
          <w:snapToGrid w:val="0"/>
        </w:rPr>
        <w:t>formats</w:t>
      </w:r>
      <w:r w:rsidR="0074304D">
        <w:rPr>
          <w:snapToGrid w:val="0"/>
        </w:rPr>
        <w:t>.</w:t>
      </w:r>
      <w:r w:rsidR="009A01E5">
        <w:rPr>
          <w:rStyle w:val="FootnoteReference"/>
          <w:snapToGrid w:val="0"/>
        </w:rPr>
        <w:footnoteReference w:id="27"/>
      </w:r>
    </w:p>
    <w:p w14:paraId="4B318A6A" w14:textId="6AE87EDE" w:rsidR="009A01E5" w:rsidRDefault="001578CE" w:rsidP="001578CE">
      <w:pPr>
        <w:pStyle w:val="Heading3"/>
        <w:rPr>
          <w:snapToGrid w:val="0"/>
        </w:rPr>
      </w:pPr>
      <w:bookmarkStart w:id="85" w:name="_Layout_of_Emission"/>
      <w:bookmarkStart w:id="86" w:name="_Toc43521210"/>
      <w:bookmarkEnd w:id="85"/>
      <w:r>
        <w:rPr>
          <w:snapToGrid w:val="0"/>
        </w:rPr>
        <w:tab/>
      </w:r>
      <w:bookmarkStart w:id="87" w:name="_Toc526778235"/>
      <w:r w:rsidR="009A01E5">
        <w:rPr>
          <w:snapToGrid w:val="0"/>
        </w:rPr>
        <w:t xml:space="preserve">Layout of </w:t>
      </w:r>
      <w:r w:rsidR="00AE7756">
        <w:rPr>
          <w:snapToGrid w:val="0"/>
        </w:rPr>
        <w:t>EU</w:t>
      </w:r>
      <w:r w:rsidR="009A01E5">
        <w:rPr>
          <w:snapToGrid w:val="0"/>
        </w:rPr>
        <w:t>s and Structures</w:t>
      </w:r>
      <w:bookmarkEnd w:id="86"/>
      <w:bookmarkEnd w:id="87"/>
    </w:p>
    <w:p w14:paraId="1E5ABB08" w14:textId="311A163A" w:rsidR="008A095E" w:rsidRDefault="008A095E" w:rsidP="008A095E">
      <w:pPr>
        <w:pStyle w:val="CheckReminder"/>
        <w:numPr>
          <w:ilvl w:val="0"/>
          <w:numId w:val="0"/>
        </w:numPr>
      </w:pPr>
      <w:proofErr w:type="gramStart"/>
      <w:r>
        <w:t>The modeled location of the EUs and structures (if applicable),</w:t>
      </w:r>
      <w:proofErr w:type="gramEnd"/>
      <w:r>
        <w:t xml:space="preserve"> should match the actual/proposed layout.  </w:t>
      </w:r>
      <w:r w:rsidR="003B4560" w:rsidRPr="00CF6802">
        <w:t>Fugitive emissions from area or volume sources req</w:t>
      </w:r>
      <w:r w:rsidR="003B4560">
        <w:t>u</w:t>
      </w:r>
      <w:r w:rsidR="003B4560" w:rsidRPr="00CF6802">
        <w:t xml:space="preserve">ire special </w:t>
      </w:r>
      <w:r w:rsidR="003B4560" w:rsidRPr="00CF6802">
        <w:lastRenderedPageBreak/>
        <w:t xml:space="preserve">attention.  Take the time to understand the nature of the fugitive emission process, understand where these processes occur, and ensure that they are accurately represented in the </w:t>
      </w:r>
      <w:r w:rsidR="003B4560">
        <w:t>analysis</w:t>
      </w:r>
      <w:r w:rsidR="003B4560" w:rsidRPr="00CF6802">
        <w:t>.</w:t>
      </w:r>
      <w:r w:rsidR="00BA7DCF">
        <w:t xml:space="preserve"> </w:t>
      </w:r>
    </w:p>
    <w:p w14:paraId="4697DCD9" w14:textId="527D58B6" w:rsidR="009A01E5" w:rsidDel="00DA0D47" w:rsidRDefault="009A01E5" w:rsidP="00B04032">
      <w:pPr>
        <w:pStyle w:val="CheckReminder"/>
      </w:pPr>
      <w:r w:rsidDel="00DA0D47">
        <w:t xml:space="preserve">Verify that the applicant has correctly located all </w:t>
      </w:r>
      <w:r w:rsidR="00AE7756" w:rsidDel="00DA0D47">
        <w:t>EU</w:t>
      </w:r>
      <w:r w:rsidDel="00DA0D47">
        <w:t xml:space="preserve">s, structures, and receptor grids.  </w:t>
      </w:r>
    </w:p>
    <w:p w14:paraId="7F667F4C" w14:textId="4A8B0E5B" w:rsidR="00612027" w:rsidRDefault="00BA7379">
      <w:pPr>
        <w:rPr>
          <w:snapToGrid w:val="0"/>
        </w:rPr>
      </w:pPr>
      <w:r w:rsidRPr="00BA7379">
        <w:rPr>
          <w:snapToGrid w:val="0"/>
        </w:rPr>
        <w:t xml:space="preserve">The relative stack height to building height </w:t>
      </w:r>
      <w:r>
        <w:rPr>
          <w:snapToGrid w:val="0"/>
        </w:rPr>
        <w:t>is</w:t>
      </w:r>
      <w:r w:rsidRPr="00BA7379">
        <w:rPr>
          <w:snapToGrid w:val="0"/>
        </w:rPr>
        <w:t xml:space="preserve"> </w:t>
      </w:r>
      <w:r w:rsidR="008A095E">
        <w:rPr>
          <w:snapToGrid w:val="0"/>
        </w:rPr>
        <w:t xml:space="preserve">also </w:t>
      </w:r>
      <w:r>
        <w:rPr>
          <w:snapToGrid w:val="0"/>
        </w:rPr>
        <w:t>a critical parameter</w:t>
      </w:r>
      <w:r w:rsidRPr="00BA7379">
        <w:rPr>
          <w:snapToGrid w:val="0"/>
        </w:rPr>
        <w:t xml:space="preserve"> for simulating downwash in AERMOD/AERSCREEN and OCD. </w:t>
      </w:r>
      <w:r>
        <w:rPr>
          <w:snapToGrid w:val="0"/>
        </w:rPr>
        <w:t xml:space="preserve"> </w:t>
      </w:r>
      <w:r w:rsidRPr="00BA7379">
        <w:rPr>
          <w:snapToGrid w:val="0"/>
        </w:rPr>
        <w:t xml:space="preserve">Stack and building </w:t>
      </w:r>
      <w:proofErr w:type="gramStart"/>
      <w:r w:rsidRPr="00BA7379">
        <w:rPr>
          <w:snapToGrid w:val="0"/>
        </w:rPr>
        <w:t>heights,</w:t>
      </w:r>
      <w:proofErr w:type="gramEnd"/>
      <w:r w:rsidRPr="00BA7379">
        <w:rPr>
          <w:snapToGrid w:val="0"/>
        </w:rPr>
        <w:t xml:space="preserve"> must therefore be checked for accuracy</w:t>
      </w:r>
      <w:r w:rsidR="008A095E">
        <w:rPr>
          <w:snapToGrid w:val="0"/>
        </w:rPr>
        <w:t xml:space="preserve"> in addition to the EU location</w:t>
      </w:r>
      <w:r w:rsidRPr="00BA7379">
        <w:rPr>
          <w:snapToGrid w:val="0"/>
        </w:rPr>
        <w:t xml:space="preserve">.  </w:t>
      </w:r>
      <w:r w:rsidR="00674CBF">
        <w:rPr>
          <w:snapToGrid w:val="0"/>
        </w:rPr>
        <w:t xml:space="preserve"> </w:t>
      </w:r>
    </w:p>
    <w:p w14:paraId="7E72D881" w14:textId="4F3C036B" w:rsidR="00435D57" w:rsidRDefault="00435D57">
      <w:pPr>
        <w:rPr>
          <w:snapToGrid w:val="0"/>
        </w:rPr>
      </w:pPr>
      <w:r>
        <w:rPr>
          <w:snapToGrid w:val="0"/>
        </w:rPr>
        <w:t xml:space="preserve">There are several software programs available for AERMOD, which allow you to graphically review project data.  These programs include BEEST by Providence/Oris, AERMOD View™ by Lakes Environmental, and BREEZE software by Trinity Consultants.  There are also graphical and GIS software programs which are not specifically developed for regulatory dispersion models but </w:t>
      </w:r>
      <w:r w:rsidR="008A095E">
        <w:rPr>
          <w:snapToGrid w:val="0"/>
        </w:rPr>
        <w:t>could be</w:t>
      </w:r>
      <w:r>
        <w:rPr>
          <w:snapToGrid w:val="0"/>
        </w:rPr>
        <w:t xml:space="preserve"> useful in </w:t>
      </w:r>
      <w:r w:rsidR="008A095E">
        <w:rPr>
          <w:snapToGrid w:val="0"/>
        </w:rPr>
        <w:t xml:space="preserve">a </w:t>
      </w:r>
      <w:r>
        <w:rPr>
          <w:snapToGrid w:val="0"/>
        </w:rPr>
        <w:t>modeling review.  SURFER</w:t>
      </w:r>
      <w:r w:rsidRPr="00F33FC9">
        <w:rPr>
          <w:vertAlign w:val="superscript"/>
        </w:rPr>
        <w:t>®</w:t>
      </w:r>
      <w:r>
        <w:rPr>
          <w:snapToGrid w:val="0"/>
        </w:rPr>
        <w:t xml:space="preserve"> graphics by Golden Software is one such commonly used general graphics and mapping program.</w:t>
      </w:r>
    </w:p>
    <w:p w14:paraId="7C09879E" w14:textId="7A7E3232" w:rsidR="00DA0D47" w:rsidRDefault="00C752E7">
      <w:pPr>
        <w:rPr>
          <w:snapToGrid w:val="0"/>
        </w:rPr>
      </w:pPr>
      <w:r>
        <w:rPr>
          <w:snapToGrid w:val="0"/>
        </w:rPr>
        <w:t xml:space="preserve">The </w:t>
      </w:r>
      <w:r w:rsidR="00770010">
        <w:rPr>
          <w:snapToGrid w:val="0"/>
        </w:rPr>
        <w:t xml:space="preserve">AERMOD </w:t>
      </w:r>
      <w:r>
        <w:rPr>
          <w:snapToGrid w:val="0"/>
        </w:rPr>
        <w:t xml:space="preserve">GUIs </w:t>
      </w:r>
      <w:r w:rsidR="00D83C28">
        <w:rPr>
          <w:snapToGrid w:val="0"/>
        </w:rPr>
        <w:t>will graphically display the building, stack</w:t>
      </w:r>
      <w:r w:rsidR="00774A0F">
        <w:rPr>
          <w:snapToGrid w:val="0"/>
        </w:rPr>
        <w:t>/</w:t>
      </w:r>
      <w:r>
        <w:rPr>
          <w:snapToGrid w:val="0"/>
        </w:rPr>
        <w:t xml:space="preserve">EU </w:t>
      </w:r>
      <w:r w:rsidR="00D83C28">
        <w:rPr>
          <w:snapToGrid w:val="0"/>
        </w:rPr>
        <w:t xml:space="preserve">and receptor locations, and </w:t>
      </w:r>
      <w:r>
        <w:rPr>
          <w:snapToGrid w:val="0"/>
        </w:rPr>
        <w:t>plot the modeled concentrations</w:t>
      </w:r>
      <w:r w:rsidR="00D83C28">
        <w:rPr>
          <w:snapToGrid w:val="0"/>
        </w:rPr>
        <w:t xml:space="preserve">.  Reviewers can also </w:t>
      </w:r>
      <w:r w:rsidR="00316BB1">
        <w:rPr>
          <w:snapToGrid w:val="0"/>
        </w:rPr>
        <w:t xml:space="preserve">overlay the layout/results on an </w:t>
      </w:r>
      <w:r w:rsidR="00D83C28">
        <w:rPr>
          <w:snapToGrid w:val="0"/>
        </w:rPr>
        <w:t>import</w:t>
      </w:r>
      <w:r w:rsidR="00316BB1">
        <w:rPr>
          <w:snapToGrid w:val="0"/>
        </w:rPr>
        <w:t>ed topographical map</w:t>
      </w:r>
      <w:r w:rsidR="009A01E5">
        <w:rPr>
          <w:snapToGrid w:val="0"/>
        </w:rPr>
        <w:t xml:space="preserve"> </w:t>
      </w:r>
      <w:r w:rsidR="00316BB1">
        <w:rPr>
          <w:snapToGrid w:val="0"/>
        </w:rPr>
        <w:t xml:space="preserve">(e.g., a </w:t>
      </w:r>
      <w:r w:rsidR="009A01E5">
        <w:rPr>
          <w:snapToGrid w:val="0"/>
        </w:rPr>
        <w:t>USGS Quad map</w:t>
      </w:r>
      <w:r w:rsidR="00316BB1">
        <w:rPr>
          <w:snapToGrid w:val="0"/>
        </w:rPr>
        <w:t>)</w:t>
      </w:r>
      <w:r w:rsidR="009A01E5">
        <w:rPr>
          <w:snapToGrid w:val="0"/>
        </w:rPr>
        <w:t xml:space="preserve">.  </w:t>
      </w:r>
      <w:proofErr w:type="gramStart"/>
      <w:r w:rsidR="00316BB1">
        <w:rPr>
          <w:snapToGrid w:val="0"/>
        </w:rPr>
        <w:t>All of</w:t>
      </w:r>
      <w:proofErr w:type="gramEnd"/>
      <w:r w:rsidR="00316BB1">
        <w:rPr>
          <w:snapToGrid w:val="0"/>
        </w:rPr>
        <w:t xml:space="preserve"> these visual features/options are extremely helpful in a modeling review</w:t>
      </w:r>
      <w:r w:rsidR="009A01E5">
        <w:rPr>
          <w:snapToGrid w:val="0"/>
        </w:rPr>
        <w:t xml:space="preserve">. </w:t>
      </w:r>
      <w:r w:rsidR="00D565AE">
        <w:rPr>
          <w:snapToGrid w:val="0"/>
        </w:rPr>
        <w:t xml:space="preserve"> </w:t>
      </w:r>
    </w:p>
    <w:p w14:paraId="075AC6F2" w14:textId="05E63DDE" w:rsidR="00770010" w:rsidRDefault="00DA0D47" w:rsidP="00F172E2">
      <w:pPr>
        <w:pStyle w:val="CheckReminder"/>
      </w:pPr>
      <w:r>
        <w:t xml:space="preserve">Make a 3-D plot of the buildings/stacks using the graphical software of your choice and verify that the plot looks reasonably close to that submitted on the plot plan and photographs (if available).  Check that the base elevation of the buildings and stacks are consistent (see </w:t>
      </w:r>
      <w:hyperlink w:anchor="_GEP_and_BPIPPRM" w:history="1">
        <w:r>
          <w:rPr>
            <w:rStyle w:val="Hyperlink"/>
          </w:rPr>
          <w:t>Section 2.8.1</w:t>
        </w:r>
      </w:hyperlink>
      <w:r w:rsidRPr="00451370">
        <w:t xml:space="preserve"> for additional discussion</w:t>
      </w:r>
      <w:r>
        <w:t>).</w:t>
      </w:r>
    </w:p>
    <w:p w14:paraId="26B1C4A0" w14:textId="0EA87D7D" w:rsidR="009A01E5" w:rsidRDefault="00770010" w:rsidP="00770010">
      <w:pPr>
        <w:pStyle w:val="CheckReminder"/>
        <w:numPr>
          <w:ilvl w:val="0"/>
          <w:numId w:val="0"/>
        </w:numPr>
      </w:pPr>
      <w:r>
        <w:t xml:space="preserve">Additional details regarding AERMOD and downwash may be found in Section </w:t>
      </w:r>
      <w:r>
        <w:fldChar w:fldCharType="begin"/>
      </w:r>
      <w:r>
        <w:instrText xml:space="preserve"> REF _Ref447796105 \w \h </w:instrText>
      </w:r>
      <w:r>
        <w:fldChar w:fldCharType="separate"/>
      </w:r>
      <w:r w:rsidR="00135FFD">
        <w:t>2.8</w:t>
      </w:r>
      <w:r>
        <w:fldChar w:fldCharType="end"/>
      </w:r>
      <w:r>
        <w:t xml:space="preserve"> of this manual.  Additional details regarding OCD and downwash may be found in the OCD section of Appendix A.</w:t>
      </w:r>
    </w:p>
    <w:p w14:paraId="499BA6DE" w14:textId="4B881C2A" w:rsidR="009A01E5" w:rsidRPr="00CF6802" w:rsidRDefault="001578CE" w:rsidP="00E255C0">
      <w:pPr>
        <w:pStyle w:val="Heading3"/>
        <w:rPr>
          <w:snapToGrid w:val="0"/>
        </w:rPr>
      </w:pPr>
      <w:bookmarkStart w:id="88" w:name="_Toc43521211"/>
      <w:r>
        <w:rPr>
          <w:snapToGrid w:val="0"/>
        </w:rPr>
        <w:tab/>
      </w:r>
      <w:bookmarkStart w:id="89" w:name="_Ref447802349"/>
      <w:bookmarkStart w:id="90" w:name="_Toc526778236"/>
      <w:r w:rsidR="009A01E5" w:rsidRPr="00CF6802">
        <w:rPr>
          <w:snapToGrid w:val="0"/>
        </w:rPr>
        <w:t>Location of Fence Line, Property, and Ambient Air Boundaries</w:t>
      </w:r>
      <w:bookmarkEnd w:id="88"/>
      <w:bookmarkEnd w:id="89"/>
      <w:bookmarkEnd w:id="90"/>
    </w:p>
    <w:p w14:paraId="0826200E" w14:textId="44232191" w:rsidR="00173E9E" w:rsidRDefault="00D04B87">
      <w:pPr>
        <w:rPr>
          <w:snapToGrid w:val="0"/>
        </w:rPr>
      </w:pPr>
      <w:r>
        <w:rPr>
          <w:snapToGrid w:val="0"/>
        </w:rPr>
        <w:t xml:space="preserve">The AAAQS and increments only apply in </w:t>
      </w:r>
      <w:r w:rsidR="009A01E5" w:rsidRPr="00CF6802">
        <w:rPr>
          <w:snapToGrid w:val="0"/>
        </w:rPr>
        <w:t>“ambient air”</w:t>
      </w:r>
      <w:r w:rsidR="000310B3">
        <w:rPr>
          <w:snapToGrid w:val="0"/>
        </w:rPr>
        <w:t xml:space="preserve"> locations</w:t>
      </w:r>
      <w:r w:rsidR="009A01E5" w:rsidRPr="00CF6802">
        <w:rPr>
          <w:snapToGrid w:val="0"/>
        </w:rPr>
        <w:t xml:space="preserve">, which has been defined by EPA as </w:t>
      </w:r>
      <w:r w:rsidR="0036639D">
        <w:rPr>
          <w:snapToGrid w:val="0"/>
        </w:rPr>
        <w:t>“t</w:t>
      </w:r>
      <w:r w:rsidR="009A01E5" w:rsidRPr="00CF6802">
        <w:rPr>
          <w:snapToGrid w:val="0"/>
        </w:rPr>
        <w:t>hat portion of the atmosphere, external to buildings, to which the general public has access</w:t>
      </w:r>
      <w:r w:rsidR="00543CE6">
        <w:rPr>
          <w:snapToGrid w:val="0"/>
        </w:rPr>
        <w:t>.</w:t>
      </w:r>
      <w:r w:rsidR="0036639D">
        <w:rPr>
          <w:snapToGrid w:val="0"/>
        </w:rPr>
        <w:t>”</w:t>
      </w:r>
      <w:r w:rsidR="00543CE6" w:rsidRPr="00543CE6">
        <w:rPr>
          <w:snapToGrid w:val="0"/>
          <w:sz w:val="16"/>
          <w:szCs w:val="16"/>
        </w:rPr>
        <w:t xml:space="preserve"> </w:t>
      </w:r>
      <w:r w:rsidR="009A01E5" w:rsidRPr="00CF6802">
        <w:rPr>
          <w:rStyle w:val="FootnoteReference"/>
          <w:snapToGrid w:val="0"/>
        </w:rPr>
        <w:footnoteReference w:id="28"/>
      </w:r>
      <w:r w:rsidR="009A01E5" w:rsidRPr="00CF6802">
        <w:rPr>
          <w:snapToGrid w:val="0"/>
        </w:rPr>
        <w:t xml:space="preserve">  </w:t>
      </w:r>
      <w:r w:rsidR="006E4AAC">
        <w:rPr>
          <w:snapToGrid w:val="0"/>
        </w:rPr>
        <w:t xml:space="preserve">Applicants should provide a site plan that </w:t>
      </w:r>
      <w:r w:rsidR="00841868">
        <w:rPr>
          <w:snapToGrid w:val="0"/>
        </w:rPr>
        <w:t xml:space="preserve">clearly </w:t>
      </w:r>
      <w:r w:rsidR="006E4AAC">
        <w:rPr>
          <w:snapToGrid w:val="0"/>
        </w:rPr>
        <w:t>show</w:t>
      </w:r>
      <w:r w:rsidR="00F45016">
        <w:rPr>
          <w:snapToGrid w:val="0"/>
        </w:rPr>
        <w:t>s</w:t>
      </w:r>
      <w:r w:rsidR="006E4AAC">
        <w:rPr>
          <w:snapToGrid w:val="0"/>
        </w:rPr>
        <w:t xml:space="preserve"> the ambient air boundar</w:t>
      </w:r>
      <w:r w:rsidR="00305BC6">
        <w:rPr>
          <w:snapToGrid w:val="0"/>
        </w:rPr>
        <w:t>y</w:t>
      </w:r>
      <w:r w:rsidR="009B27AB">
        <w:rPr>
          <w:snapToGrid w:val="0"/>
        </w:rPr>
        <w:t>,</w:t>
      </w:r>
      <w:r w:rsidR="006E4AAC">
        <w:rPr>
          <w:snapToGrid w:val="0"/>
        </w:rPr>
        <w:t xml:space="preserve"> </w:t>
      </w:r>
      <w:r w:rsidR="009B27AB">
        <w:rPr>
          <w:snapToGrid w:val="0"/>
        </w:rPr>
        <w:t xml:space="preserve">and property boundary (if applicable), </w:t>
      </w:r>
      <w:r w:rsidR="00841868">
        <w:rPr>
          <w:snapToGrid w:val="0"/>
        </w:rPr>
        <w:t>in relation to their receptor grid</w:t>
      </w:r>
      <w:r w:rsidR="009A01E5">
        <w:rPr>
          <w:snapToGrid w:val="0"/>
        </w:rPr>
        <w:t xml:space="preserve">.  </w:t>
      </w:r>
      <w:r w:rsidR="003D40E7">
        <w:rPr>
          <w:snapToGrid w:val="0"/>
        </w:rPr>
        <w:t xml:space="preserve">As part of your </w:t>
      </w:r>
      <w:r w:rsidR="00305BC6">
        <w:rPr>
          <w:snapToGrid w:val="0"/>
        </w:rPr>
        <w:t xml:space="preserve">graphical </w:t>
      </w:r>
      <w:r w:rsidR="003D40E7">
        <w:rPr>
          <w:snapToGrid w:val="0"/>
        </w:rPr>
        <w:t>review, check whether t</w:t>
      </w:r>
      <w:r w:rsidR="003D40E7">
        <w:t xml:space="preserve">he </w:t>
      </w:r>
      <w:r w:rsidR="00E0344C">
        <w:t xml:space="preserve">receptor grid starts at the </w:t>
      </w:r>
      <w:r w:rsidR="00305BC6">
        <w:t xml:space="preserve">indicated </w:t>
      </w:r>
      <w:r w:rsidR="003D40E7">
        <w:t>ambient air boundary</w:t>
      </w:r>
      <w:r w:rsidR="009A01E5">
        <w:rPr>
          <w:snapToGrid w:val="0"/>
        </w:rPr>
        <w:t xml:space="preserve">.  </w:t>
      </w:r>
      <w:r w:rsidR="00A8796B">
        <w:rPr>
          <w:snapToGrid w:val="0"/>
        </w:rPr>
        <w:t xml:space="preserve">See Section </w:t>
      </w:r>
      <w:r w:rsidR="00A8796B">
        <w:rPr>
          <w:snapToGrid w:val="0"/>
        </w:rPr>
        <w:fldChar w:fldCharType="begin"/>
      </w:r>
      <w:r w:rsidR="00A8796B">
        <w:rPr>
          <w:snapToGrid w:val="0"/>
        </w:rPr>
        <w:instrText xml:space="preserve"> REF _Ref447802188 \w \h </w:instrText>
      </w:r>
      <w:r w:rsidR="00A8796B">
        <w:rPr>
          <w:snapToGrid w:val="0"/>
        </w:rPr>
      </w:r>
      <w:r w:rsidR="00A8796B">
        <w:rPr>
          <w:snapToGrid w:val="0"/>
        </w:rPr>
        <w:fldChar w:fldCharType="separate"/>
      </w:r>
      <w:r w:rsidR="00135FFD">
        <w:rPr>
          <w:snapToGrid w:val="0"/>
        </w:rPr>
        <w:t>2.11</w:t>
      </w:r>
      <w:r w:rsidR="00A8796B">
        <w:rPr>
          <w:snapToGrid w:val="0"/>
        </w:rPr>
        <w:fldChar w:fldCharType="end"/>
      </w:r>
      <w:r w:rsidR="00A8796B">
        <w:rPr>
          <w:snapToGrid w:val="0"/>
        </w:rPr>
        <w:t xml:space="preserve"> for additional information regarding the ambient air boundary, and for information regarding </w:t>
      </w:r>
      <w:r w:rsidR="009B27AB">
        <w:rPr>
          <w:snapToGrid w:val="0"/>
        </w:rPr>
        <w:t xml:space="preserve">the treatment of </w:t>
      </w:r>
      <w:r w:rsidR="00A8796B">
        <w:rPr>
          <w:snapToGrid w:val="0"/>
        </w:rPr>
        <w:t xml:space="preserve">worker housing areas within an ambient air boundary.  </w:t>
      </w:r>
      <w:r w:rsidR="009A01E5">
        <w:rPr>
          <w:snapToGrid w:val="0"/>
        </w:rPr>
        <w:t xml:space="preserve">Refer to </w:t>
      </w:r>
      <w:r w:rsidR="00D3616D" w:rsidRPr="00D3616D">
        <w:rPr>
          <w:snapToGrid w:val="0"/>
        </w:rPr>
        <w:t xml:space="preserve">Section </w:t>
      </w:r>
      <w:r w:rsidR="00D3616D">
        <w:rPr>
          <w:snapToGrid w:val="0"/>
        </w:rPr>
        <w:fldChar w:fldCharType="begin"/>
      </w:r>
      <w:r w:rsidR="00D3616D">
        <w:rPr>
          <w:snapToGrid w:val="0"/>
        </w:rPr>
        <w:instrText xml:space="preserve"> REF _Ref448836153 \w \h </w:instrText>
      </w:r>
      <w:r w:rsidR="00D3616D">
        <w:rPr>
          <w:snapToGrid w:val="0"/>
        </w:rPr>
      </w:r>
      <w:r w:rsidR="00D3616D">
        <w:rPr>
          <w:snapToGrid w:val="0"/>
        </w:rPr>
        <w:fldChar w:fldCharType="separate"/>
      </w:r>
      <w:r w:rsidR="00135FFD">
        <w:rPr>
          <w:snapToGrid w:val="0"/>
        </w:rPr>
        <w:t>2.12</w:t>
      </w:r>
      <w:r w:rsidR="00D3616D">
        <w:rPr>
          <w:snapToGrid w:val="0"/>
        </w:rPr>
        <w:fldChar w:fldCharType="end"/>
      </w:r>
      <w:r w:rsidR="009A01E5">
        <w:rPr>
          <w:snapToGrid w:val="0"/>
        </w:rPr>
        <w:t xml:space="preserve"> for </w:t>
      </w:r>
      <w:r w:rsidR="00A8796B">
        <w:rPr>
          <w:snapToGrid w:val="0"/>
        </w:rPr>
        <w:t xml:space="preserve">additional information regarding </w:t>
      </w:r>
      <w:r w:rsidR="009A01E5">
        <w:rPr>
          <w:snapToGrid w:val="0"/>
        </w:rPr>
        <w:t xml:space="preserve">receptor grids.  </w:t>
      </w:r>
    </w:p>
    <w:p w14:paraId="39A86718" w14:textId="6920BA55" w:rsidR="00BE099C" w:rsidRDefault="001578CE" w:rsidP="000958CC">
      <w:pPr>
        <w:pStyle w:val="Heading2"/>
      </w:pPr>
      <w:bookmarkStart w:id="91" w:name="_Pre-construction_Monitoring"/>
      <w:bookmarkEnd w:id="91"/>
      <w:r>
        <w:lastRenderedPageBreak/>
        <w:tab/>
      </w:r>
      <w:bookmarkStart w:id="92" w:name="_Toc526778237"/>
      <w:r w:rsidR="00BE099C">
        <w:t>Pre-construction</w:t>
      </w:r>
      <w:bookmarkStart w:id="93" w:name="preconstruction"/>
      <w:r w:rsidR="00BE099C">
        <w:t xml:space="preserve"> Monitoring</w:t>
      </w:r>
      <w:bookmarkEnd w:id="93"/>
      <w:r w:rsidR="00FC3F26">
        <w:t xml:space="preserve"> </w:t>
      </w:r>
      <w:r w:rsidR="00AC2DB3">
        <w:t>(PSD Requirement)</w:t>
      </w:r>
      <w:bookmarkEnd w:id="92"/>
    </w:p>
    <w:p w14:paraId="7FD511E9" w14:textId="71638515" w:rsidR="00FF4E88" w:rsidRDefault="00FF4E88" w:rsidP="00BE099C">
      <w:r>
        <w:t xml:space="preserve">Section 165(e)(2) of the </w:t>
      </w:r>
      <w:r w:rsidR="007D0902">
        <w:t>CAA</w:t>
      </w:r>
      <w:r>
        <w:t xml:space="preserve"> requires </w:t>
      </w:r>
      <w:r w:rsidRPr="00AE34BD">
        <w:t xml:space="preserve">PSD applicants to submit ambient </w:t>
      </w:r>
      <w:r w:rsidR="00686531">
        <w:t xml:space="preserve">air </w:t>
      </w:r>
      <w:r w:rsidR="00AC2DB3">
        <w:t xml:space="preserve">quality </w:t>
      </w:r>
      <w:r w:rsidRPr="00AE34BD">
        <w:t>monitoring data</w:t>
      </w:r>
      <w:r>
        <w:t xml:space="preserve"> as part of their PSD permit application.  The </w:t>
      </w:r>
      <w:r w:rsidR="007D0902">
        <w:t>CAA</w:t>
      </w:r>
      <w:r>
        <w:t xml:space="preserve"> further states that the data “shall be available at the time of the public hearing on the application for such permit.”  Since the data are required prior to constructing the stationary source or modification, they are commonly referred as “pre-construction monitoring” data. </w:t>
      </w:r>
    </w:p>
    <w:p w14:paraId="0C87CB6E" w14:textId="55167E38" w:rsidR="00BE099C" w:rsidRDefault="00BE099C" w:rsidP="00BE099C">
      <w:hyperlink r:id="rId59" w:history="1">
        <w:r w:rsidRPr="00BE6374">
          <w:rPr>
            <w:rStyle w:val="Hyperlink"/>
          </w:rPr>
          <w:t>40 CFR 52.21</w:t>
        </w:r>
      </w:hyperlink>
      <w:r>
        <w:t>(m)(1)</w:t>
      </w:r>
      <w:r w:rsidR="00996456">
        <w:t xml:space="preserve">, which </w:t>
      </w:r>
      <w:r w:rsidR="00FF4E88">
        <w:t>ADEC has</w:t>
      </w:r>
      <w:r w:rsidR="00996456">
        <w:t xml:space="preserve"> adopted by reference in </w:t>
      </w:r>
      <w:hyperlink r:id="rId60" w:history="1">
        <w:r w:rsidR="00635772" w:rsidRPr="00AF0CC3">
          <w:rPr>
            <w:rStyle w:val="Hyperlink"/>
            <w:snapToGrid w:val="0"/>
          </w:rPr>
          <w:t>18</w:t>
        </w:r>
        <w:r w:rsidR="00635772" w:rsidRPr="00AF0CC3">
          <w:rPr>
            <w:rStyle w:val="Hyperlink"/>
          </w:rPr>
          <w:t> </w:t>
        </w:r>
        <w:r w:rsidR="00635772" w:rsidRPr="00AF0CC3">
          <w:rPr>
            <w:rStyle w:val="Hyperlink"/>
            <w:snapToGrid w:val="0"/>
          </w:rPr>
          <w:t>AAC</w:t>
        </w:r>
        <w:r w:rsidR="00635772" w:rsidRPr="00AF0CC3">
          <w:rPr>
            <w:rStyle w:val="Hyperlink"/>
          </w:rPr>
          <w:t> </w:t>
        </w:r>
        <w:r w:rsidR="00635772" w:rsidRPr="00AF0CC3">
          <w:rPr>
            <w:rStyle w:val="Hyperlink"/>
            <w:snapToGrid w:val="0"/>
          </w:rPr>
          <w:t>50.040</w:t>
        </w:r>
      </w:hyperlink>
      <w:r w:rsidR="00996456">
        <w:t xml:space="preserve">(h)(11), </w:t>
      </w:r>
      <w:r w:rsidR="00FF4E88">
        <w:t xml:space="preserve">provides additional details regarding this basic element of the PSD permit program. </w:t>
      </w:r>
      <w:r w:rsidRPr="00AE34BD">
        <w:t xml:space="preserve"> </w:t>
      </w:r>
      <w:r w:rsidR="008066D3">
        <w:t xml:space="preserve">For example, </w:t>
      </w:r>
      <w:r w:rsidRPr="00AE34BD">
        <w:t xml:space="preserve">PSD applicants </w:t>
      </w:r>
      <w:r w:rsidR="008066D3">
        <w:t xml:space="preserve">are required </w:t>
      </w:r>
      <w:r w:rsidRPr="00AE34BD">
        <w:t xml:space="preserve">to submit ambient monitoring data </w:t>
      </w:r>
      <w:r w:rsidR="006F3948">
        <w:t xml:space="preserve">for each PSD-triggered </w:t>
      </w:r>
      <w:r w:rsidR="007A001E">
        <w:t xml:space="preserve">criteria </w:t>
      </w:r>
      <w:r w:rsidR="006F3948">
        <w:t>pollutant</w:t>
      </w:r>
      <w:r w:rsidRPr="00AE34BD">
        <w:t>, unless the existing concentration or the pr</w:t>
      </w:r>
      <w:r>
        <w:t xml:space="preserve">oject impact </w:t>
      </w:r>
      <w:r w:rsidRPr="00AE34BD">
        <w:t xml:space="preserve">is less than the </w:t>
      </w:r>
      <w:r w:rsidR="0034070F">
        <w:t>S</w:t>
      </w:r>
      <w:r w:rsidR="00C53826">
        <w:t xml:space="preserve">ignificant </w:t>
      </w:r>
      <w:r w:rsidR="0034070F">
        <w:t>M</w:t>
      </w:r>
      <w:r w:rsidRPr="00AE34BD">
        <w:t xml:space="preserve">onitoring </w:t>
      </w:r>
      <w:r w:rsidR="0034070F">
        <w:t>C</w:t>
      </w:r>
      <w:r w:rsidR="00C53826">
        <w:t>oncentration (SMC)</w:t>
      </w:r>
      <w:r w:rsidRPr="00AE34BD">
        <w:t xml:space="preserve"> provided in </w:t>
      </w:r>
      <w:r>
        <w:t>40</w:t>
      </w:r>
      <w:r w:rsidR="00FB439D">
        <w:t> </w:t>
      </w:r>
      <w:r>
        <w:t>CFR</w:t>
      </w:r>
      <w:r w:rsidR="00FB439D">
        <w:t> </w:t>
      </w:r>
      <w:r>
        <w:t>52.21(i)(5).</w:t>
      </w:r>
      <w:r w:rsidR="000F627A">
        <w:rPr>
          <w:rStyle w:val="FootnoteReference"/>
        </w:rPr>
        <w:footnoteReference w:id="29"/>
      </w:r>
      <w:r>
        <w:t xml:space="preserve"> </w:t>
      </w:r>
      <w:r w:rsidR="00503131">
        <w:t xml:space="preserve"> Additional </w:t>
      </w:r>
      <w:r w:rsidR="00427B29">
        <w:t>guidance</w:t>
      </w:r>
      <w:r w:rsidR="00503131">
        <w:t xml:space="preserve"> regarding pre-construction monitoring may be found in EPA’s, </w:t>
      </w:r>
      <w:r w:rsidR="00503131" w:rsidRPr="00301B05">
        <w:rPr>
          <w:i/>
        </w:rPr>
        <w:t>Ambient Monitoring Guidelines for Prevention of Significant Deterioration</w:t>
      </w:r>
      <w:r w:rsidR="00503131">
        <w:rPr>
          <w:i/>
        </w:rPr>
        <w:t xml:space="preserve"> </w:t>
      </w:r>
      <w:r w:rsidR="00503131" w:rsidRPr="00503131">
        <w:t>(</w:t>
      </w:r>
      <w:r w:rsidR="00503131">
        <w:t>EPA-450/4-87-007)</w:t>
      </w:r>
      <w:r w:rsidR="00503131" w:rsidRPr="00503131">
        <w:t>,</w:t>
      </w:r>
      <w:r w:rsidR="00503131">
        <w:t xml:space="preserve"> which ADEC has adopted by reference in </w:t>
      </w:r>
      <w:hyperlink r:id="rId61" w:history="1">
        <w:r w:rsidR="00503131" w:rsidRPr="00BE6374">
          <w:rPr>
            <w:rStyle w:val="Hyperlink"/>
          </w:rPr>
          <w:t>18 AAC 50.035</w:t>
        </w:r>
      </w:hyperlink>
      <w:r w:rsidR="00503131">
        <w:t>(a)(5)</w:t>
      </w:r>
      <w:r w:rsidR="00493089">
        <w:t xml:space="preserve">. </w:t>
      </w:r>
      <w:r w:rsidR="005363F5">
        <w:t xml:space="preserve"> </w:t>
      </w:r>
      <w:r w:rsidR="00493089">
        <w:t xml:space="preserve">The general ambient monitoring requirements in </w:t>
      </w:r>
      <w:hyperlink r:id="rId62" w:history="1">
        <w:r w:rsidR="00327BBE" w:rsidRPr="00C72534">
          <w:rPr>
            <w:rStyle w:val="Hyperlink"/>
          </w:rPr>
          <w:t>18 AAC 50.215</w:t>
        </w:r>
      </w:hyperlink>
      <w:r w:rsidR="00327BBE">
        <w:t>(a)</w:t>
      </w:r>
      <w:r w:rsidR="00493089">
        <w:t xml:space="preserve"> also apply to pre-construction monitoring</w:t>
      </w:r>
      <w:r w:rsidR="00503131">
        <w:t>.</w:t>
      </w:r>
    </w:p>
    <w:p w14:paraId="7F023F30" w14:textId="07C9D590" w:rsidR="00384D36" w:rsidRDefault="006F3948" w:rsidP="00BE099C">
      <w:r>
        <w:t xml:space="preserve">With one exception, applicants have </w:t>
      </w:r>
      <w:r w:rsidR="00C53826">
        <w:t xml:space="preserve">three </w:t>
      </w:r>
      <w:r w:rsidR="00BE099C">
        <w:t>possible methods for meeting the preconstruction monitoring</w:t>
      </w:r>
      <w:r>
        <w:t xml:space="preserve"> requirement</w:t>
      </w:r>
      <w:r w:rsidR="00BE099C">
        <w:t xml:space="preserve">.  </w:t>
      </w:r>
      <w:r w:rsidR="00384D36">
        <w:t xml:space="preserve">The preferred option can vary by pollutant.  Your job is to review their submittal (or proposal) and determine whether they have adequately met the applicable requirements. </w:t>
      </w:r>
    </w:p>
    <w:p w14:paraId="5093E7EB" w14:textId="033E3B52" w:rsidR="00BE099C" w:rsidRDefault="00BE099C" w:rsidP="00BE099C">
      <w:r>
        <w:t>The first</w:t>
      </w:r>
      <w:r w:rsidR="00384D36">
        <w:t xml:space="preserve">, and most obvious method for meeting the pre-construction monitoring requirement, is to </w:t>
      </w:r>
      <w:proofErr w:type="gramStart"/>
      <w:r w:rsidR="00384D36">
        <w:t>actually collect</w:t>
      </w:r>
      <w:proofErr w:type="gramEnd"/>
      <w:r w:rsidR="00384D36">
        <w:t xml:space="preserve"> PSD-quality ambient monitoring data.  However, </w:t>
      </w:r>
      <w:r w:rsidR="00A87AB0">
        <w:t xml:space="preserve">applicants must collect the data </w:t>
      </w:r>
      <w:r>
        <w:t>at a location and in a manner that is consistent with EPA’s</w:t>
      </w:r>
      <w:r w:rsidR="00791457">
        <w:t xml:space="preserve"> PSD monitoring guidance</w:t>
      </w:r>
      <w:r>
        <w:t>.  In summary, the data must be collected at the location(s) of existing/proposed maximum impact(s), the data must be current, and the data must meet PSD quality assurance requirements.</w:t>
      </w:r>
    </w:p>
    <w:p w14:paraId="5534FB9C" w14:textId="0CAF5871" w:rsidR="00C53826" w:rsidRDefault="00BE099C" w:rsidP="00BE099C">
      <w:r>
        <w:t xml:space="preserve">The second </w:t>
      </w:r>
      <w:r w:rsidR="000412C7">
        <w:t xml:space="preserve">possible </w:t>
      </w:r>
      <w:r>
        <w:t xml:space="preserve">method </w:t>
      </w:r>
      <w:r w:rsidR="00A87AB0">
        <w:t xml:space="preserve">that applicants have </w:t>
      </w:r>
      <w:r w:rsidR="000412C7">
        <w:t xml:space="preserve">for meeting the pre-construction monitoring requirement </w:t>
      </w:r>
      <w:r>
        <w:t xml:space="preserve">is </w:t>
      </w:r>
      <w:r w:rsidR="00C53826">
        <w:t>to provide existing ambient data as a surrogate of the expected maximum concentration</w:t>
      </w:r>
      <w:r w:rsidR="00EC4E8A">
        <w:t>(s)</w:t>
      </w:r>
      <w:r w:rsidR="00C53826">
        <w:t xml:space="preserve"> at the</w:t>
      </w:r>
      <w:r w:rsidR="00A87AB0">
        <w:t>ir</w:t>
      </w:r>
      <w:r w:rsidR="00C53826">
        <w:t xml:space="preserve"> project site.  This </w:t>
      </w:r>
      <w:r w:rsidR="007815B2">
        <w:t xml:space="preserve">surrogate </w:t>
      </w:r>
      <w:r w:rsidR="00C53826">
        <w:t xml:space="preserve">data should be </w:t>
      </w:r>
      <w:r w:rsidR="005F298B">
        <w:t xml:space="preserve">current </w:t>
      </w:r>
      <w:r w:rsidR="00C53826">
        <w:t xml:space="preserve">PSD-quality </w:t>
      </w:r>
      <w:r w:rsidR="005F298B">
        <w:t xml:space="preserve">data that reflects an upper bound </w:t>
      </w:r>
      <w:r w:rsidR="00EC4E8A">
        <w:t xml:space="preserve">estimate </w:t>
      </w:r>
      <w:r w:rsidR="005F298B">
        <w:t xml:space="preserve">of the </w:t>
      </w:r>
      <w:r w:rsidR="00EC4E8A">
        <w:t xml:space="preserve">maximum concentrations that </w:t>
      </w:r>
      <w:r w:rsidR="003C6374">
        <w:t xml:space="preserve">the applicant </w:t>
      </w:r>
      <w:r w:rsidR="00EC4E8A">
        <w:t xml:space="preserve">would have measured through a monitoring effort conducted in accordance with </w:t>
      </w:r>
      <w:r w:rsidR="005F298B">
        <w:t xml:space="preserve">EPA’s </w:t>
      </w:r>
      <w:r w:rsidR="00EC4E8A">
        <w:t xml:space="preserve">PSD </w:t>
      </w:r>
      <w:r w:rsidR="005F298B">
        <w:t>monitoring guid</w:t>
      </w:r>
      <w:r w:rsidR="00EC4E8A">
        <w:t>ance</w:t>
      </w:r>
      <w:r w:rsidR="00935C57">
        <w:t xml:space="preserve">.  (See additional discussion later in this section.) </w:t>
      </w:r>
    </w:p>
    <w:p w14:paraId="6CA57652" w14:textId="5A0562D3" w:rsidR="00BE099C" w:rsidRDefault="00C53826" w:rsidP="00BE099C">
      <w:r>
        <w:t xml:space="preserve">The third method is to </w:t>
      </w:r>
      <w:r w:rsidR="00BE099C">
        <w:t xml:space="preserve">submit a modeling analysis </w:t>
      </w:r>
      <w:r w:rsidR="00F1375A">
        <w:t xml:space="preserve">which </w:t>
      </w:r>
      <w:r w:rsidR="00BE099C">
        <w:t xml:space="preserve">shows </w:t>
      </w:r>
      <w:r w:rsidR="00F1375A">
        <w:t xml:space="preserve">that </w:t>
      </w:r>
      <w:r w:rsidR="00BE099C">
        <w:t>the project impacts are below the SMC.  If the predicted impact is less than the SMC for that pollutant, the</w:t>
      </w:r>
      <w:r>
        <w:t>n the</w:t>
      </w:r>
      <w:r w:rsidR="00BE099C">
        <w:t xml:space="preserve"> </w:t>
      </w:r>
      <w:r w:rsidR="005F298B">
        <w:t xml:space="preserve">project </w:t>
      </w:r>
      <w:r w:rsidR="00BE099C">
        <w:t xml:space="preserve">impact may be considered </w:t>
      </w:r>
      <w:r w:rsidR="005F298B">
        <w:t>too small to accurately detect with current monitoring techniques</w:t>
      </w:r>
      <w:r w:rsidR="00BE099C">
        <w:t xml:space="preserve">.  ADEC may then </w:t>
      </w:r>
      <w:r w:rsidR="005F298B">
        <w:t>generally consider the SMC analysis as adequate for meeting the pre-construction monitoring requirement</w:t>
      </w:r>
      <w:r w:rsidR="00BE099C">
        <w:t>.</w:t>
      </w:r>
      <w:r w:rsidR="005F298B" w:rsidDel="005F298B">
        <w:t xml:space="preserve"> </w:t>
      </w:r>
      <w:r w:rsidR="005F298B">
        <w:t xml:space="preserve"> </w:t>
      </w:r>
      <w:r w:rsidR="004D6004">
        <w:t>ADEC additionally notes, h</w:t>
      </w:r>
      <w:r w:rsidR="005F298B">
        <w:t xml:space="preserve">owever, </w:t>
      </w:r>
      <w:r w:rsidR="004D6004">
        <w:t xml:space="preserve">that </w:t>
      </w:r>
      <w:r w:rsidR="00BE099C">
        <w:t xml:space="preserve">the SMC for PM-2.5 was vacated </w:t>
      </w:r>
      <w:r w:rsidR="00D93182">
        <w:t>on January</w:t>
      </w:r>
      <w:r w:rsidR="00A022D7" w:rsidRPr="00A022D7">
        <w:t> </w:t>
      </w:r>
      <w:r w:rsidR="00D93182">
        <w:t xml:space="preserve">22, </w:t>
      </w:r>
      <w:proofErr w:type="gramStart"/>
      <w:r w:rsidR="00D93182">
        <w:t>2013</w:t>
      </w:r>
      <w:proofErr w:type="gramEnd"/>
      <w:r w:rsidR="00D93182">
        <w:t xml:space="preserve"> by the District of Columbia Circuit Court</w:t>
      </w:r>
      <w:r w:rsidR="005F298B">
        <w:t>.  Therefore, projects that trigger PSD review for PM-</w:t>
      </w:r>
      <w:r w:rsidR="005F298B">
        <w:lastRenderedPageBreak/>
        <w:t xml:space="preserve">2.5 must include </w:t>
      </w:r>
      <w:r w:rsidR="00BE099C">
        <w:t xml:space="preserve">pre-construction </w:t>
      </w:r>
      <w:r w:rsidR="004D6004">
        <w:t>data for this pollutant</w:t>
      </w:r>
      <w:r w:rsidR="007A536E">
        <w:t>,</w:t>
      </w:r>
      <w:r w:rsidR="00BE099C">
        <w:t xml:space="preserve"> regardless of the</w:t>
      </w:r>
      <w:r w:rsidR="004D6004">
        <w:t>ir</w:t>
      </w:r>
      <w:r w:rsidR="00BE099C">
        <w:t xml:space="preserve"> project impacts.  </w:t>
      </w:r>
    </w:p>
    <w:p w14:paraId="3C065168" w14:textId="417138C0" w:rsidR="000A022A" w:rsidRDefault="000A022A" w:rsidP="000A022A">
      <w:pPr>
        <w:pStyle w:val="Heading3"/>
        <w:rPr>
          <w:snapToGrid w:val="0"/>
        </w:rPr>
      </w:pPr>
      <w:bookmarkStart w:id="94" w:name="_Toc526778238"/>
      <w:r>
        <w:rPr>
          <w:snapToGrid w:val="0"/>
        </w:rPr>
        <w:t>Additional Considerations Regarding Pre-Construction Data</w:t>
      </w:r>
      <w:bookmarkEnd w:id="94"/>
    </w:p>
    <w:p w14:paraId="79B52A2D" w14:textId="46DDF6CE" w:rsidR="000A022A" w:rsidRDefault="000470CD" w:rsidP="00BE099C">
      <w:r>
        <w:t>The previously cited rules and guidance provide additional details regarding pre-construction monitoring.  Some of the key points are summarized below.</w:t>
      </w:r>
      <w:r w:rsidR="000A022A">
        <w:t xml:space="preserve">  </w:t>
      </w:r>
    </w:p>
    <w:p w14:paraId="2F9AE648" w14:textId="05ADDEC5" w:rsidR="000A022A" w:rsidRPr="00EC0FF9" w:rsidRDefault="000A022A" w:rsidP="00EC0FF9">
      <w:pPr>
        <w:keepNext/>
        <w:spacing w:before="120" w:after="120"/>
        <w:rPr>
          <w:iCs/>
        </w:rPr>
      </w:pPr>
      <w:r w:rsidRPr="000470CD">
        <w:rPr>
          <w:i/>
          <w:iCs/>
          <w:u w:val="single"/>
        </w:rPr>
        <w:t>Monitoring Period</w:t>
      </w:r>
      <w:r w:rsidR="00EC0FF9">
        <w:rPr>
          <w:iCs/>
        </w:rPr>
        <w:t xml:space="preserve"> </w:t>
      </w:r>
    </w:p>
    <w:p w14:paraId="526D7B07" w14:textId="11F55BB6" w:rsidR="00FB3274" w:rsidRDefault="00182217" w:rsidP="00BE099C">
      <w:r>
        <w:t>A</w:t>
      </w:r>
      <w:r w:rsidR="00C427A9">
        <w:t>t least one year (</w:t>
      </w:r>
      <w:r w:rsidR="00842390">
        <w:t xml:space="preserve">12 </w:t>
      </w:r>
      <w:r w:rsidR="00FB3274">
        <w:t xml:space="preserve">continuous </w:t>
      </w:r>
      <w:r w:rsidR="00842390">
        <w:t xml:space="preserve">months) </w:t>
      </w:r>
      <w:r>
        <w:t>of PSD-quality data is generally required</w:t>
      </w:r>
      <w:r w:rsidR="000470CD">
        <w:t xml:space="preserve"> to meet the pre-construction monitoring requirement</w:t>
      </w:r>
      <w:r>
        <w:t>, per</w:t>
      </w:r>
      <w:r w:rsidR="009C4A55">
        <w:t xml:space="preserve"> both the </w:t>
      </w:r>
      <w:r w:rsidR="007D0902">
        <w:t>CAA</w:t>
      </w:r>
      <w:r w:rsidR="009C4A55">
        <w:t xml:space="preserve"> and</w:t>
      </w:r>
      <w:r>
        <w:t xml:space="preserve"> </w:t>
      </w:r>
      <w:hyperlink r:id="rId63" w:history="1">
        <w:r w:rsidRPr="00BE6374">
          <w:rPr>
            <w:rStyle w:val="Hyperlink"/>
          </w:rPr>
          <w:t>40</w:t>
        </w:r>
        <w:r w:rsidR="008920F0" w:rsidRPr="00A022D7">
          <w:t> </w:t>
        </w:r>
        <w:r w:rsidRPr="00BE6374">
          <w:rPr>
            <w:rStyle w:val="Hyperlink"/>
          </w:rPr>
          <w:t>CFR</w:t>
        </w:r>
        <w:r w:rsidR="008920F0" w:rsidRPr="008920F0">
          <w:rPr>
            <w:rStyle w:val="Hyperlink"/>
          </w:rPr>
          <w:t> </w:t>
        </w:r>
        <w:r w:rsidRPr="00BE6374">
          <w:rPr>
            <w:rStyle w:val="Hyperlink"/>
          </w:rPr>
          <w:t>52.21</w:t>
        </w:r>
      </w:hyperlink>
      <w:r>
        <w:t>(m)(1)(iv)</w:t>
      </w:r>
      <w:r w:rsidR="00C427A9">
        <w:t xml:space="preserve">.  However, </w:t>
      </w:r>
      <w:r w:rsidR="00F910A0">
        <w:t xml:space="preserve">shorter periods may be considered </w:t>
      </w:r>
      <w:r w:rsidR="00C138BD">
        <w:t xml:space="preserve">if “a complete and adequate analysis” can still be accomplished.  </w:t>
      </w:r>
      <w:r w:rsidR="00A83505">
        <w:t xml:space="preserve">The bare minimum monitoring period is four (4) months.  </w:t>
      </w:r>
    </w:p>
    <w:p w14:paraId="335FD71C" w14:textId="3F823F25" w:rsidR="00C427A9" w:rsidRDefault="00C138BD" w:rsidP="00BE099C">
      <w:r>
        <w:t xml:space="preserve">ADEC has </w:t>
      </w:r>
      <w:r w:rsidR="00EC1254">
        <w:t xml:space="preserve">allowed some applicants to limit their </w:t>
      </w:r>
      <w:r>
        <w:t>ozone (</w:t>
      </w:r>
      <w:r w:rsidRPr="00DD3A5E">
        <w:t>O</w:t>
      </w:r>
      <w:r w:rsidRPr="00DD3A5E">
        <w:rPr>
          <w:vertAlign w:val="subscript"/>
        </w:rPr>
        <w:t>3</w:t>
      </w:r>
      <w:r>
        <w:t>) monitoring</w:t>
      </w:r>
      <w:r w:rsidR="00EC1254">
        <w:t xml:space="preserve"> to just the summer </w:t>
      </w:r>
      <w:r w:rsidR="00EC1254" w:rsidRPr="00DD3A5E">
        <w:t>O</w:t>
      </w:r>
      <w:r w:rsidR="00EC1254" w:rsidRPr="00DD3A5E">
        <w:rPr>
          <w:vertAlign w:val="subscript"/>
        </w:rPr>
        <w:t>3</w:t>
      </w:r>
      <w:r w:rsidR="00EC1254">
        <w:t xml:space="preserve"> </w:t>
      </w:r>
      <w:proofErr w:type="gramStart"/>
      <w:r w:rsidR="00EC1254">
        <w:t>season, but</w:t>
      </w:r>
      <w:proofErr w:type="gramEnd"/>
      <w:r w:rsidR="00EC1254">
        <w:t xml:space="preserve"> rarely allows </w:t>
      </w:r>
      <w:r w:rsidR="006377F1">
        <w:t xml:space="preserve">less than </w:t>
      </w:r>
      <w:r w:rsidR="00FB3274">
        <w:t xml:space="preserve">a year </w:t>
      </w:r>
      <w:r w:rsidR="006377F1">
        <w:t xml:space="preserve">of data </w:t>
      </w:r>
      <w:r w:rsidR="00EC1254">
        <w:t xml:space="preserve">for other pollutants since the source and atmospheric conditions that lead to peak concentrations are </w:t>
      </w:r>
      <w:r w:rsidR="00FB3274">
        <w:t xml:space="preserve">more difficult </w:t>
      </w:r>
      <w:r w:rsidR="00EC1254">
        <w:t>to predict</w:t>
      </w:r>
      <w:r w:rsidR="00A83505">
        <w:t xml:space="preserve">.  Applicants who request a shorter monitoring period may need to provide </w:t>
      </w:r>
      <w:r w:rsidR="0027449D">
        <w:t xml:space="preserve">historical data or dispersion modeling that </w:t>
      </w:r>
      <w:r w:rsidR="00A83505">
        <w:t>shows</w:t>
      </w:r>
      <w:r w:rsidR="0027449D">
        <w:t xml:space="preserve"> when </w:t>
      </w:r>
      <w:r w:rsidR="00A83505">
        <w:t xml:space="preserve">the </w:t>
      </w:r>
      <w:r w:rsidR="0027449D">
        <w:t xml:space="preserve">maximum concentrations </w:t>
      </w:r>
      <w:r w:rsidR="00A83505">
        <w:t>are</w:t>
      </w:r>
      <w:r w:rsidR="0027449D">
        <w:t xml:space="preserve"> expected.  </w:t>
      </w:r>
      <w:r w:rsidR="00626375">
        <w:t xml:space="preserve">You should discuss any request for a </w:t>
      </w:r>
      <w:r w:rsidR="00FB3274">
        <w:t xml:space="preserve">shortened monitoring effort </w:t>
      </w:r>
      <w:r w:rsidR="00A83505">
        <w:t xml:space="preserve">with the </w:t>
      </w:r>
      <w:r w:rsidR="00FE69BB">
        <w:t>Air Monitoring &amp; Quality Assurance (AM&amp;QA)</w:t>
      </w:r>
      <w:r w:rsidR="00A83505">
        <w:t xml:space="preserve"> supervisor</w:t>
      </w:r>
      <w:r w:rsidR="00FB3274">
        <w:t xml:space="preserve">, or their </w:t>
      </w:r>
      <w:proofErr w:type="gramStart"/>
      <w:r w:rsidR="00FB3274">
        <w:t>designee</w:t>
      </w:r>
      <w:proofErr w:type="gramEnd"/>
      <w:r w:rsidR="00626375">
        <w:t>, prior to providing a formal response</w:t>
      </w:r>
      <w:r w:rsidR="00186D99">
        <w:t xml:space="preserve"> to the applicant</w:t>
      </w:r>
      <w:r w:rsidR="00C427A9">
        <w:t>.</w:t>
      </w:r>
      <w:r w:rsidR="0027449D">
        <w:t xml:space="preserve"> </w:t>
      </w:r>
    </w:p>
    <w:p w14:paraId="7ECC15B3" w14:textId="67E83F3C" w:rsidR="0027449D" w:rsidRDefault="0027449D" w:rsidP="00B10CF3">
      <w:pPr>
        <w:pStyle w:val="CheckReminder"/>
      </w:pPr>
      <w:r>
        <w:t>ADEC rarely allows less than 12</w:t>
      </w:r>
      <w:r w:rsidR="00504060">
        <w:t xml:space="preserve">continuous </w:t>
      </w:r>
      <w:r>
        <w:t xml:space="preserve">months of data, due to seasonal variations in </w:t>
      </w:r>
      <w:proofErr w:type="gramStart"/>
      <w:r>
        <w:t>ambient</w:t>
      </w:r>
      <w:proofErr w:type="gramEnd"/>
      <w:r>
        <w:t xml:space="preserve"> concentrations.  If a specific request arises, staff </w:t>
      </w:r>
      <w:r w:rsidR="00935C57">
        <w:t>should</w:t>
      </w:r>
      <w:r>
        <w:t xml:space="preserve"> discuss </w:t>
      </w:r>
      <w:r w:rsidR="00935C57">
        <w:t xml:space="preserve">the </w:t>
      </w:r>
      <w:r>
        <w:t xml:space="preserve">issue with the </w:t>
      </w:r>
      <w:r w:rsidR="00182217">
        <w:t>A</w:t>
      </w:r>
      <w:r>
        <w:t>M&amp;QA supervisor.</w:t>
      </w:r>
    </w:p>
    <w:p w14:paraId="4A6AE0B0" w14:textId="3DE21271" w:rsidR="000A022A" w:rsidRPr="002805FB" w:rsidRDefault="000470CD" w:rsidP="002805FB">
      <w:pPr>
        <w:keepNext/>
        <w:spacing w:before="120" w:after="120"/>
        <w:rPr>
          <w:iCs/>
        </w:rPr>
      </w:pPr>
      <w:proofErr w:type="gramStart"/>
      <w:r w:rsidRPr="00153DA6">
        <w:rPr>
          <w:i/>
          <w:iCs/>
          <w:u w:val="single"/>
        </w:rPr>
        <w:t>Siting</w:t>
      </w:r>
      <w:proofErr w:type="gramEnd"/>
      <w:r w:rsidRPr="00153DA6">
        <w:rPr>
          <w:i/>
          <w:iCs/>
          <w:u w:val="single"/>
        </w:rPr>
        <w:t xml:space="preserve"> Requirements</w:t>
      </w:r>
      <w:r w:rsidR="002805FB">
        <w:rPr>
          <w:i/>
          <w:iCs/>
          <w:u w:val="single"/>
        </w:rPr>
        <w:t xml:space="preserve"> </w:t>
      </w:r>
    </w:p>
    <w:p w14:paraId="0EFCBDD4" w14:textId="188AF80C" w:rsidR="00153DA6" w:rsidRDefault="00153DA6" w:rsidP="00153DA6">
      <w:pPr>
        <w:rPr>
          <w:snapToGrid w:val="0"/>
        </w:rPr>
      </w:pPr>
      <w:r>
        <w:rPr>
          <w:snapToGrid w:val="0"/>
        </w:rPr>
        <w:t>The PSD Monitoring Guidelines state that “Existing monitoring data should be representative of three types of areas: (1) the location(s) of maximum concentration  increase from the proposed  source or modification, (2) the locations(s) of the maximum air pollutant concentration from existing sources, and (3) the location(s) of the maximum impact area, i.e., where the maximum pollutant concentration would hypothetically occur based on the combined effect of existing sources and the proposed new source or modification.  Basically, the location and size of the three types of area are determined through the application of air quality models.  The areas of maximum concentration or maximum combined impact vary in size and are influenced by factors such as the size and relative distribution of ground level and elevated sources, the averaging times of concern, and the distances between impact area and contributing sources.”</w:t>
      </w:r>
      <w:r w:rsidR="00920141">
        <w:rPr>
          <w:snapToGrid w:val="0"/>
        </w:rPr>
        <w:t xml:space="preserve"> </w:t>
      </w:r>
    </w:p>
    <w:p w14:paraId="3BC6757E" w14:textId="265AAE51" w:rsidR="00B33F5E" w:rsidRDefault="00B33F5E" w:rsidP="00153DA6">
      <w:pPr>
        <w:rPr>
          <w:snapToGrid w:val="0"/>
        </w:rPr>
      </w:pPr>
      <w:r>
        <w:rPr>
          <w:snapToGrid w:val="0"/>
        </w:rPr>
        <w:t xml:space="preserve">It is the applicant’s responsibility to propose the pre-construction monitoring site(s) for our </w:t>
      </w:r>
      <w:r w:rsidR="003C2D21">
        <w:rPr>
          <w:snapToGrid w:val="0"/>
        </w:rPr>
        <w:t xml:space="preserve">review and </w:t>
      </w:r>
      <w:r>
        <w:rPr>
          <w:snapToGrid w:val="0"/>
        </w:rPr>
        <w:t xml:space="preserve">approval. </w:t>
      </w:r>
      <w:r w:rsidR="003C2D21">
        <w:rPr>
          <w:snapToGrid w:val="0"/>
        </w:rPr>
        <w:t xml:space="preserve"> However, they typically discuss their PSD project and data needs with APP and AM&amp;QA prior to submitting an actual siting request, </w:t>
      </w:r>
      <w:proofErr w:type="gramStart"/>
      <w:r w:rsidR="003C2D21">
        <w:rPr>
          <w:snapToGrid w:val="0"/>
        </w:rPr>
        <w:t>in order to</w:t>
      </w:r>
      <w:proofErr w:type="gramEnd"/>
      <w:r w:rsidR="003C2D21">
        <w:rPr>
          <w:snapToGrid w:val="0"/>
        </w:rPr>
        <w:t xml:space="preserve"> talk through various aspects of the project and pre-construction monitoring program.  These tend to be very worthwhile meetings</w:t>
      </w:r>
      <w:r w:rsidR="008C3677">
        <w:rPr>
          <w:snapToGrid w:val="0"/>
        </w:rPr>
        <w:t>/teleconferences</w:t>
      </w:r>
      <w:r w:rsidR="003C2D21">
        <w:rPr>
          <w:snapToGrid w:val="0"/>
        </w:rPr>
        <w:t xml:space="preserve"> and can save time in the </w:t>
      </w:r>
      <w:proofErr w:type="gramStart"/>
      <w:r w:rsidR="003C2D21">
        <w:rPr>
          <w:snapToGrid w:val="0"/>
        </w:rPr>
        <w:t>long-run</w:t>
      </w:r>
      <w:proofErr w:type="gramEnd"/>
      <w:r w:rsidR="00BF5291">
        <w:rPr>
          <w:snapToGrid w:val="0"/>
        </w:rPr>
        <w:t xml:space="preserve">, especially when the applicant </w:t>
      </w:r>
      <w:proofErr w:type="gramStart"/>
      <w:r w:rsidR="003174A1">
        <w:rPr>
          <w:snapToGrid w:val="0"/>
        </w:rPr>
        <w:t>is able to</w:t>
      </w:r>
      <w:proofErr w:type="gramEnd"/>
      <w:r w:rsidR="00394290">
        <w:rPr>
          <w:snapToGrid w:val="0"/>
        </w:rPr>
        <w:t xml:space="preserve"> describe the proposed source/modification, </w:t>
      </w:r>
      <w:r w:rsidR="00394290">
        <w:rPr>
          <w:snapToGrid w:val="0"/>
        </w:rPr>
        <w:lastRenderedPageBreak/>
        <w:t>project location, and likely permit classifications</w:t>
      </w:r>
      <w:r w:rsidR="003174A1">
        <w:rPr>
          <w:snapToGrid w:val="0"/>
        </w:rPr>
        <w:t xml:space="preserve">.  The meetings tend to be less beneficial if the </w:t>
      </w:r>
      <w:r w:rsidR="00251295">
        <w:rPr>
          <w:snapToGrid w:val="0"/>
        </w:rPr>
        <w:t>applicant is still evaluating a wide range of project designs or locations</w:t>
      </w:r>
      <w:r w:rsidR="003C2D21">
        <w:rPr>
          <w:snapToGrid w:val="0"/>
        </w:rPr>
        <w:t xml:space="preserve">.  </w:t>
      </w:r>
    </w:p>
    <w:p w14:paraId="18249D56" w14:textId="47963100" w:rsidR="005E28DE" w:rsidRDefault="005E28DE" w:rsidP="00153DA6">
      <w:pPr>
        <w:rPr>
          <w:snapToGrid w:val="0"/>
        </w:rPr>
      </w:pPr>
      <w:r>
        <w:rPr>
          <w:snapToGrid w:val="0"/>
        </w:rPr>
        <w:t xml:space="preserve">Applicants and ADEC generally look for a single monitoring site that best meets the above criteria for all pollutants of concern. </w:t>
      </w:r>
      <w:r w:rsidR="00B33F5E">
        <w:rPr>
          <w:snapToGrid w:val="0"/>
        </w:rPr>
        <w:t xml:space="preserve"> </w:t>
      </w:r>
      <w:r>
        <w:rPr>
          <w:snapToGrid w:val="0"/>
        </w:rPr>
        <w:t xml:space="preserve">However, </w:t>
      </w:r>
      <w:r w:rsidR="00B33F5E">
        <w:rPr>
          <w:snapToGrid w:val="0"/>
        </w:rPr>
        <w:t>EPA’s</w:t>
      </w:r>
      <w:r>
        <w:rPr>
          <w:snapToGrid w:val="0"/>
        </w:rPr>
        <w:t xml:space="preserve"> PSD monitoring guidance clearly indicates that a monitoring network (i.e., more than one station) may be needed in some situations. </w:t>
      </w:r>
    </w:p>
    <w:p w14:paraId="26A1BA7E" w14:textId="2B7A53C4" w:rsidR="008715FE" w:rsidRDefault="005E28DE" w:rsidP="00153DA6">
      <w:pPr>
        <w:rPr>
          <w:snapToGrid w:val="0"/>
        </w:rPr>
      </w:pPr>
      <w:r>
        <w:rPr>
          <w:snapToGrid w:val="0"/>
        </w:rPr>
        <w:t xml:space="preserve">The </w:t>
      </w:r>
      <w:r w:rsidR="00B33F5E">
        <w:rPr>
          <w:snapToGrid w:val="0"/>
        </w:rPr>
        <w:t xml:space="preserve">areas of </w:t>
      </w:r>
      <w:r>
        <w:rPr>
          <w:snapToGrid w:val="0"/>
        </w:rPr>
        <w:t>maximum impact may vary by pollutant and averaging</w:t>
      </w:r>
      <w:r w:rsidR="00556118">
        <w:rPr>
          <w:snapToGrid w:val="0"/>
        </w:rPr>
        <w:t xml:space="preserve"> </w:t>
      </w:r>
      <w:proofErr w:type="gramStart"/>
      <w:r w:rsidR="00556118">
        <w:rPr>
          <w:snapToGrid w:val="0"/>
        </w:rPr>
        <w:t>period, but</w:t>
      </w:r>
      <w:proofErr w:type="gramEnd"/>
      <w:r w:rsidR="00556118">
        <w:rPr>
          <w:snapToGrid w:val="0"/>
        </w:rPr>
        <w:t xml:space="preserve"> will generally be located downwind of the </w:t>
      </w:r>
      <w:proofErr w:type="gramStart"/>
      <w:r w:rsidR="00556118">
        <w:rPr>
          <w:snapToGrid w:val="0"/>
        </w:rPr>
        <w:t>predominate</w:t>
      </w:r>
      <w:proofErr w:type="gramEnd"/>
      <w:r w:rsidR="00556118">
        <w:rPr>
          <w:snapToGrid w:val="0"/>
        </w:rPr>
        <w:t xml:space="preserve"> source</w:t>
      </w:r>
      <w:r w:rsidR="007C498C">
        <w:rPr>
          <w:snapToGrid w:val="0"/>
        </w:rPr>
        <w:t>s</w:t>
      </w:r>
      <w:r w:rsidR="00B33F5E">
        <w:rPr>
          <w:snapToGrid w:val="0"/>
        </w:rPr>
        <w:t xml:space="preserve"> of the given pollutant</w:t>
      </w:r>
      <w:r w:rsidR="00556118">
        <w:rPr>
          <w:snapToGrid w:val="0"/>
        </w:rPr>
        <w:t>. Therefore, the general area</w:t>
      </w:r>
      <w:r w:rsidR="00B33F5E">
        <w:rPr>
          <w:snapToGrid w:val="0"/>
        </w:rPr>
        <w:t>s</w:t>
      </w:r>
      <w:r w:rsidR="00556118">
        <w:rPr>
          <w:snapToGrid w:val="0"/>
        </w:rPr>
        <w:t xml:space="preserve"> of concern can frequently be determined by laying a wind</w:t>
      </w:r>
      <w:r w:rsidR="00FD667A">
        <w:rPr>
          <w:snapToGrid w:val="0"/>
        </w:rPr>
        <w:t xml:space="preserve"> </w:t>
      </w:r>
      <w:r w:rsidR="00556118">
        <w:rPr>
          <w:snapToGrid w:val="0"/>
        </w:rPr>
        <w:t>rose of the local wind</w:t>
      </w:r>
      <w:r w:rsidR="00B33F5E">
        <w:rPr>
          <w:snapToGrid w:val="0"/>
        </w:rPr>
        <w:t xml:space="preserve"> data</w:t>
      </w:r>
      <w:r w:rsidR="00556118">
        <w:rPr>
          <w:snapToGrid w:val="0"/>
        </w:rPr>
        <w:t xml:space="preserve"> on top of a map that </w:t>
      </w:r>
      <w:r w:rsidR="008715FE">
        <w:rPr>
          <w:snapToGrid w:val="0"/>
        </w:rPr>
        <w:t xml:space="preserve">shows the source locations.  This approach works best for areas with </w:t>
      </w:r>
      <w:r w:rsidR="00D71EEF">
        <w:rPr>
          <w:snapToGrid w:val="0"/>
        </w:rPr>
        <w:t xml:space="preserve">very </w:t>
      </w:r>
      <w:proofErr w:type="gramStart"/>
      <w:r w:rsidR="008715FE">
        <w:rPr>
          <w:snapToGrid w:val="0"/>
        </w:rPr>
        <w:t>predominate</w:t>
      </w:r>
      <w:proofErr w:type="gramEnd"/>
      <w:r w:rsidR="008715FE">
        <w:rPr>
          <w:snapToGrid w:val="0"/>
        </w:rPr>
        <w:t xml:space="preserve"> </w:t>
      </w:r>
      <w:proofErr w:type="gramStart"/>
      <w:r w:rsidR="008715FE">
        <w:rPr>
          <w:snapToGrid w:val="0"/>
        </w:rPr>
        <w:t>wind-directions</w:t>
      </w:r>
      <w:proofErr w:type="gramEnd"/>
      <w:r w:rsidR="008715FE">
        <w:rPr>
          <w:snapToGrid w:val="0"/>
        </w:rPr>
        <w:t xml:space="preserve"> and for </w:t>
      </w:r>
      <w:r w:rsidR="00D71EEF">
        <w:rPr>
          <w:snapToGrid w:val="0"/>
        </w:rPr>
        <w:t xml:space="preserve">pollutants with </w:t>
      </w:r>
      <w:r w:rsidR="008715FE">
        <w:rPr>
          <w:snapToGrid w:val="0"/>
        </w:rPr>
        <w:t>annual averag</w:t>
      </w:r>
      <w:r w:rsidR="00D71EEF">
        <w:rPr>
          <w:snapToGrid w:val="0"/>
        </w:rPr>
        <w:t>ing periods</w:t>
      </w:r>
      <w:r w:rsidR="008715FE">
        <w:rPr>
          <w:snapToGrid w:val="0"/>
        </w:rPr>
        <w:t xml:space="preserve">. </w:t>
      </w:r>
      <w:r w:rsidR="00B33F5E">
        <w:rPr>
          <w:snapToGrid w:val="0"/>
        </w:rPr>
        <w:t xml:space="preserve"> </w:t>
      </w:r>
      <w:r w:rsidR="008715FE">
        <w:rPr>
          <w:snapToGrid w:val="0"/>
        </w:rPr>
        <w:t xml:space="preserve">It does not work as well for areas with </w:t>
      </w:r>
      <w:r w:rsidR="00224584">
        <w:rPr>
          <w:snapToGrid w:val="0"/>
        </w:rPr>
        <w:t>widely scattered winds</w:t>
      </w:r>
      <w:r w:rsidR="008715FE">
        <w:rPr>
          <w:snapToGrid w:val="0"/>
        </w:rPr>
        <w:t xml:space="preserve"> or for </w:t>
      </w:r>
      <w:r w:rsidR="00A63F7B">
        <w:rPr>
          <w:snapToGrid w:val="0"/>
        </w:rPr>
        <w:t>pollutants with very short averaging periods</w:t>
      </w:r>
      <w:r w:rsidR="00D71EEF">
        <w:rPr>
          <w:snapToGrid w:val="0"/>
        </w:rPr>
        <w:t xml:space="preserve">, especially the </w:t>
      </w:r>
      <w:r w:rsidR="00A63F7B">
        <w:rPr>
          <w:snapToGrid w:val="0"/>
        </w:rPr>
        <w:t>1-hour</w:t>
      </w:r>
      <w:r w:rsidR="00D71EEF">
        <w:rPr>
          <w:snapToGrid w:val="0"/>
        </w:rPr>
        <w:t xml:space="preserve"> averaging period</w:t>
      </w:r>
      <w:r w:rsidR="008715FE">
        <w:rPr>
          <w:snapToGrid w:val="0"/>
        </w:rPr>
        <w:t>.</w:t>
      </w:r>
    </w:p>
    <w:p w14:paraId="4181719A" w14:textId="1E9B09BB" w:rsidR="005E28DE" w:rsidRDefault="00D71EEF" w:rsidP="00153DA6">
      <w:pPr>
        <w:rPr>
          <w:snapToGrid w:val="0"/>
        </w:rPr>
      </w:pPr>
      <w:r>
        <w:rPr>
          <w:snapToGrid w:val="0"/>
        </w:rPr>
        <w:t xml:space="preserve">As noted by EPA, </w:t>
      </w:r>
      <w:r w:rsidR="00B33F5E">
        <w:rPr>
          <w:snapToGrid w:val="0"/>
        </w:rPr>
        <w:t xml:space="preserve">applicants can use </w:t>
      </w:r>
      <w:r>
        <w:rPr>
          <w:snapToGrid w:val="0"/>
        </w:rPr>
        <w:t>modeling to more accurately determine the areas of concern.  However, just be aware that models tend to be more accurate at estimating the maximum concentrations than they are at pinpointing the exact location</w:t>
      </w:r>
      <w:r w:rsidR="00B33F5E">
        <w:rPr>
          <w:snapToGrid w:val="0"/>
        </w:rPr>
        <w:t>s</w:t>
      </w:r>
      <w:r>
        <w:rPr>
          <w:snapToGrid w:val="0"/>
        </w:rPr>
        <w:t xml:space="preserve"> as to where those concentrations occur.  Therefore, the modeling results should not be used to determine </w:t>
      </w:r>
      <w:r w:rsidR="00B40B8B">
        <w:rPr>
          <w:snapToGrid w:val="0"/>
        </w:rPr>
        <w:t xml:space="preserve">the </w:t>
      </w:r>
      <w:r>
        <w:rPr>
          <w:snapToGrid w:val="0"/>
        </w:rPr>
        <w:t xml:space="preserve">specific </w:t>
      </w:r>
      <w:r w:rsidR="009B3FFF">
        <w:rPr>
          <w:snapToGrid w:val="0"/>
        </w:rPr>
        <w:t>c</w:t>
      </w:r>
      <w:r>
        <w:rPr>
          <w:snapToGrid w:val="0"/>
        </w:rPr>
        <w:t xml:space="preserve">oordinate for placing the monitoring station.  The results should instead be used as </w:t>
      </w:r>
      <w:r w:rsidR="00B40B8B">
        <w:rPr>
          <w:snapToGrid w:val="0"/>
        </w:rPr>
        <w:t>one of several factors for</w:t>
      </w:r>
      <w:r>
        <w:rPr>
          <w:snapToGrid w:val="0"/>
        </w:rPr>
        <w:t xml:space="preserve"> </w:t>
      </w:r>
      <w:proofErr w:type="gramStart"/>
      <w:r w:rsidR="00B40B8B">
        <w:rPr>
          <w:snapToGrid w:val="0"/>
        </w:rPr>
        <w:t>siting</w:t>
      </w:r>
      <w:proofErr w:type="gramEnd"/>
      <w:r>
        <w:rPr>
          <w:snapToGrid w:val="0"/>
        </w:rPr>
        <w:t xml:space="preserve"> the monitoring station(s). </w:t>
      </w:r>
    </w:p>
    <w:p w14:paraId="05A548D7" w14:textId="211E9C7C" w:rsidR="00BF00AC" w:rsidRDefault="00B40B8B" w:rsidP="00153DA6">
      <w:pPr>
        <w:rPr>
          <w:snapToGrid w:val="0"/>
        </w:rPr>
      </w:pPr>
      <w:r>
        <w:rPr>
          <w:snapToGrid w:val="0"/>
        </w:rPr>
        <w:t xml:space="preserve">The additional factors include practical considerations, such as access, security, power and telemetry.  </w:t>
      </w:r>
      <w:r w:rsidR="00BF00AC">
        <w:rPr>
          <w:snapToGrid w:val="0"/>
        </w:rPr>
        <w:t xml:space="preserve">There are </w:t>
      </w:r>
      <w:r>
        <w:rPr>
          <w:snapToGrid w:val="0"/>
        </w:rPr>
        <w:t xml:space="preserve">also </w:t>
      </w:r>
      <w:r w:rsidR="00BF00AC">
        <w:rPr>
          <w:snapToGrid w:val="0"/>
        </w:rPr>
        <w:t xml:space="preserve">pollutant-specific requirements regarding probe placement/set-back that must also be considered.  These factors are typically </w:t>
      </w:r>
      <w:r>
        <w:rPr>
          <w:snapToGrid w:val="0"/>
        </w:rPr>
        <w:t>reviewed</w:t>
      </w:r>
      <w:r w:rsidR="00BF00AC">
        <w:rPr>
          <w:snapToGrid w:val="0"/>
        </w:rPr>
        <w:t xml:space="preserve"> by the </w:t>
      </w:r>
      <w:r w:rsidR="00BF00AC">
        <w:t xml:space="preserve">AM&amp;QA program. </w:t>
      </w:r>
      <w:r w:rsidR="00675DDA">
        <w:t xml:space="preserve"> </w:t>
      </w:r>
      <w:r w:rsidR="00BF00AC">
        <w:t xml:space="preserve">The review of a proposed pre-construction monitoring site is therefore typically a coordinated effort between AM&amp;QA and the APP modeler assigned to the project. </w:t>
      </w:r>
    </w:p>
    <w:p w14:paraId="013AAAB7" w14:textId="42B3DBBD" w:rsidR="000A022A" w:rsidRPr="000470CD" w:rsidRDefault="000A022A" w:rsidP="00920141">
      <w:pPr>
        <w:keepNext/>
        <w:spacing w:before="240" w:after="120"/>
        <w:rPr>
          <w:i/>
          <w:iCs/>
          <w:u w:val="single"/>
        </w:rPr>
      </w:pPr>
      <w:r w:rsidRPr="000470CD">
        <w:rPr>
          <w:i/>
          <w:iCs/>
          <w:u w:val="single"/>
        </w:rPr>
        <w:t xml:space="preserve">Quality Assurance Requirements </w:t>
      </w:r>
    </w:p>
    <w:p w14:paraId="76696DA2" w14:textId="747AB52C" w:rsidR="002C578A" w:rsidRDefault="002C578A" w:rsidP="002805FB">
      <w:pPr>
        <w:spacing w:before="120"/>
        <w:rPr>
          <w:snapToGrid w:val="0"/>
        </w:rPr>
      </w:pPr>
      <w:r>
        <w:t xml:space="preserve">A person who submits ambient monitoring data under </w:t>
      </w:r>
      <w:hyperlink r:id="rId64" w:anchor="46.03" w:history="1">
        <w:r w:rsidRPr="00776631">
          <w:rPr>
            <w:rStyle w:val="Hyperlink"/>
          </w:rPr>
          <w:t>AS 46.03</w:t>
        </w:r>
      </w:hyperlink>
      <w:r w:rsidRPr="00776631">
        <w:t>,</w:t>
      </w:r>
      <w:r>
        <w:t xml:space="preserve"> </w:t>
      </w:r>
      <w:hyperlink r:id="rId65" w:anchor="46.14" w:history="1">
        <w:r w:rsidRPr="00776631">
          <w:rPr>
            <w:rStyle w:val="Hyperlink"/>
          </w:rPr>
          <w:t>AS 46.14</w:t>
        </w:r>
      </w:hyperlink>
      <w:r w:rsidRPr="00776631">
        <w:t>,</w:t>
      </w:r>
      <w:r>
        <w:t xml:space="preserve"> or 18</w:t>
      </w:r>
      <w:r w:rsidR="00935C57">
        <w:t> </w:t>
      </w:r>
      <w:r>
        <w:t>AAC</w:t>
      </w:r>
      <w:r w:rsidR="00935C57">
        <w:t> </w:t>
      </w:r>
      <w:r>
        <w:t xml:space="preserve">50 shall obtain the data in accordance with </w:t>
      </w:r>
      <w:r>
        <w:rPr>
          <w:snapToGrid w:val="0"/>
        </w:rPr>
        <w:t xml:space="preserve"> </w:t>
      </w:r>
      <w:r>
        <w:t xml:space="preserve">ADEC’s </w:t>
      </w:r>
      <w:r>
        <w:rPr>
          <w:i/>
          <w:iCs/>
        </w:rPr>
        <w:t>Quality Assurance Project Plan for the State of Alaska Air Monitoring &amp; Quality Assurance Program</w:t>
      </w:r>
      <w:r w:rsidR="00B91CEF">
        <w:t>, adopted by reference in</w:t>
      </w:r>
      <w:r>
        <w:t xml:space="preserve"> </w:t>
      </w:r>
      <w:hyperlink r:id="rId66" w:history="1">
        <w:r w:rsidR="00B91CEF">
          <w:rPr>
            <w:rStyle w:val="Hyperlink"/>
          </w:rPr>
          <w:t>18 AAC 5</w:t>
        </w:r>
        <w:r>
          <w:rPr>
            <w:rStyle w:val="Hyperlink"/>
          </w:rPr>
          <w:t>0.030,</w:t>
        </w:r>
      </w:hyperlink>
      <w:r>
        <w:t xml:space="preserve"> for PM-2.5, PM-10, TSP, lead, carbon monoxide, nitrogen dioxide, sulfur dioxide, ozone, and ammonia.  </w:t>
      </w:r>
      <w:r w:rsidRPr="00853ECB">
        <w:t xml:space="preserve">The guidance </w:t>
      </w:r>
      <w:r w:rsidRPr="00853ECB">
        <w:rPr>
          <w:snapToGrid w:val="0"/>
        </w:rPr>
        <w:t xml:space="preserve">requires a minimum of 80 percent valid data capture per quarter.  In addition to the capture rate, the data must be reviewed and meet all other PSD quality requirements before it </w:t>
      </w:r>
      <w:r w:rsidR="00420138">
        <w:rPr>
          <w:snapToGrid w:val="0"/>
        </w:rPr>
        <w:t>may be used to support a permit decision</w:t>
      </w:r>
      <w:r w:rsidRPr="00853ECB">
        <w:rPr>
          <w:snapToGrid w:val="0"/>
        </w:rPr>
        <w:t>.</w:t>
      </w:r>
    </w:p>
    <w:p w14:paraId="5737A299" w14:textId="3DC3A78E" w:rsidR="00DB2195" w:rsidRDefault="008F7791" w:rsidP="002805FB">
      <w:pPr>
        <w:spacing w:before="120"/>
        <w:rPr>
          <w:snapToGrid w:val="0"/>
        </w:rPr>
      </w:pPr>
      <w:r>
        <w:rPr>
          <w:snapToGrid w:val="0"/>
        </w:rPr>
        <w:t>Ambient d</w:t>
      </w:r>
      <w:r w:rsidR="002C578A">
        <w:rPr>
          <w:snapToGrid w:val="0"/>
        </w:rPr>
        <w:t xml:space="preserve">ata reviews are </w:t>
      </w:r>
      <w:r>
        <w:rPr>
          <w:snapToGrid w:val="0"/>
        </w:rPr>
        <w:t xml:space="preserve">currently </w:t>
      </w:r>
      <w:r w:rsidR="002C578A">
        <w:rPr>
          <w:snapToGrid w:val="0"/>
        </w:rPr>
        <w:t xml:space="preserve">summarized in an Excel spreadsheet </w:t>
      </w:r>
      <w:r>
        <w:rPr>
          <w:snapToGrid w:val="0"/>
        </w:rPr>
        <w:t>that is</w:t>
      </w:r>
      <w:r w:rsidR="002C578A">
        <w:rPr>
          <w:snapToGrid w:val="0"/>
        </w:rPr>
        <w:t xml:space="preserve"> kept on the Juneau server. The summary file (</w:t>
      </w:r>
      <w:hyperlink r:id="rId67" w:history="1">
        <w:r w:rsidR="00BF732C" w:rsidRPr="00BF732C">
          <w:rPr>
            <w:rStyle w:val="Hyperlink"/>
            <w:i/>
            <w:snapToGrid w:val="0"/>
          </w:rPr>
          <w:t>\\jn-svrfile\groups\AQ\PERMITS\Monitoring\QAPP and Data Review\QAPP &amp; Data &amp; Site Review Project List.xlsx</w:t>
        </w:r>
      </w:hyperlink>
      <w:r w:rsidR="002C578A">
        <w:rPr>
          <w:snapToGrid w:val="0"/>
        </w:rPr>
        <w:t xml:space="preserve">) is located under the folder </w:t>
      </w:r>
      <w:r w:rsidR="002C578A" w:rsidRPr="007B682B">
        <w:rPr>
          <w:i/>
          <w:snapToGrid w:val="0"/>
        </w:rPr>
        <w:t>G:\AQ\Permits\Monitoring\QAPP and Data Review</w:t>
      </w:r>
      <w:r w:rsidR="002C578A">
        <w:rPr>
          <w:snapToGrid w:val="0"/>
        </w:rPr>
        <w:t>.</w:t>
      </w:r>
      <w:r w:rsidR="002C578A">
        <w:rPr>
          <w:rStyle w:val="FootnoteReference"/>
          <w:snapToGrid w:val="0"/>
        </w:rPr>
        <w:footnoteReference w:id="30"/>
      </w:r>
      <w:r w:rsidR="002C578A">
        <w:rPr>
          <w:snapToGrid w:val="0"/>
        </w:rPr>
        <w:t xml:space="preserve"> </w:t>
      </w:r>
      <w:r w:rsidR="00F17C1D">
        <w:rPr>
          <w:snapToGrid w:val="0"/>
        </w:rPr>
        <w:t xml:space="preserve"> </w:t>
      </w:r>
      <w:r w:rsidR="002C578A">
        <w:rPr>
          <w:snapToGrid w:val="0"/>
        </w:rPr>
        <w:t xml:space="preserve">The detailed findings </w:t>
      </w:r>
      <w:r w:rsidR="002C578A">
        <w:rPr>
          <w:snapToGrid w:val="0"/>
        </w:rPr>
        <w:lastRenderedPageBreak/>
        <w:t>regarding the review are stored in the Juneau “</w:t>
      </w:r>
      <w:proofErr w:type="spellStart"/>
      <w:r w:rsidR="002C578A">
        <w:rPr>
          <w:snapToGrid w:val="0"/>
        </w:rPr>
        <w:t>AirFacs</w:t>
      </w:r>
      <w:proofErr w:type="spellEnd"/>
      <w:r w:rsidR="002C578A">
        <w:rPr>
          <w:snapToGrid w:val="0"/>
        </w:rPr>
        <w:t>” directory, under the “Monitoring” sub-folder for the given data owner and monitoring site</w:t>
      </w:r>
      <w:r w:rsidR="007120E2">
        <w:rPr>
          <w:snapToGrid w:val="0"/>
        </w:rPr>
        <w:t>.</w:t>
      </w:r>
      <w:r w:rsidR="00920141">
        <w:rPr>
          <w:snapToGrid w:val="0"/>
        </w:rPr>
        <w:t xml:space="preserve"> </w:t>
      </w:r>
    </w:p>
    <w:p w14:paraId="2043D7C4" w14:textId="255DAAE1" w:rsidR="00AE7F5D" w:rsidRDefault="00670880" w:rsidP="00920141">
      <w:pPr>
        <w:keepNext/>
        <w:spacing w:before="240" w:after="120"/>
        <w:rPr>
          <w:i/>
          <w:snapToGrid w:val="0"/>
          <w:u w:val="single"/>
        </w:rPr>
      </w:pPr>
      <w:r>
        <w:rPr>
          <w:i/>
          <w:snapToGrid w:val="0"/>
          <w:u w:val="single"/>
        </w:rPr>
        <w:t xml:space="preserve">Use of </w:t>
      </w:r>
      <w:r w:rsidR="00AE7F5D" w:rsidRPr="007120E2">
        <w:rPr>
          <w:i/>
          <w:snapToGrid w:val="0"/>
          <w:u w:val="single"/>
        </w:rPr>
        <w:t>Surrogate Pre-Construction Data</w:t>
      </w:r>
    </w:p>
    <w:p w14:paraId="11B1EAC0" w14:textId="1DC4B4B3" w:rsidR="00E6375D" w:rsidRDefault="00AE7F5D" w:rsidP="002400F3">
      <w:pPr>
        <w:spacing w:before="120" w:after="120"/>
        <w:rPr>
          <w:snapToGrid w:val="0"/>
        </w:rPr>
      </w:pPr>
      <w:r>
        <w:rPr>
          <w:snapToGrid w:val="0"/>
        </w:rPr>
        <w:t xml:space="preserve">Surrogate pre-construction data refers to existing ambient data </w:t>
      </w:r>
      <w:r w:rsidR="006600BF">
        <w:rPr>
          <w:snapToGrid w:val="0"/>
        </w:rPr>
        <w:t xml:space="preserve">from an off-site location </w:t>
      </w:r>
      <w:r>
        <w:rPr>
          <w:snapToGrid w:val="0"/>
        </w:rPr>
        <w:t xml:space="preserve">that an applicant proposes to use </w:t>
      </w:r>
      <w:r w:rsidR="006D7D14">
        <w:rPr>
          <w:snapToGrid w:val="0"/>
        </w:rPr>
        <w:t xml:space="preserve">instead of collecting their own </w:t>
      </w:r>
      <w:r>
        <w:rPr>
          <w:snapToGrid w:val="0"/>
        </w:rPr>
        <w:t xml:space="preserve">pre-construction data.  The </w:t>
      </w:r>
      <w:r w:rsidR="004D7F9C">
        <w:rPr>
          <w:snapToGrid w:val="0"/>
        </w:rPr>
        <w:t xml:space="preserve">use of </w:t>
      </w:r>
      <w:r w:rsidR="006600BF">
        <w:rPr>
          <w:snapToGrid w:val="0"/>
        </w:rPr>
        <w:t>e</w:t>
      </w:r>
      <w:r w:rsidR="006D7D14">
        <w:rPr>
          <w:snapToGrid w:val="0"/>
        </w:rPr>
        <w:t xml:space="preserve">xisting </w:t>
      </w:r>
      <w:r>
        <w:rPr>
          <w:snapToGrid w:val="0"/>
        </w:rPr>
        <w:t xml:space="preserve">data </w:t>
      </w:r>
      <w:r w:rsidR="004D7F9C">
        <w:rPr>
          <w:snapToGrid w:val="0"/>
        </w:rPr>
        <w:t>may be allowed on a case-</w:t>
      </w:r>
      <w:r w:rsidR="00D9710E">
        <w:rPr>
          <w:snapToGrid w:val="0"/>
        </w:rPr>
        <w:t>specific</w:t>
      </w:r>
      <w:r w:rsidR="004D7F9C">
        <w:rPr>
          <w:snapToGrid w:val="0"/>
        </w:rPr>
        <w:t xml:space="preserve"> basis per </w:t>
      </w:r>
      <w:r>
        <w:rPr>
          <w:snapToGrid w:val="0"/>
        </w:rPr>
        <w:t>Section</w:t>
      </w:r>
      <w:r w:rsidR="006D7D14">
        <w:rPr>
          <w:snapToGrid w:val="0"/>
        </w:rPr>
        <w:t>s</w:t>
      </w:r>
      <w:r>
        <w:rPr>
          <w:snapToGrid w:val="0"/>
        </w:rPr>
        <w:t xml:space="preserve"> 2.1 </w:t>
      </w:r>
      <w:r w:rsidR="006D7D14">
        <w:rPr>
          <w:snapToGrid w:val="0"/>
        </w:rPr>
        <w:t xml:space="preserve">and 2.4 </w:t>
      </w:r>
      <w:r>
        <w:rPr>
          <w:snapToGrid w:val="0"/>
        </w:rPr>
        <w:t xml:space="preserve">of </w:t>
      </w:r>
      <w:r w:rsidR="004D7F9C">
        <w:rPr>
          <w:snapToGrid w:val="0"/>
        </w:rPr>
        <w:t>EPA’s</w:t>
      </w:r>
      <w:r w:rsidR="0074304D">
        <w:rPr>
          <w:snapToGrid w:val="0"/>
        </w:rPr>
        <w:t xml:space="preserve"> </w:t>
      </w:r>
      <w:r w:rsidR="004D7F9C">
        <w:rPr>
          <w:snapToGrid w:val="0"/>
        </w:rPr>
        <w:t xml:space="preserve">PSD </w:t>
      </w:r>
      <w:r>
        <w:rPr>
          <w:snapToGrid w:val="0"/>
        </w:rPr>
        <w:t>monitoring guid</w:t>
      </w:r>
      <w:r w:rsidR="004D7F9C">
        <w:rPr>
          <w:snapToGrid w:val="0"/>
        </w:rPr>
        <w:t>ance</w:t>
      </w:r>
      <w:r>
        <w:rPr>
          <w:snapToGrid w:val="0"/>
        </w:rPr>
        <w:t>.</w:t>
      </w:r>
      <w:r w:rsidR="006D7D14">
        <w:rPr>
          <w:snapToGrid w:val="0"/>
        </w:rPr>
        <w:t xml:space="preserve">  </w:t>
      </w:r>
      <w:r w:rsidR="00B94BAF">
        <w:rPr>
          <w:snapToGrid w:val="0"/>
        </w:rPr>
        <w:t>EPA states that i</w:t>
      </w:r>
      <w:r w:rsidR="00E6375D">
        <w:t xml:space="preserve">f the proposed source or modification is in an area that is generally free of impacts from other sources associated with human activity, then monitoring data from a ‘regional’ site may be considered.  Such a site must be similar in nature to the impact area.  </w:t>
      </w:r>
      <w:r w:rsidR="00B94BAF">
        <w:t>EPA further states that t</w:t>
      </w:r>
      <w:r w:rsidR="00E6375D">
        <w:t xml:space="preserve">he intent of this </w:t>
      </w:r>
      <w:r w:rsidR="00B94BAF">
        <w:t xml:space="preserve">provision </w:t>
      </w:r>
      <w:r w:rsidR="00E6375D">
        <w:t xml:space="preserve">is to allow use of a ‘regional’ site in remote areas </w:t>
      </w:r>
      <w:r w:rsidR="00B94BAF">
        <w:t>rather than</w:t>
      </w:r>
      <w:r w:rsidR="00E6375D">
        <w:t xml:space="preserve"> multi-source areas.</w:t>
      </w:r>
    </w:p>
    <w:p w14:paraId="66082A4F" w14:textId="695205C4" w:rsidR="006843D1" w:rsidRDefault="00B94BAF" w:rsidP="002400F3">
      <w:pPr>
        <w:spacing w:before="120" w:after="120"/>
        <w:rPr>
          <w:snapToGrid w:val="0"/>
        </w:rPr>
      </w:pPr>
      <w:r>
        <w:rPr>
          <w:snapToGrid w:val="0"/>
        </w:rPr>
        <w:t>I</w:t>
      </w:r>
      <w:r w:rsidR="006D7D14">
        <w:rPr>
          <w:snapToGrid w:val="0"/>
        </w:rPr>
        <w:t xml:space="preserve">t is the applicant’s responsibility to demonstrate to our satisfaction that the proposed </w:t>
      </w:r>
      <w:r w:rsidR="00AB446A">
        <w:rPr>
          <w:snapToGrid w:val="0"/>
        </w:rPr>
        <w:t>dataset</w:t>
      </w:r>
      <w:r w:rsidR="006D7D14">
        <w:rPr>
          <w:snapToGrid w:val="0"/>
        </w:rPr>
        <w:t xml:space="preserve"> meets the pre-construction monitoring requirements. </w:t>
      </w:r>
      <w:r w:rsidR="003F113C">
        <w:rPr>
          <w:snapToGrid w:val="0"/>
        </w:rPr>
        <w:t xml:space="preserve"> </w:t>
      </w:r>
      <w:r w:rsidR="00AE7F5D">
        <w:rPr>
          <w:snapToGrid w:val="0"/>
        </w:rPr>
        <w:t>The data must</w:t>
      </w:r>
      <w:r w:rsidR="006843D1">
        <w:rPr>
          <w:snapToGrid w:val="0"/>
        </w:rPr>
        <w:t>:</w:t>
      </w:r>
      <w:r w:rsidR="00AE7F5D">
        <w:rPr>
          <w:snapToGrid w:val="0"/>
        </w:rPr>
        <w:t xml:space="preserve"> </w:t>
      </w:r>
    </w:p>
    <w:p w14:paraId="17D51C19" w14:textId="42F9A38F" w:rsidR="006843D1" w:rsidRDefault="006843D1" w:rsidP="006843D1">
      <w:pPr>
        <w:spacing w:before="120" w:after="120"/>
        <w:ind w:left="360"/>
        <w:rPr>
          <w:snapToGrid w:val="0"/>
        </w:rPr>
      </w:pPr>
      <w:r>
        <w:rPr>
          <w:snapToGrid w:val="0"/>
        </w:rPr>
        <w:t xml:space="preserve">1) </w:t>
      </w:r>
      <w:r w:rsidR="00AE7F5D">
        <w:rPr>
          <w:snapToGrid w:val="0"/>
        </w:rPr>
        <w:t xml:space="preserve">meet </w:t>
      </w:r>
      <w:proofErr w:type="gramStart"/>
      <w:r w:rsidR="00AE7F5D">
        <w:rPr>
          <w:snapToGrid w:val="0"/>
        </w:rPr>
        <w:t xml:space="preserve">all </w:t>
      </w:r>
      <w:r w:rsidR="001C1E50">
        <w:rPr>
          <w:snapToGrid w:val="0"/>
        </w:rPr>
        <w:t>of</w:t>
      </w:r>
      <w:proofErr w:type="gramEnd"/>
      <w:r w:rsidR="001C1E50">
        <w:rPr>
          <w:snapToGrid w:val="0"/>
        </w:rPr>
        <w:t xml:space="preserve"> the previously discussed </w:t>
      </w:r>
      <w:r w:rsidR="00AE7F5D">
        <w:rPr>
          <w:snapToGrid w:val="0"/>
        </w:rPr>
        <w:t xml:space="preserve">PSD quality assurance </w:t>
      </w:r>
      <w:proofErr w:type="gramStart"/>
      <w:r w:rsidR="00AE7F5D">
        <w:rPr>
          <w:snapToGrid w:val="0"/>
        </w:rPr>
        <w:t>requirements</w:t>
      </w:r>
      <w:r w:rsidR="002400F3">
        <w:rPr>
          <w:snapToGrid w:val="0"/>
        </w:rPr>
        <w:t>;</w:t>
      </w:r>
      <w:proofErr w:type="gramEnd"/>
      <w:r w:rsidR="003F113C">
        <w:rPr>
          <w:snapToGrid w:val="0"/>
        </w:rPr>
        <w:t xml:space="preserve"> </w:t>
      </w:r>
    </w:p>
    <w:p w14:paraId="547BFDCA" w14:textId="7A1968E5" w:rsidR="006843D1" w:rsidRDefault="006843D1" w:rsidP="006843D1">
      <w:pPr>
        <w:spacing w:before="120" w:after="120"/>
        <w:ind w:left="360"/>
        <w:rPr>
          <w:snapToGrid w:val="0"/>
        </w:rPr>
      </w:pPr>
      <w:r>
        <w:rPr>
          <w:snapToGrid w:val="0"/>
        </w:rPr>
        <w:t xml:space="preserve">2) </w:t>
      </w:r>
      <w:r w:rsidR="00AE7F5D">
        <w:rPr>
          <w:snapToGrid w:val="0"/>
        </w:rPr>
        <w:t xml:space="preserve">be </w:t>
      </w:r>
      <w:r w:rsidR="00AE7F5D" w:rsidRPr="00920141">
        <w:rPr>
          <w:i/>
          <w:snapToGrid w:val="0"/>
        </w:rPr>
        <w:t>current</w:t>
      </w:r>
      <w:r w:rsidR="00AE7F5D">
        <w:rPr>
          <w:snapToGrid w:val="0"/>
        </w:rPr>
        <w:t xml:space="preserve"> </w:t>
      </w:r>
      <w:r w:rsidR="00231670">
        <w:rPr>
          <w:snapToGrid w:val="0"/>
        </w:rPr>
        <w:t xml:space="preserve">– see the following sub-section, </w:t>
      </w:r>
      <w:r w:rsidR="00231670" w:rsidRPr="00231670">
        <w:rPr>
          <w:i/>
          <w:snapToGrid w:val="0"/>
        </w:rPr>
        <w:t>How Old Can the Data Be</w:t>
      </w:r>
      <w:r w:rsidR="002400F3">
        <w:rPr>
          <w:snapToGrid w:val="0"/>
        </w:rPr>
        <w:t xml:space="preserve">; and </w:t>
      </w:r>
    </w:p>
    <w:p w14:paraId="1158A17E" w14:textId="6072B767" w:rsidR="00AE7F5D" w:rsidRDefault="006843D1" w:rsidP="006843D1">
      <w:pPr>
        <w:spacing w:before="120" w:after="120"/>
        <w:ind w:left="360"/>
        <w:rPr>
          <w:snapToGrid w:val="0"/>
        </w:rPr>
      </w:pPr>
      <w:r>
        <w:rPr>
          <w:snapToGrid w:val="0"/>
        </w:rPr>
        <w:t xml:space="preserve">3) </w:t>
      </w:r>
      <w:r w:rsidR="002400F3">
        <w:rPr>
          <w:snapToGrid w:val="0"/>
        </w:rPr>
        <w:t xml:space="preserve">represent the </w:t>
      </w:r>
      <w:r w:rsidR="0071270A">
        <w:rPr>
          <w:snapToGrid w:val="0"/>
        </w:rPr>
        <w:t xml:space="preserve">maximum </w:t>
      </w:r>
      <w:r w:rsidR="002400F3">
        <w:rPr>
          <w:snapToGrid w:val="0"/>
        </w:rPr>
        <w:t>ambient concentrations within the applicant’s project area – or at least provide an upper bound estimate of the maximum concentrations</w:t>
      </w:r>
      <w:r w:rsidR="00AE7F5D">
        <w:rPr>
          <w:snapToGrid w:val="0"/>
        </w:rPr>
        <w:t xml:space="preserve">.  </w:t>
      </w:r>
    </w:p>
    <w:p w14:paraId="11613A57" w14:textId="39C98476" w:rsidR="00B94BAF" w:rsidRDefault="00B94BAF" w:rsidP="006D7D14">
      <w:pPr>
        <w:spacing w:before="120" w:after="120"/>
        <w:rPr>
          <w:snapToGrid w:val="0"/>
        </w:rPr>
      </w:pPr>
      <w:r>
        <w:rPr>
          <w:snapToGrid w:val="0"/>
        </w:rPr>
        <w:t>Evaluating the proposed use of surrogate data in a situation where the applicant is planning to modify an existing stationary source is more challenging than evaluating a request for a new stationary source at a “</w:t>
      </w:r>
      <w:proofErr w:type="gramStart"/>
      <w:r>
        <w:rPr>
          <w:snapToGrid w:val="0"/>
        </w:rPr>
        <w:t>green-field</w:t>
      </w:r>
      <w:proofErr w:type="gramEnd"/>
      <w:r>
        <w:rPr>
          <w:snapToGrid w:val="0"/>
        </w:rPr>
        <w:t>” (undeveloped) location.  In th</w:t>
      </w:r>
      <w:r w:rsidR="0071270A">
        <w:rPr>
          <w:snapToGrid w:val="0"/>
        </w:rPr>
        <w:t>e modification scenario</w:t>
      </w:r>
      <w:r>
        <w:rPr>
          <w:snapToGrid w:val="0"/>
        </w:rPr>
        <w:t xml:space="preserve">, the air quality impacts from the existing source must </w:t>
      </w:r>
      <w:r w:rsidR="005E3AFA">
        <w:rPr>
          <w:snapToGrid w:val="0"/>
        </w:rPr>
        <w:t xml:space="preserve">somehow </w:t>
      </w:r>
      <w:r>
        <w:rPr>
          <w:snapToGrid w:val="0"/>
        </w:rPr>
        <w:t xml:space="preserve">be </w:t>
      </w:r>
      <w:r w:rsidR="005E3AFA">
        <w:rPr>
          <w:snapToGrid w:val="0"/>
        </w:rPr>
        <w:t xml:space="preserve">represented by the ambient </w:t>
      </w:r>
      <w:r w:rsidR="00AB446A">
        <w:rPr>
          <w:snapToGrid w:val="0"/>
        </w:rPr>
        <w:t>dataset</w:t>
      </w:r>
      <w:r>
        <w:rPr>
          <w:snapToGrid w:val="0"/>
        </w:rPr>
        <w:t xml:space="preserve">.  </w:t>
      </w:r>
      <w:r w:rsidR="005E3AFA">
        <w:rPr>
          <w:snapToGrid w:val="0"/>
        </w:rPr>
        <w:t xml:space="preserve">The applicant will therefore likely need to </w:t>
      </w:r>
      <w:r w:rsidR="006C1C91">
        <w:rPr>
          <w:snapToGrid w:val="0"/>
        </w:rPr>
        <w:t>describe how the following factors compare between the project site and the surrogate data area</w:t>
      </w:r>
      <w:r w:rsidR="005E3AFA">
        <w:rPr>
          <w:snapToGrid w:val="0"/>
        </w:rPr>
        <w:t xml:space="preserve">: </w:t>
      </w:r>
    </w:p>
    <w:p w14:paraId="34C70749" w14:textId="5CD043F5" w:rsidR="006843D1" w:rsidRDefault="006843D1" w:rsidP="006843D1">
      <w:pPr>
        <w:spacing w:before="120" w:after="120"/>
        <w:ind w:left="360"/>
        <w:rPr>
          <w:snapToGrid w:val="0"/>
        </w:rPr>
      </w:pPr>
      <w:r>
        <w:rPr>
          <w:snapToGrid w:val="0"/>
        </w:rPr>
        <w:t>a</w:t>
      </w:r>
      <w:r w:rsidR="007D3558">
        <w:rPr>
          <w:snapToGrid w:val="0"/>
        </w:rPr>
        <w:t xml:space="preserve">) the </w:t>
      </w:r>
      <w:r w:rsidR="006C1C91">
        <w:rPr>
          <w:snapToGrid w:val="0"/>
        </w:rPr>
        <w:t>emission rates</w:t>
      </w:r>
      <w:r w:rsidR="007D3558">
        <w:rPr>
          <w:snapToGrid w:val="0"/>
        </w:rPr>
        <w:t xml:space="preserve"> </w:t>
      </w:r>
      <w:r w:rsidR="006C1C91">
        <w:rPr>
          <w:snapToGrid w:val="0"/>
        </w:rPr>
        <w:t>for</w:t>
      </w:r>
      <w:r w:rsidR="007D3558">
        <w:rPr>
          <w:snapToGrid w:val="0"/>
        </w:rPr>
        <w:t xml:space="preserve"> the averaging period</w:t>
      </w:r>
      <w:r w:rsidR="006C1C91">
        <w:rPr>
          <w:snapToGrid w:val="0"/>
        </w:rPr>
        <w:t xml:space="preserve">s associated with the given </w:t>
      </w:r>
      <w:proofErr w:type="gramStart"/>
      <w:r w:rsidR="006C1C91">
        <w:rPr>
          <w:snapToGrid w:val="0"/>
        </w:rPr>
        <w:t>pollutant</w:t>
      </w:r>
      <w:r w:rsidR="002400F3">
        <w:rPr>
          <w:snapToGrid w:val="0"/>
        </w:rPr>
        <w:t>;</w:t>
      </w:r>
      <w:proofErr w:type="gramEnd"/>
      <w:r w:rsidR="007D3558">
        <w:rPr>
          <w:snapToGrid w:val="0"/>
        </w:rPr>
        <w:t xml:space="preserve"> </w:t>
      </w:r>
    </w:p>
    <w:p w14:paraId="11A0D953" w14:textId="2868259A" w:rsidR="006843D1" w:rsidRDefault="006843D1" w:rsidP="006843D1">
      <w:pPr>
        <w:spacing w:before="120" w:after="120"/>
        <w:ind w:left="360"/>
        <w:rPr>
          <w:snapToGrid w:val="0"/>
        </w:rPr>
      </w:pPr>
      <w:r>
        <w:rPr>
          <w:snapToGrid w:val="0"/>
        </w:rPr>
        <w:t>b</w:t>
      </w:r>
      <w:r w:rsidR="007D3558">
        <w:rPr>
          <w:snapToGrid w:val="0"/>
        </w:rPr>
        <w:t>) the release characteristics</w:t>
      </w:r>
      <w:r w:rsidR="002400F3">
        <w:rPr>
          <w:snapToGrid w:val="0"/>
        </w:rPr>
        <w:t xml:space="preserve">; and </w:t>
      </w:r>
    </w:p>
    <w:p w14:paraId="338E3B8A" w14:textId="3CCBEBBD" w:rsidR="007D3558" w:rsidRDefault="006843D1" w:rsidP="006843D1">
      <w:pPr>
        <w:spacing w:before="120" w:after="120"/>
        <w:ind w:left="360"/>
        <w:rPr>
          <w:snapToGrid w:val="0"/>
        </w:rPr>
      </w:pPr>
      <w:r>
        <w:rPr>
          <w:snapToGrid w:val="0"/>
        </w:rPr>
        <w:t>c</w:t>
      </w:r>
      <w:r w:rsidR="002400F3">
        <w:rPr>
          <w:snapToGrid w:val="0"/>
        </w:rPr>
        <w:t>) the meteorological conditions during the period</w:t>
      </w:r>
      <w:r w:rsidR="006C1C91">
        <w:rPr>
          <w:snapToGrid w:val="0"/>
        </w:rPr>
        <w:t>s</w:t>
      </w:r>
      <w:r w:rsidR="002400F3">
        <w:rPr>
          <w:snapToGrid w:val="0"/>
        </w:rPr>
        <w:t xml:space="preserve"> of concern. </w:t>
      </w:r>
    </w:p>
    <w:p w14:paraId="6D847519" w14:textId="052A9447" w:rsidR="001F7EBA" w:rsidRDefault="006843D1" w:rsidP="00B8445F">
      <w:pPr>
        <w:spacing w:after="120"/>
        <w:rPr>
          <w:snapToGrid w:val="0"/>
        </w:rPr>
      </w:pPr>
      <w:r>
        <w:rPr>
          <w:snapToGrid w:val="0"/>
        </w:rPr>
        <w:t xml:space="preserve">Air quality modeling could be used to compare the ambient air concentrations between the </w:t>
      </w:r>
      <w:r w:rsidR="00B94BAF">
        <w:rPr>
          <w:snapToGrid w:val="0"/>
        </w:rPr>
        <w:t xml:space="preserve">surrogate data </w:t>
      </w:r>
      <w:r>
        <w:rPr>
          <w:snapToGrid w:val="0"/>
        </w:rPr>
        <w:t>area</w:t>
      </w:r>
      <w:r w:rsidR="00B94BAF">
        <w:rPr>
          <w:snapToGrid w:val="0"/>
        </w:rPr>
        <w:t xml:space="preserve"> and the PSD project area</w:t>
      </w:r>
      <w:r>
        <w:rPr>
          <w:snapToGrid w:val="0"/>
        </w:rPr>
        <w:t xml:space="preserve">.  </w:t>
      </w:r>
      <w:r w:rsidR="009F6231">
        <w:rPr>
          <w:snapToGrid w:val="0"/>
        </w:rPr>
        <w:t xml:space="preserve">However, </w:t>
      </w:r>
      <w:r w:rsidR="00B94BAF">
        <w:rPr>
          <w:snapToGrid w:val="0"/>
        </w:rPr>
        <w:t>a simpler approach could also be used in some situations</w:t>
      </w:r>
      <w:r>
        <w:rPr>
          <w:snapToGrid w:val="0"/>
        </w:rPr>
        <w:t xml:space="preserve">.  </w:t>
      </w:r>
      <w:r w:rsidR="001F7EBA">
        <w:rPr>
          <w:snapToGrid w:val="0"/>
        </w:rPr>
        <w:t>For example,</w:t>
      </w:r>
      <w:r w:rsidR="009F6231">
        <w:rPr>
          <w:snapToGrid w:val="0"/>
        </w:rPr>
        <w:t xml:space="preserve"> </w:t>
      </w:r>
      <w:r>
        <w:rPr>
          <w:snapToGrid w:val="0"/>
        </w:rPr>
        <w:t xml:space="preserve">some applicants </w:t>
      </w:r>
      <w:r w:rsidR="009F6231">
        <w:rPr>
          <w:snapToGrid w:val="0"/>
        </w:rPr>
        <w:t>compare</w:t>
      </w:r>
      <w:r>
        <w:rPr>
          <w:snapToGrid w:val="0"/>
        </w:rPr>
        <w:t xml:space="preserve"> the emission inventories between the project area and the data collection area</w:t>
      </w:r>
      <w:r w:rsidR="009F6231">
        <w:rPr>
          <w:snapToGrid w:val="0"/>
        </w:rPr>
        <w:t xml:space="preserve">.  This approach works best for areas with similar (if not identical) meteorology and emission release characteristics.  </w:t>
      </w:r>
      <w:r w:rsidR="006C1C91">
        <w:rPr>
          <w:snapToGrid w:val="0"/>
        </w:rPr>
        <w:t xml:space="preserve">The </w:t>
      </w:r>
      <w:r w:rsidR="009F6231">
        <w:rPr>
          <w:snapToGrid w:val="0"/>
        </w:rPr>
        <w:t xml:space="preserve">applicant must </w:t>
      </w:r>
      <w:r w:rsidR="006C1C91">
        <w:rPr>
          <w:snapToGrid w:val="0"/>
        </w:rPr>
        <w:t xml:space="preserve">also </w:t>
      </w:r>
      <w:r w:rsidR="009F6231">
        <w:rPr>
          <w:snapToGrid w:val="0"/>
        </w:rPr>
        <w:t xml:space="preserve">use reasonable and similar domains for summing the emissions.  In situations where the maximum impacts are predominately related to downwash (which is the common case), the emissions tally should be limited to </w:t>
      </w:r>
      <w:r w:rsidR="001F7EBA">
        <w:rPr>
          <w:snapToGrid w:val="0"/>
        </w:rPr>
        <w:t xml:space="preserve">just </w:t>
      </w:r>
      <w:r w:rsidR="009F6231">
        <w:rPr>
          <w:snapToGrid w:val="0"/>
        </w:rPr>
        <w:t xml:space="preserve">the </w:t>
      </w:r>
      <w:r w:rsidR="001F7EBA">
        <w:rPr>
          <w:snapToGrid w:val="0"/>
        </w:rPr>
        <w:t xml:space="preserve">stationary </w:t>
      </w:r>
      <w:r w:rsidR="009F6231">
        <w:rPr>
          <w:snapToGrid w:val="0"/>
        </w:rPr>
        <w:t>source</w:t>
      </w:r>
      <w:r w:rsidR="001F7EBA">
        <w:rPr>
          <w:snapToGrid w:val="0"/>
        </w:rPr>
        <w:t>(</w:t>
      </w:r>
      <w:r w:rsidR="009F6231">
        <w:rPr>
          <w:snapToGrid w:val="0"/>
        </w:rPr>
        <w:t>s</w:t>
      </w:r>
      <w:r w:rsidR="001F7EBA">
        <w:rPr>
          <w:snapToGrid w:val="0"/>
        </w:rPr>
        <w:t>)</w:t>
      </w:r>
      <w:r w:rsidR="009F6231">
        <w:rPr>
          <w:snapToGrid w:val="0"/>
        </w:rPr>
        <w:t xml:space="preserve"> associated with that downwash. </w:t>
      </w:r>
      <w:r w:rsidR="001F7EBA">
        <w:rPr>
          <w:snapToGrid w:val="0"/>
        </w:rPr>
        <w:t>Including other regional sources</w:t>
      </w:r>
      <w:r w:rsidR="006C1C91">
        <w:rPr>
          <w:snapToGrid w:val="0"/>
        </w:rPr>
        <w:t>, or the much larger borough-wide emissions from the National Emissions Inventory (NEI),</w:t>
      </w:r>
      <w:r w:rsidR="001F7EBA">
        <w:rPr>
          <w:snapToGrid w:val="0"/>
        </w:rPr>
        <w:t xml:space="preserve"> could bias the comparison and lead to unsound decisions. </w:t>
      </w:r>
    </w:p>
    <w:p w14:paraId="133A1285" w14:textId="71ACFB28" w:rsidR="00B9118A" w:rsidRDefault="00B9118A" w:rsidP="00D80A4C">
      <w:pPr>
        <w:keepNext/>
        <w:keepLines/>
        <w:spacing w:before="240" w:after="120"/>
      </w:pPr>
      <w:r>
        <w:rPr>
          <w:i/>
          <w:iCs/>
          <w:u w:val="single"/>
        </w:rPr>
        <w:lastRenderedPageBreak/>
        <w:t>How Old Can the Data Be?</w:t>
      </w:r>
      <w:r w:rsidRPr="001C1E50">
        <w:rPr>
          <w:iCs/>
        </w:rPr>
        <w:t xml:space="preserve"> </w:t>
      </w:r>
    </w:p>
    <w:p w14:paraId="63376B08" w14:textId="3DE61175" w:rsidR="00A22341" w:rsidRDefault="00A22341" w:rsidP="00D80A4C">
      <w:pPr>
        <w:keepNext/>
        <w:keepLines/>
        <w:spacing w:after="120"/>
        <w:rPr>
          <w:snapToGrid w:val="0"/>
        </w:rPr>
      </w:pPr>
      <w:r>
        <w:rPr>
          <w:snapToGrid w:val="0"/>
        </w:rPr>
        <w:t>Section</w:t>
      </w:r>
      <w:r w:rsidR="008920F0" w:rsidRPr="008920F0">
        <w:rPr>
          <w:snapToGrid w:val="0"/>
        </w:rPr>
        <w:t> </w:t>
      </w:r>
      <w:r>
        <w:rPr>
          <w:snapToGrid w:val="0"/>
        </w:rPr>
        <w:t xml:space="preserve">2.4.3 of EPA’s PSD monitoring guidance states the pre-construction data should generally “have been collected in the 3-year period preceding the permit application.”  The purpose for this provision is to ensure the data are representative of </w:t>
      </w:r>
      <w:r w:rsidRPr="00EA12F4">
        <w:rPr>
          <w:i/>
          <w:snapToGrid w:val="0"/>
        </w:rPr>
        <w:t>current</w:t>
      </w:r>
      <w:r>
        <w:rPr>
          <w:snapToGrid w:val="0"/>
        </w:rPr>
        <w:t xml:space="preserve"> conditions – as required under 40</w:t>
      </w:r>
      <w:r w:rsidR="008920F0" w:rsidRPr="008920F0">
        <w:rPr>
          <w:snapToGrid w:val="0"/>
        </w:rPr>
        <w:t> </w:t>
      </w:r>
      <w:r>
        <w:rPr>
          <w:snapToGrid w:val="0"/>
        </w:rPr>
        <w:t>CFR</w:t>
      </w:r>
      <w:r w:rsidR="008920F0" w:rsidRPr="008920F0">
        <w:rPr>
          <w:snapToGrid w:val="0"/>
        </w:rPr>
        <w:t> </w:t>
      </w:r>
      <w:r>
        <w:rPr>
          <w:snapToGrid w:val="0"/>
        </w:rPr>
        <w:t>52.21(m)(1)(iv).  ADEC has accepted older data on a case-by-case basis, but only in situations where the area has not seen an increase in local emissions.  It is the applicant’s responsibility to demonstrate to our satisfaction that the existing data represents the ambient concentration from “the year preceding receipt of the application” (40</w:t>
      </w:r>
      <w:r w:rsidR="008920F0" w:rsidRPr="008920F0">
        <w:rPr>
          <w:snapToGrid w:val="0"/>
        </w:rPr>
        <w:t> </w:t>
      </w:r>
      <w:r>
        <w:rPr>
          <w:snapToGrid w:val="0"/>
        </w:rPr>
        <w:t>CFR</w:t>
      </w:r>
      <w:r w:rsidR="008920F0" w:rsidRPr="008920F0">
        <w:rPr>
          <w:snapToGrid w:val="0"/>
        </w:rPr>
        <w:t> </w:t>
      </w:r>
      <w:r>
        <w:rPr>
          <w:snapToGrid w:val="0"/>
        </w:rPr>
        <w:t>52.21(m)(1)(iv)).  The older the data, the more uncertainty there is as to whether it accurately reflects current conditions.  Requests to use existing data should generally be discussed with the AM&amp;QA supervisor</w:t>
      </w:r>
      <w:r w:rsidR="00EA12F4">
        <w:rPr>
          <w:snapToGrid w:val="0"/>
        </w:rPr>
        <w:t xml:space="preserve">, or their </w:t>
      </w:r>
      <w:proofErr w:type="gramStart"/>
      <w:r w:rsidR="00EA12F4">
        <w:rPr>
          <w:snapToGrid w:val="0"/>
        </w:rPr>
        <w:t>designee</w:t>
      </w:r>
      <w:proofErr w:type="gramEnd"/>
      <w:r>
        <w:rPr>
          <w:snapToGrid w:val="0"/>
        </w:rPr>
        <w:t>.</w:t>
      </w:r>
    </w:p>
    <w:p w14:paraId="511B5EB1" w14:textId="61349101" w:rsidR="00BE099C" w:rsidRDefault="001578CE" w:rsidP="00BE099C">
      <w:pPr>
        <w:pStyle w:val="Heading3"/>
        <w:rPr>
          <w:snapToGrid w:val="0"/>
        </w:rPr>
      </w:pPr>
      <w:bookmarkStart w:id="95" w:name="_Toc43521233"/>
      <w:r>
        <w:rPr>
          <w:snapToGrid w:val="0"/>
        </w:rPr>
        <w:tab/>
      </w:r>
      <w:bookmarkStart w:id="96" w:name="_Toc526778239"/>
      <w:r w:rsidR="00BE099C">
        <w:rPr>
          <w:snapToGrid w:val="0"/>
        </w:rPr>
        <w:t xml:space="preserve">Comparison of </w:t>
      </w:r>
      <w:r w:rsidR="009D0989">
        <w:rPr>
          <w:snapToGrid w:val="0"/>
        </w:rPr>
        <w:t xml:space="preserve">Modeled </w:t>
      </w:r>
      <w:r w:rsidR="00BE099C">
        <w:rPr>
          <w:snapToGrid w:val="0"/>
        </w:rPr>
        <w:t xml:space="preserve">Impacts to </w:t>
      </w:r>
      <w:r w:rsidR="009D0989">
        <w:rPr>
          <w:snapToGrid w:val="0"/>
        </w:rPr>
        <w:t>the SMC</w:t>
      </w:r>
      <w:bookmarkEnd w:id="95"/>
      <w:bookmarkEnd w:id="96"/>
    </w:p>
    <w:p w14:paraId="220C7D13" w14:textId="119DE8B9" w:rsidR="00BE099C" w:rsidRDefault="00AE7756" w:rsidP="00BE099C">
      <w:pPr>
        <w:rPr>
          <w:snapToGrid w:val="0"/>
        </w:rPr>
      </w:pPr>
      <w:r>
        <w:rPr>
          <w:snapToGrid w:val="0"/>
        </w:rPr>
        <w:t xml:space="preserve">Some </w:t>
      </w:r>
      <w:r w:rsidR="00BE099C">
        <w:rPr>
          <w:snapToGrid w:val="0"/>
        </w:rPr>
        <w:t xml:space="preserve">PSD applicants </w:t>
      </w:r>
      <w:r w:rsidR="004271D0">
        <w:rPr>
          <w:snapToGrid w:val="0"/>
        </w:rPr>
        <w:t xml:space="preserve">choose to </w:t>
      </w:r>
      <w:r w:rsidR="00BE099C">
        <w:rPr>
          <w:snapToGrid w:val="0"/>
        </w:rPr>
        <w:t xml:space="preserve">compare their project impacts to the </w:t>
      </w:r>
      <w:r w:rsidR="004271D0">
        <w:rPr>
          <w:snapToGrid w:val="0"/>
        </w:rPr>
        <w:t xml:space="preserve">applicable </w:t>
      </w:r>
      <w:r>
        <w:rPr>
          <w:snapToGrid w:val="0"/>
        </w:rPr>
        <w:t>SMC</w:t>
      </w:r>
      <w:r w:rsidR="00E97C20">
        <w:rPr>
          <w:snapToGrid w:val="0"/>
        </w:rPr>
        <w:t>s</w:t>
      </w:r>
      <w:r w:rsidR="00BE099C">
        <w:rPr>
          <w:snapToGrid w:val="0"/>
        </w:rPr>
        <w:t xml:space="preserve"> </w:t>
      </w:r>
      <w:proofErr w:type="gramStart"/>
      <w:r w:rsidR="00BE099C">
        <w:rPr>
          <w:snapToGrid w:val="0"/>
        </w:rPr>
        <w:t>in an effort to</w:t>
      </w:r>
      <w:proofErr w:type="gramEnd"/>
      <w:r w:rsidR="00BE099C">
        <w:rPr>
          <w:snapToGrid w:val="0"/>
        </w:rPr>
        <w:t xml:space="preserve"> demonstrate that pre-construction monitoring is not required</w:t>
      </w:r>
      <w:r w:rsidR="0074304D">
        <w:rPr>
          <w:snapToGrid w:val="0"/>
        </w:rPr>
        <w:t>.</w:t>
      </w:r>
      <w:r w:rsidR="005852E8">
        <w:rPr>
          <w:rStyle w:val="FootnoteReference"/>
          <w:snapToGrid w:val="0"/>
        </w:rPr>
        <w:footnoteReference w:id="31"/>
      </w:r>
      <w:r w:rsidR="00BE099C">
        <w:rPr>
          <w:snapToGrid w:val="0"/>
        </w:rPr>
        <w:t xml:space="preserve">  As in the case of the significant impact analysis, </w:t>
      </w:r>
      <w:r w:rsidR="004271D0">
        <w:rPr>
          <w:snapToGrid w:val="0"/>
        </w:rPr>
        <w:t xml:space="preserve">the maximum </w:t>
      </w:r>
      <w:r w:rsidR="00BE099C">
        <w:rPr>
          <w:snapToGrid w:val="0"/>
        </w:rPr>
        <w:t xml:space="preserve">emissions </w:t>
      </w:r>
      <w:r w:rsidR="004271D0">
        <w:rPr>
          <w:snapToGrid w:val="0"/>
        </w:rPr>
        <w:t xml:space="preserve">allowed during the given averaging period </w:t>
      </w:r>
      <w:r w:rsidR="00BE099C">
        <w:rPr>
          <w:snapToGrid w:val="0"/>
        </w:rPr>
        <w:t xml:space="preserve">should be </w:t>
      </w:r>
      <w:r w:rsidR="009D0989">
        <w:rPr>
          <w:snapToGrid w:val="0"/>
        </w:rPr>
        <w:t xml:space="preserve">used for the modeling analysis, rather than actual </w:t>
      </w:r>
      <w:r w:rsidR="00E97C20">
        <w:rPr>
          <w:snapToGrid w:val="0"/>
        </w:rPr>
        <w:t xml:space="preserve">or anticipated </w:t>
      </w:r>
      <w:r w:rsidR="009D0989">
        <w:rPr>
          <w:snapToGrid w:val="0"/>
        </w:rPr>
        <w:t xml:space="preserve">emissions.  The </w:t>
      </w:r>
      <w:r w:rsidR="00BE099C">
        <w:rPr>
          <w:snapToGrid w:val="0"/>
        </w:rPr>
        <w:t>corresponding stack parameters</w:t>
      </w:r>
      <w:r w:rsidR="009D0989">
        <w:rPr>
          <w:snapToGrid w:val="0"/>
        </w:rPr>
        <w:t xml:space="preserve"> should also be used</w:t>
      </w:r>
      <w:r w:rsidR="00BE099C">
        <w:rPr>
          <w:snapToGrid w:val="0"/>
        </w:rPr>
        <w:t xml:space="preserve">, unless the source is subject to load screening, in which case the emissions scenario with the maximum ambient impact should be used.  </w:t>
      </w:r>
      <w:r w:rsidR="009D0989">
        <w:rPr>
          <w:snapToGrid w:val="0"/>
        </w:rPr>
        <w:t xml:space="preserve">The SMC </w:t>
      </w:r>
      <w:r w:rsidR="005B7978">
        <w:rPr>
          <w:snapToGrid w:val="0"/>
        </w:rPr>
        <w:t>provision</w:t>
      </w:r>
      <w:r w:rsidR="009D0989">
        <w:rPr>
          <w:snapToGrid w:val="0"/>
        </w:rPr>
        <w:t xml:space="preserve"> in 40</w:t>
      </w:r>
      <w:r w:rsidR="008920F0" w:rsidRPr="008920F0">
        <w:rPr>
          <w:snapToGrid w:val="0"/>
        </w:rPr>
        <w:t> </w:t>
      </w:r>
      <w:r w:rsidR="008920F0">
        <w:rPr>
          <w:snapToGrid w:val="0"/>
        </w:rPr>
        <w:t>CFR</w:t>
      </w:r>
      <w:r w:rsidR="008920F0" w:rsidRPr="008920F0">
        <w:rPr>
          <w:snapToGrid w:val="0"/>
        </w:rPr>
        <w:t> </w:t>
      </w:r>
      <w:r w:rsidR="009D0989">
        <w:rPr>
          <w:snapToGrid w:val="0"/>
        </w:rPr>
        <w:t>52.21(i)(5) do</w:t>
      </w:r>
      <w:r w:rsidR="005B7978">
        <w:rPr>
          <w:snapToGrid w:val="0"/>
        </w:rPr>
        <w:t>es</w:t>
      </w:r>
      <w:r w:rsidR="009D0989">
        <w:rPr>
          <w:snapToGrid w:val="0"/>
        </w:rPr>
        <w:t xml:space="preserve"> not </w:t>
      </w:r>
      <w:r w:rsidR="005B7978">
        <w:rPr>
          <w:snapToGrid w:val="0"/>
        </w:rPr>
        <w:t xml:space="preserve">allow for </w:t>
      </w:r>
      <w:r w:rsidR="009D0989">
        <w:rPr>
          <w:snapToGrid w:val="0"/>
        </w:rPr>
        <w:t xml:space="preserve">periodic exceedances of the listed </w:t>
      </w:r>
      <w:r w:rsidR="005B7978">
        <w:rPr>
          <w:snapToGrid w:val="0"/>
        </w:rPr>
        <w:t>threshold.  Therefore, applicants must compare the high, first-high (H1H) modeled impact to a short-term SMC</w:t>
      </w:r>
      <w:r w:rsidR="009D0989">
        <w:rPr>
          <w:snapToGrid w:val="0"/>
        </w:rPr>
        <w:t xml:space="preserve">, </w:t>
      </w:r>
      <w:r w:rsidR="005B7978">
        <w:rPr>
          <w:snapToGrid w:val="0"/>
        </w:rPr>
        <w:t xml:space="preserve">rather a modeled impact that is consistent with the form of the </w:t>
      </w:r>
      <w:r w:rsidR="009D0989">
        <w:rPr>
          <w:snapToGrid w:val="0"/>
        </w:rPr>
        <w:t xml:space="preserve">short-term AAAQS </w:t>
      </w:r>
      <w:r w:rsidR="008920F0">
        <w:rPr>
          <w:snapToGrid w:val="0"/>
        </w:rPr>
        <w:t>or</w:t>
      </w:r>
      <w:r w:rsidR="009D0989">
        <w:rPr>
          <w:snapToGrid w:val="0"/>
        </w:rPr>
        <w:t xml:space="preserve"> increment.  They likewise </w:t>
      </w:r>
      <w:r w:rsidR="005B7978">
        <w:rPr>
          <w:snapToGrid w:val="0"/>
        </w:rPr>
        <w:t xml:space="preserve">must compare the highest annual impact to an annual SMC, rather than the multi-year average of the annual impact. </w:t>
      </w:r>
      <w:r w:rsidR="009D0989">
        <w:rPr>
          <w:snapToGrid w:val="0"/>
        </w:rPr>
        <w:t xml:space="preserve"> </w:t>
      </w:r>
    </w:p>
    <w:p w14:paraId="54271466" w14:textId="71F5C012" w:rsidR="00BE099C" w:rsidRDefault="00BE099C" w:rsidP="00B10CF3">
      <w:pPr>
        <w:pStyle w:val="CheckReminder"/>
      </w:pPr>
      <w:r>
        <w:t xml:space="preserve">Be certain that all </w:t>
      </w:r>
      <w:r w:rsidR="00AE7756">
        <w:t>EU</w:t>
      </w:r>
      <w:r>
        <w:t xml:space="preserve">s associated with the PSD project are included in the </w:t>
      </w:r>
      <w:r w:rsidR="005B7978">
        <w:t xml:space="preserve">SMC </w:t>
      </w:r>
      <w:r>
        <w:t xml:space="preserve">analysis.  </w:t>
      </w:r>
    </w:p>
    <w:p w14:paraId="57591A95" w14:textId="0514720A" w:rsidR="005B7978" w:rsidRDefault="005B7978" w:rsidP="005B7978">
      <w:pPr>
        <w:pStyle w:val="CheckReminder"/>
      </w:pPr>
      <w:r>
        <w:t xml:space="preserve">Be certain that the applicant </w:t>
      </w:r>
      <w:proofErr w:type="gramStart"/>
      <w:r>
        <w:t>is comparing</w:t>
      </w:r>
      <w:proofErr w:type="gramEnd"/>
      <w:r>
        <w:t xml:space="preserve"> the H1H impact to the short-term SMCs, rather than a ranked value</w:t>
      </w:r>
      <w:r w:rsidR="00520240">
        <w:t xml:space="preserve"> (</w:t>
      </w:r>
      <w:r>
        <w:t xml:space="preserve">e.g., the high second-high </w:t>
      </w:r>
      <w:r w:rsidR="00520240">
        <w:t>impact)</w:t>
      </w:r>
      <w:r>
        <w:t>.</w:t>
      </w:r>
    </w:p>
    <w:p w14:paraId="6DA20B19" w14:textId="77777777" w:rsidR="00BE099C" w:rsidRPr="00E25D9E" w:rsidRDefault="00E25D9E" w:rsidP="00E25D9E">
      <w:pPr>
        <w:spacing w:after="0"/>
        <w:rPr>
          <w:snapToGrid w:val="0"/>
        </w:rPr>
      </w:pPr>
      <w:r>
        <w:br w:type="page"/>
      </w:r>
    </w:p>
    <w:p w14:paraId="7C90A900" w14:textId="77777777" w:rsidR="00E25D9E" w:rsidRDefault="00E25D9E" w:rsidP="00E25D9E">
      <w:pPr>
        <w:spacing w:after="0"/>
      </w:pPr>
    </w:p>
    <w:p w14:paraId="54B06CFE" w14:textId="77777777" w:rsidR="00E25D9E" w:rsidRDefault="00E25D9E" w:rsidP="00E25D9E">
      <w:pPr>
        <w:spacing w:after="0"/>
      </w:pPr>
    </w:p>
    <w:p w14:paraId="0F524031" w14:textId="77777777" w:rsidR="00E25D9E" w:rsidRDefault="00E25D9E" w:rsidP="00E25D9E">
      <w:pPr>
        <w:spacing w:after="0"/>
      </w:pPr>
    </w:p>
    <w:p w14:paraId="61754B33" w14:textId="77777777" w:rsidR="00E25D9E" w:rsidRDefault="00E25D9E" w:rsidP="00E25D9E">
      <w:pPr>
        <w:spacing w:after="0"/>
      </w:pPr>
    </w:p>
    <w:p w14:paraId="6BD2D497" w14:textId="77777777" w:rsidR="00E25D9E" w:rsidRDefault="00E25D9E" w:rsidP="00E25D9E">
      <w:pPr>
        <w:spacing w:after="0"/>
      </w:pPr>
    </w:p>
    <w:p w14:paraId="1232A8BB" w14:textId="77777777" w:rsidR="00E25D9E" w:rsidRDefault="00E25D9E" w:rsidP="00E25D9E">
      <w:pPr>
        <w:spacing w:after="0"/>
      </w:pPr>
    </w:p>
    <w:p w14:paraId="3C7FDBC9" w14:textId="77777777" w:rsidR="00E25D9E" w:rsidRDefault="00E25D9E" w:rsidP="00E25D9E">
      <w:pPr>
        <w:spacing w:after="0"/>
      </w:pPr>
    </w:p>
    <w:p w14:paraId="101F7D4C" w14:textId="77777777" w:rsidR="00E25D9E" w:rsidRDefault="00E25D9E" w:rsidP="00E25D9E">
      <w:pPr>
        <w:spacing w:after="0"/>
      </w:pPr>
    </w:p>
    <w:p w14:paraId="231686D5" w14:textId="77777777" w:rsidR="00E25D9E" w:rsidRDefault="00E25D9E" w:rsidP="00E25D9E">
      <w:pPr>
        <w:spacing w:after="0"/>
      </w:pPr>
    </w:p>
    <w:p w14:paraId="323F5207" w14:textId="77777777" w:rsidR="00E25D9E" w:rsidRDefault="00E25D9E" w:rsidP="00E25D9E">
      <w:pPr>
        <w:spacing w:after="0"/>
      </w:pPr>
    </w:p>
    <w:p w14:paraId="423A964F" w14:textId="77777777" w:rsidR="00E25D9E" w:rsidRDefault="00E25D9E" w:rsidP="00E25D9E">
      <w:pPr>
        <w:spacing w:after="0"/>
      </w:pPr>
    </w:p>
    <w:p w14:paraId="5CA51E47" w14:textId="77777777" w:rsidR="00E25D9E" w:rsidRDefault="00E25D9E" w:rsidP="00E25D9E">
      <w:pPr>
        <w:spacing w:after="0"/>
        <w:jc w:val="center"/>
      </w:pPr>
      <w:r>
        <w:rPr>
          <w:snapToGrid w:val="0"/>
        </w:rPr>
        <w:t>(This page intentionally left blank)</w:t>
      </w:r>
    </w:p>
    <w:p w14:paraId="458771DE" w14:textId="77777777" w:rsidR="00E25D9E" w:rsidRDefault="001F2B66" w:rsidP="00E25D9E">
      <w:pPr>
        <w:spacing w:after="0"/>
      </w:pPr>
      <w:r>
        <w:br w:type="page"/>
      </w:r>
    </w:p>
    <w:p w14:paraId="782836F3" w14:textId="77777777" w:rsidR="001F2B66" w:rsidRDefault="00AD5C0A" w:rsidP="000958CC">
      <w:pPr>
        <w:pStyle w:val="Heading2"/>
        <w:rPr>
          <w:snapToGrid w:val="0"/>
        </w:rPr>
      </w:pPr>
      <w:bookmarkStart w:id="97" w:name="ModelSelection"/>
      <w:r>
        <w:rPr>
          <w:snapToGrid w:val="0"/>
        </w:rPr>
        <w:lastRenderedPageBreak/>
        <w:tab/>
      </w:r>
      <w:bookmarkStart w:id="98" w:name="_Toc526778240"/>
      <w:r w:rsidR="001F2B66">
        <w:rPr>
          <w:snapToGrid w:val="0"/>
        </w:rPr>
        <w:t>Model Selection</w:t>
      </w:r>
      <w:bookmarkEnd w:id="98"/>
    </w:p>
    <w:bookmarkEnd w:id="97"/>
    <w:p w14:paraId="39D0F84C" w14:textId="65D01909" w:rsidR="001F2B66" w:rsidRDefault="001F2B66" w:rsidP="001F2B66">
      <w:pPr>
        <w:rPr>
          <w:snapToGrid w:val="0"/>
        </w:rPr>
      </w:pPr>
      <w:r>
        <w:rPr>
          <w:snapToGrid w:val="0"/>
        </w:rPr>
        <w:t xml:space="preserve">It is important to match the level of model sophistication to the scope of the proposed project, to effectively use resources.  For example, modeling the </w:t>
      </w:r>
      <w:proofErr w:type="gramStart"/>
      <w:r>
        <w:rPr>
          <w:snapToGrid w:val="0"/>
        </w:rPr>
        <w:t>ambient</w:t>
      </w:r>
      <w:proofErr w:type="gramEnd"/>
      <w:r>
        <w:rPr>
          <w:snapToGrid w:val="0"/>
        </w:rPr>
        <w:t xml:space="preserve"> impacts of an isolated 1</w:t>
      </w:r>
      <w:r w:rsidR="00AF2B9D">
        <w:rPr>
          <w:snapToGrid w:val="0"/>
        </w:rPr>
        <w:t>,</w:t>
      </w:r>
      <w:r>
        <w:rPr>
          <w:snapToGrid w:val="0"/>
        </w:rPr>
        <w:t>000</w:t>
      </w:r>
      <w:r w:rsidR="003B20BB">
        <w:rPr>
          <w:snapToGrid w:val="0"/>
        </w:rPr>
        <w:t xml:space="preserve"> </w:t>
      </w:r>
      <w:r w:rsidR="00401ED4">
        <w:rPr>
          <w:snapToGrid w:val="0"/>
        </w:rPr>
        <w:t xml:space="preserve">brake </w:t>
      </w:r>
      <w:r w:rsidR="003B20BB">
        <w:rPr>
          <w:snapToGrid w:val="0"/>
        </w:rPr>
        <w:t>horsepower (</w:t>
      </w:r>
      <w:r w:rsidR="00401ED4">
        <w:rPr>
          <w:snapToGrid w:val="0"/>
        </w:rPr>
        <w:t>b</w:t>
      </w:r>
      <w:r w:rsidR="003B20BB">
        <w:rPr>
          <w:snapToGrid w:val="0"/>
        </w:rPr>
        <w:t>hp)</w:t>
      </w:r>
      <w:r>
        <w:rPr>
          <w:snapToGrid w:val="0"/>
        </w:rPr>
        <w:t xml:space="preserve"> engine may only require a screening analysis to confirm impacts are less than </w:t>
      </w:r>
      <w:r w:rsidR="005A094B">
        <w:rPr>
          <w:snapToGrid w:val="0"/>
        </w:rPr>
        <w:t xml:space="preserve">the triggered </w:t>
      </w:r>
      <w:r>
        <w:rPr>
          <w:snapToGrid w:val="0"/>
        </w:rPr>
        <w:t>AAAQS</w:t>
      </w:r>
      <w:r w:rsidR="005A094B">
        <w:rPr>
          <w:snapToGrid w:val="0"/>
        </w:rPr>
        <w:t>/</w:t>
      </w:r>
      <w:r>
        <w:rPr>
          <w:snapToGrid w:val="0"/>
        </w:rPr>
        <w:t xml:space="preserve">PSD increments.  Conversely, modeling of more complex facilities such as a power generation facility or refinery located near other sources will likely require more refined approaches, such as AERMOD.  </w:t>
      </w:r>
    </w:p>
    <w:p w14:paraId="20D2445E" w14:textId="4DD4F66D" w:rsidR="001F2B66" w:rsidRDefault="001F2B66" w:rsidP="001F2B66">
      <w:pPr>
        <w:rPr>
          <w:snapToGrid w:val="0"/>
        </w:rPr>
      </w:pPr>
      <w:r>
        <w:rPr>
          <w:snapToGrid w:val="0"/>
        </w:rPr>
        <w:t xml:space="preserve">Models are often best suited for </w:t>
      </w:r>
      <w:proofErr w:type="gramStart"/>
      <w:r>
        <w:rPr>
          <w:snapToGrid w:val="0"/>
        </w:rPr>
        <w:t>particular scales</w:t>
      </w:r>
      <w:proofErr w:type="gramEnd"/>
      <w:r>
        <w:rPr>
          <w:snapToGrid w:val="0"/>
        </w:rPr>
        <w:t xml:space="preserve"> of motions.  This can range from microscale motions to global models.  Regulatory dispersion models are typically applied at two scales of motion: </w:t>
      </w:r>
      <w:proofErr w:type="gramStart"/>
      <w:r>
        <w:rPr>
          <w:snapToGrid w:val="0"/>
        </w:rPr>
        <w:t>near-field</w:t>
      </w:r>
      <w:proofErr w:type="gramEnd"/>
      <w:r>
        <w:rPr>
          <w:snapToGrid w:val="0"/>
        </w:rPr>
        <w:t xml:space="preserve"> and long-range transport.  Near-field models are designed to assess impacts from 10 meters </w:t>
      </w:r>
      <w:r w:rsidR="000046FF">
        <w:rPr>
          <w:snapToGrid w:val="0"/>
        </w:rPr>
        <w:t xml:space="preserve">(m) </w:t>
      </w:r>
      <w:r>
        <w:rPr>
          <w:snapToGrid w:val="0"/>
        </w:rPr>
        <w:t xml:space="preserve">to 50 </w:t>
      </w:r>
      <w:r w:rsidR="000046FF">
        <w:rPr>
          <w:snapToGrid w:val="0"/>
        </w:rPr>
        <w:t>km</w:t>
      </w:r>
      <w:r>
        <w:rPr>
          <w:snapToGrid w:val="0"/>
        </w:rPr>
        <w:t xml:space="preserve">, as the dispersion algorithms and model evaluations have been conducted for these distances.  Common near-field </w:t>
      </w:r>
      <w:r w:rsidR="00BB263B">
        <w:rPr>
          <w:snapToGrid w:val="0"/>
        </w:rPr>
        <w:t xml:space="preserve">dispersion </w:t>
      </w:r>
      <w:r>
        <w:rPr>
          <w:snapToGrid w:val="0"/>
        </w:rPr>
        <w:t xml:space="preserve">models include </w:t>
      </w:r>
      <w:r w:rsidR="003D0BFA" w:rsidRPr="003D0BFA">
        <w:rPr>
          <w:snapToGrid w:val="0"/>
        </w:rPr>
        <w:t>AERSCREEN</w:t>
      </w:r>
      <w:r>
        <w:rPr>
          <w:snapToGrid w:val="0"/>
        </w:rPr>
        <w:t xml:space="preserve">, </w:t>
      </w:r>
      <w:r w:rsidRPr="003D0BFA">
        <w:rPr>
          <w:snapToGrid w:val="0"/>
        </w:rPr>
        <w:t>AERMOD</w:t>
      </w:r>
      <w:r>
        <w:rPr>
          <w:snapToGrid w:val="0"/>
        </w:rPr>
        <w:t xml:space="preserve">, </w:t>
      </w:r>
      <w:r w:rsidR="00BB263B">
        <w:rPr>
          <w:snapToGrid w:val="0"/>
        </w:rPr>
        <w:t xml:space="preserve">and </w:t>
      </w:r>
      <w:r w:rsidRPr="003D0BFA">
        <w:rPr>
          <w:snapToGrid w:val="0"/>
        </w:rPr>
        <w:t>OCD</w:t>
      </w:r>
      <w:r w:rsidR="00BB263B">
        <w:rPr>
          <w:snapToGrid w:val="0"/>
        </w:rPr>
        <w:t xml:space="preserve">.  The commonly used near-field plume blight model is </w:t>
      </w:r>
      <w:r w:rsidRPr="003D0BFA">
        <w:rPr>
          <w:snapToGrid w:val="0"/>
        </w:rPr>
        <w:t>VISCREEN</w:t>
      </w:r>
      <w:r>
        <w:rPr>
          <w:snapToGrid w:val="0"/>
        </w:rPr>
        <w:t xml:space="preserve">.  Long-range transport models are designed to assess impacts between 50 and a few hundred kilometers. They are most often used in Class I area impact assessments.  </w:t>
      </w:r>
      <w:r w:rsidRPr="003D0BFA">
        <w:rPr>
          <w:snapToGrid w:val="0"/>
        </w:rPr>
        <w:t>CALPUFF</w:t>
      </w:r>
      <w:r>
        <w:rPr>
          <w:snapToGrid w:val="0"/>
        </w:rPr>
        <w:t xml:space="preserve"> </w:t>
      </w:r>
      <w:r w:rsidR="003D0BFA">
        <w:rPr>
          <w:snapToGrid w:val="0"/>
        </w:rPr>
        <w:t>was</w:t>
      </w:r>
      <w:r w:rsidR="00F81B2E">
        <w:rPr>
          <w:snapToGrid w:val="0"/>
        </w:rPr>
        <w:t xml:space="preserve"> </w:t>
      </w:r>
      <w:r>
        <w:rPr>
          <w:snapToGrid w:val="0"/>
        </w:rPr>
        <w:t>the preferred long-range transport model</w:t>
      </w:r>
      <w:r w:rsidR="003D0BFA">
        <w:rPr>
          <w:snapToGrid w:val="0"/>
        </w:rPr>
        <w:t xml:space="preserve">, but it was downgraded to a screening technique in EPA’s </w:t>
      </w:r>
      <w:r w:rsidR="004D4CBB">
        <w:rPr>
          <w:snapToGrid w:val="0"/>
        </w:rPr>
        <w:t>2016</w:t>
      </w:r>
      <w:r w:rsidR="003D0BFA">
        <w:rPr>
          <w:snapToGrid w:val="0"/>
        </w:rPr>
        <w:t xml:space="preserve"> revision to the </w:t>
      </w:r>
      <w:r w:rsidR="003D0BFA" w:rsidRPr="00196955">
        <w:rPr>
          <w:snapToGrid w:val="0"/>
        </w:rPr>
        <w:t>Guideline</w:t>
      </w:r>
      <w:r>
        <w:rPr>
          <w:snapToGrid w:val="0"/>
        </w:rPr>
        <w:t>.</w:t>
      </w:r>
    </w:p>
    <w:p w14:paraId="3D958BF0" w14:textId="77777777" w:rsidR="001F2B66" w:rsidRPr="005A6FAB" w:rsidRDefault="00AD5C0A" w:rsidP="001F2B66">
      <w:pPr>
        <w:pStyle w:val="Heading3"/>
      </w:pPr>
      <w:bookmarkStart w:id="99" w:name="_Toc43521202"/>
      <w:r>
        <w:tab/>
      </w:r>
      <w:bookmarkStart w:id="100" w:name="_Toc526778241"/>
      <w:r w:rsidR="001F2B66" w:rsidRPr="005A6FAB">
        <w:t>Model Setup and Use of Regulatory Default Options</w:t>
      </w:r>
      <w:bookmarkEnd w:id="99"/>
      <w:bookmarkEnd w:id="100"/>
    </w:p>
    <w:p w14:paraId="2D263C19" w14:textId="77777777" w:rsidR="001F2B66" w:rsidRDefault="001F2B66" w:rsidP="001F2B66">
      <w:pPr>
        <w:rPr>
          <w:snapToGrid w:val="0"/>
        </w:rPr>
      </w:pPr>
      <w:r>
        <w:rPr>
          <w:snapToGrid w:val="0"/>
        </w:rPr>
        <w:t xml:space="preserve">Model setup and selection of “regulatory default model options” are specific to the individual model being used.  Some models allow the user to select a “regulatory default option” switch, which then selects a suite of options typically preferred by regulatory agencies.  </w:t>
      </w:r>
    </w:p>
    <w:p w14:paraId="2EDC509E" w14:textId="77777777" w:rsidR="001F2B66" w:rsidRDefault="001F2B66" w:rsidP="001F2B66">
      <w:pPr>
        <w:rPr>
          <w:snapToGrid w:val="0"/>
        </w:rPr>
      </w:pPr>
      <w:r>
        <w:rPr>
          <w:snapToGrid w:val="0"/>
        </w:rPr>
        <w:t>When the MODELOPT keyword is selected in AERMOD, the model implements the following default options:</w:t>
      </w:r>
    </w:p>
    <w:p w14:paraId="550D8674" w14:textId="77777777" w:rsidR="001F2B66" w:rsidRDefault="001F2B66" w:rsidP="00407F48">
      <w:pPr>
        <w:numPr>
          <w:ilvl w:val="0"/>
          <w:numId w:val="1"/>
        </w:numPr>
        <w:tabs>
          <w:tab w:val="clear" w:pos="360"/>
          <w:tab w:val="num" w:pos="720"/>
        </w:tabs>
        <w:spacing w:before="120" w:after="120"/>
        <w:ind w:left="720"/>
        <w:rPr>
          <w:snapToGrid w:val="0"/>
        </w:rPr>
      </w:pPr>
      <w:r>
        <w:rPr>
          <w:snapToGrid w:val="0"/>
        </w:rPr>
        <w:t>elevated terrain algorithm</w:t>
      </w:r>
    </w:p>
    <w:p w14:paraId="02EBEDCE" w14:textId="77777777" w:rsidR="001F2B66" w:rsidRDefault="001F2B66" w:rsidP="00407F48">
      <w:pPr>
        <w:numPr>
          <w:ilvl w:val="0"/>
          <w:numId w:val="1"/>
        </w:numPr>
        <w:tabs>
          <w:tab w:val="clear" w:pos="360"/>
          <w:tab w:val="num" w:pos="720"/>
        </w:tabs>
        <w:spacing w:before="120" w:after="120"/>
        <w:ind w:left="720"/>
        <w:rPr>
          <w:snapToGrid w:val="0"/>
        </w:rPr>
      </w:pPr>
      <w:r>
        <w:rPr>
          <w:snapToGrid w:val="0"/>
        </w:rPr>
        <w:t>stack-tip downwash (except in building downwash situations)</w:t>
      </w:r>
    </w:p>
    <w:p w14:paraId="300EAD43" w14:textId="77777777" w:rsidR="001F2B66" w:rsidRDefault="001F2B66" w:rsidP="00407F48">
      <w:pPr>
        <w:numPr>
          <w:ilvl w:val="0"/>
          <w:numId w:val="1"/>
        </w:numPr>
        <w:tabs>
          <w:tab w:val="clear" w:pos="360"/>
          <w:tab w:val="num" w:pos="720"/>
        </w:tabs>
        <w:spacing w:before="120" w:after="120"/>
        <w:ind w:left="720"/>
        <w:rPr>
          <w:snapToGrid w:val="0"/>
        </w:rPr>
      </w:pPr>
      <w:r>
        <w:rPr>
          <w:snapToGrid w:val="0"/>
        </w:rPr>
        <w:t>the calm processing routines</w:t>
      </w:r>
    </w:p>
    <w:p w14:paraId="3E19AA60" w14:textId="77777777" w:rsidR="001F2B66" w:rsidRDefault="001F2B66" w:rsidP="00407F48">
      <w:pPr>
        <w:numPr>
          <w:ilvl w:val="0"/>
          <w:numId w:val="1"/>
        </w:numPr>
        <w:tabs>
          <w:tab w:val="clear" w:pos="360"/>
          <w:tab w:val="num" w:pos="720"/>
        </w:tabs>
        <w:spacing w:before="120" w:after="120"/>
        <w:ind w:left="720"/>
        <w:rPr>
          <w:snapToGrid w:val="0"/>
        </w:rPr>
      </w:pPr>
      <w:r>
        <w:rPr>
          <w:snapToGrid w:val="0"/>
        </w:rPr>
        <w:t>the missing data routines</w:t>
      </w:r>
    </w:p>
    <w:p w14:paraId="79A9F6D8" w14:textId="77777777" w:rsidR="001F2B66" w:rsidRDefault="001F2B66" w:rsidP="00407F48">
      <w:pPr>
        <w:numPr>
          <w:ilvl w:val="0"/>
          <w:numId w:val="1"/>
        </w:numPr>
        <w:tabs>
          <w:tab w:val="clear" w:pos="360"/>
          <w:tab w:val="num" w:pos="720"/>
        </w:tabs>
        <w:spacing w:before="120" w:after="120"/>
        <w:ind w:left="720"/>
        <w:rPr>
          <w:snapToGrid w:val="0"/>
        </w:rPr>
      </w:pPr>
      <w:r>
        <w:rPr>
          <w:snapToGrid w:val="0"/>
        </w:rPr>
        <w:t>a four-hour half-life routine for determining SO</w:t>
      </w:r>
      <w:r>
        <w:rPr>
          <w:snapToGrid w:val="0"/>
          <w:vertAlign w:val="subscript"/>
        </w:rPr>
        <w:t>2</w:t>
      </w:r>
      <w:r>
        <w:rPr>
          <w:snapToGrid w:val="0"/>
        </w:rPr>
        <w:t xml:space="preserve"> concentration for urban sources.</w:t>
      </w:r>
    </w:p>
    <w:p w14:paraId="086FB1BC" w14:textId="7E1E6BAB" w:rsidR="001F2B66" w:rsidRDefault="001F2B66" w:rsidP="001F2B66">
      <w:pPr>
        <w:rPr>
          <w:snapToGrid w:val="0"/>
        </w:rPr>
      </w:pPr>
      <w:r>
        <w:rPr>
          <w:snapToGrid w:val="0"/>
        </w:rPr>
        <w:t xml:space="preserve">The number of options available to the user in AERMOD is extensive </w:t>
      </w:r>
      <w:r w:rsidR="00EF519F">
        <w:rPr>
          <w:snapToGrid w:val="0"/>
        </w:rPr>
        <w:t xml:space="preserve">– see </w:t>
      </w:r>
      <w:r>
        <w:rPr>
          <w:snapToGrid w:val="0"/>
        </w:rPr>
        <w:t xml:space="preserve">the </w:t>
      </w:r>
      <w:hyperlink r:id="rId68" w:history="1">
        <w:r w:rsidR="003C0482" w:rsidRPr="00EF519F">
          <w:rPr>
            <w:rStyle w:val="Hyperlink"/>
            <w:snapToGrid w:val="0"/>
          </w:rPr>
          <w:t>AERMOD User’s Guide</w:t>
        </w:r>
      </w:hyperlink>
      <w:r w:rsidR="00EF519F">
        <w:rPr>
          <w:snapToGrid w:val="0"/>
        </w:rPr>
        <w:t xml:space="preserve"> for additional details</w:t>
      </w:r>
      <w:r>
        <w:rPr>
          <w:snapToGrid w:val="0"/>
        </w:rPr>
        <w:t>.</w:t>
      </w:r>
      <w:r w:rsidR="00AC56F0">
        <w:rPr>
          <w:rStyle w:val="FootnoteReference"/>
        </w:rPr>
        <w:footnoteReference w:id="32"/>
      </w:r>
      <w:r>
        <w:rPr>
          <w:snapToGrid w:val="0"/>
        </w:rPr>
        <w:t xml:space="preserve">  </w:t>
      </w:r>
    </w:p>
    <w:p w14:paraId="4002371D" w14:textId="77777777" w:rsidR="001F2B66" w:rsidRDefault="00AD5C0A" w:rsidP="001F2B66">
      <w:pPr>
        <w:pStyle w:val="Heading3"/>
        <w:rPr>
          <w:snapToGrid w:val="0"/>
        </w:rPr>
      </w:pPr>
      <w:bookmarkStart w:id="101" w:name="_Toc43521206"/>
      <w:r>
        <w:rPr>
          <w:snapToGrid w:val="0"/>
        </w:rPr>
        <w:tab/>
      </w:r>
      <w:bookmarkStart w:id="102" w:name="_Toc526778242"/>
      <w:r w:rsidR="001F2B66">
        <w:rPr>
          <w:snapToGrid w:val="0"/>
        </w:rPr>
        <w:t>Selection of Dispersion Coefficients</w:t>
      </w:r>
      <w:bookmarkEnd w:id="101"/>
      <w:r w:rsidR="001F2B66">
        <w:rPr>
          <w:snapToGrid w:val="0"/>
        </w:rPr>
        <w:t xml:space="preserve"> (urban/rural)</w:t>
      </w:r>
      <w:bookmarkEnd w:id="102"/>
    </w:p>
    <w:p w14:paraId="300927C1" w14:textId="77777777" w:rsidR="001F2B66" w:rsidRDefault="001F2B66" w:rsidP="001F2B66">
      <w:pPr>
        <w:rPr>
          <w:snapToGrid w:val="0"/>
        </w:rPr>
      </w:pPr>
      <w:r>
        <w:rPr>
          <w:snapToGrid w:val="0"/>
        </w:rPr>
        <w:t xml:space="preserve">With the promulgation of AERMOD and introduction of AERSCREEN, selection on whether to use the rural or urban dispersion coefficients is no longer required.  OCD and </w:t>
      </w:r>
      <w:r>
        <w:rPr>
          <w:snapToGrid w:val="0"/>
        </w:rPr>
        <w:lastRenderedPageBreak/>
        <w:t>AERMOD use surface characteristics that are a function of land use classification and do not require the specification of “rural versus urban” characteristics.  AERMOD does include the URBANOPT modeling option (CO pathway) to identify urban areas that may be affected by increased surface heating on dispersion under stable conditions.</w:t>
      </w:r>
    </w:p>
    <w:p w14:paraId="6A46F73E" w14:textId="77777777" w:rsidR="001F2B66" w:rsidRDefault="001F2B66" w:rsidP="000E33EA">
      <w:pPr>
        <w:pStyle w:val="BodyTextIndent2"/>
        <w:spacing w:after="120"/>
        <w:rPr>
          <w:snapToGrid w:val="0"/>
        </w:rPr>
      </w:pPr>
      <w:r>
        <w:rPr>
          <w:snapToGrid w:val="0"/>
        </w:rPr>
        <w:t>Key point:</w:t>
      </w:r>
    </w:p>
    <w:p w14:paraId="3F880773" w14:textId="77777777" w:rsidR="001F2B66" w:rsidRDefault="001F2B66" w:rsidP="001F2B66">
      <w:pPr>
        <w:spacing w:before="120"/>
        <w:ind w:left="720"/>
        <w:rPr>
          <w:i/>
          <w:snapToGrid w:val="0"/>
        </w:rPr>
      </w:pPr>
      <w:proofErr w:type="gramStart"/>
      <w:r>
        <w:rPr>
          <w:i/>
          <w:snapToGrid w:val="0"/>
        </w:rPr>
        <w:t>With the exception of</w:t>
      </w:r>
      <w:proofErr w:type="gramEnd"/>
      <w:r>
        <w:rPr>
          <w:i/>
          <w:snapToGrid w:val="0"/>
        </w:rPr>
        <w:t xml:space="preserve"> certain parts of Anchorage, the applicant should not use the URBANOPT keyword for Alaska regulatory modeling analyses.  </w:t>
      </w:r>
    </w:p>
    <w:p w14:paraId="60929F44" w14:textId="77777777" w:rsidR="001F2B66" w:rsidRDefault="001F2B66" w:rsidP="001F2B66">
      <w:pPr>
        <w:rPr>
          <w:snapToGrid w:val="0"/>
        </w:rPr>
      </w:pPr>
      <w:r>
        <w:rPr>
          <w:snapToGrid w:val="0"/>
        </w:rPr>
        <w:t>A more rigorous demonstration using the Auer</w:t>
      </w:r>
      <w:r>
        <w:rPr>
          <w:rStyle w:val="FootnoteReference"/>
          <w:snapToGrid w:val="0"/>
        </w:rPr>
        <w:footnoteReference w:id="33"/>
      </w:r>
      <w:r>
        <w:rPr>
          <w:snapToGrid w:val="0"/>
        </w:rPr>
        <w:t xml:space="preserve"> </w:t>
      </w:r>
      <w:r w:rsidR="00C72534">
        <w:rPr>
          <w:snapToGrid w:val="0"/>
        </w:rPr>
        <w:t>l</w:t>
      </w:r>
      <w:r w:rsidR="009E62D0">
        <w:rPr>
          <w:snapToGrid w:val="0"/>
        </w:rPr>
        <w:t xml:space="preserve">and </w:t>
      </w:r>
      <w:r w:rsidR="00C72534">
        <w:rPr>
          <w:snapToGrid w:val="0"/>
        </w:rPr>
        <w:t>u</w:t>
      </w:r>
      <w:r w:rsidR="009E62D0">
        <w:rPr>
          <w:snapToGrid w:val="0"/>
        </w:rPr>
        <w:t xml:space="preserve">se analysis </w:t>
      </w:r>
      <w:r>
        <w:rPr>
          <w:snapToGrid w:val="0"/>
        </w:rPr>
        <w:t>is not required, except possibly for analyses in the greater Anchorage area.</w:t>
      </w:r>
    </w:p>
    <w:p w14:paraId="73F4E165" w14:textId="77777777" w:rsidR="001F2B66" w:rsidRDefault="00AD5C0A" w:rsidP="001F2B66">
      <w:pPr>
        <w:pStyle w:val="Heading3"/>
        <w:rPr>
          <w:snapToGrid w:val="0"/>
        </w:rPr>
      </w:pPr>
      <w:bookmarkStart w:id="103" w:name="_Toc43521205"/>
      <w:r>
        <w:rPr>
          <w:snapToGrid w:val="0"/>
        </w:rPr>
        <w:tab/>
      </w:r>
      <w:bookmarkStart w:id="104" w:name="_Toc526778243"/>
      <w:r w:rsidR="001F2B66">
        <w:rPr>
          <w:snapToGrid w:val="0"/>
        </w:rPr>
        <w:t>Averaging Periods</w:t>
      </w:r>
      <w:bookmarkEnd w:id="103"/>
      <w:bookmarkEnd w:id="104"/>
    </w:p>
    <w:p w14:paraId="1477DCE6" w14:textId="7C935BA8" w:rsidR="001F2B66" w:rsidRDefault="0038251B" w:rsidP="001F2B66">
      <w:pPr>
        <w:rPr>
          <w:snapToGrid w:val="0"/>
        </w:rPr>
      </w:pPr>
      <w:r>
        <w:rPr>
          <w:snapToGrid w:val="0"/>
        </w:rPr>
        <w:t xml:space="preserve">Applicants typically need to model </w:t>
      </w:r>
      <w:r w:rsidR="00E5780C">
        <w:rPr>
          <w:snapToGrid w:val="0"/>
        </w:rPr>
        <w:t xml:space="preserve">each </w:t>
      </w:r>
      <w:r>
        <w:rPr>
          <w:snapToGrid w:val="0"/>
        </w:rPr>
        <w:t xml:space="preserve">averaging period associated with the </w:t>
      </w:r>
      <w:r w:rsidR="00E5780C">
        <w:rPr>
          <w:snapToGrid w:val="0"/>
        </w:rPr>
        <w:t xml:space="preserve">AAAQS/increment for the </w:t>
      </w:r>
      <w:r>
        <w:rPr>
          <w:snapToGrid w:val="0"/>
        </w:rPr>
        <w:t>triggered pollutant</w:t>
      </w:r>
      <w:r w:rsidR="00E5780C">
        <w:rPr>
          <w:snapToGrid w:val="0"/>
        </w:rPr>
        <w:t xml:space="preserve">, unless otherwise </w:t>
      </w:r>
      <w:r w:rsidR="00BE355E">
        <w:rPr>
          <w:snapToGrid w:val="0"/>
        </w:rPr>
        <w:t xml:space="preserve">noted </w:t>
      </w:r>
      <w:r w:rsidR="00E5780C">
        <w:rPr>
          <w:snapToGrid w:val="0"/>
        </w:rPr>
        <w:t>in our regulation</w:t>
      </w:r>
      <w:r w:rsidR="00BE355E">
        <w:rPr>
          <w:snapToGrid w:val="0"/>
        </w:rPr>
        <w:t>s</w:t>
      </w:r>
      <w:r w:rsidR="00E5780C">
        <w:rPr>
          <w:snapToGrid w:val="0"/>
        </w:rPr>
        <w:t xml:space="preserve">. </w:t>
      </w:r>
      <w:r>
        <w:rPr>
          <w:snapToGrid w:val="0"/>
        </w:rPr>
        <w:t xml:space="preserve"> </w:t>
      </w:r>
      <w:r w:rsidR="001F2B66">
        <w:rPr>
          <w:snapToGrid w:val="0"/>
        </w:rPr>
        <w:t xml:space="preserve">For example, if </w:t>
      </w:r>
      <w:r w:rsidR="00E5780C">
        <w:rPr>
          <w:snapToGrid w:val="0"/>
        </w:rPr>
        <w:t xml:space="preserve">the application triggers the modeling requirements for </w:t>
      </w:r>
      <w:r w:rsidR="001F2B66">
        <w:rPr>
          <w:snapToGrid w:val="0"/>
        </w:rPr>
        <w:t>SO</w:t>
      </w:r>
      <w:r w:rsidR="001F2B66">
        <w:rPr>
          <w:snapToGrid w:val="0"/>
          <w:vertAlign w:val="subscript"/>
        </w:rPr>
        <w:t>2</w:t>
      </w:r>
      <w:r w:rsidR="00E5780C">
        <w:rPr>
          <w:snapToGrid w:val="0"/>
        </w:rPr>
        <w:t>,</w:t>
      </w:r>
      <w:r w:rsidR="001F2B66">
        <w:rPr>
          <w:snapToGrid w:val="0"/>
        </w:rPr>
        <w:t xml:space="preserve"> </w:t>
      </w:r>
      <w:r w:rsidR="00E5780C">
        <w:rPr>
          <w:snapToGrid w:val="0"/>
        </w:rPr>
        <w:t xml:space="preserve">then the applicant would generally need to model </w:t>
      </w:r>
      <w:r w:rsidR="001F2B66">
        <w:rPr>
          <w:snapToGrid w:val="0"/>
        </w:rPr>
        <w:t xml:space="preserve">the </w:t>
      </w:r>
      <w:r w:rsidR="00635772">
        <w:rPr>
          <w:snapToGrid w:val="0"/>
        </w:rPr>
        <w:t>1</w:t>
      </w:r>
      <w:r w:rsidR="00E5780C">
        <w:rPr>
          <w:snapToGrid w:val="0"/>
        </w:rPr>
        <w:t xml:space="preserve">-hour, </w:t>
      </w:r>
      <w:r w:rsidR="00635772">
        <w:rPr>
          <w:snapToGrid w:val="0"/>
        </w:rPr>
        <w:t>3</w:t>
      </w:r>
      <w:r w:rsidR="001F2B66">
        <w:rPr>
          <w:snapToGrid w:val="0"/>
        </w:rPr>
        <w:t>-hour, 24-hour, and annual averag</w:t>
      </w:r>
      <w:r w:rsidR="00E5780C">
        <w:rPr>
          <w:snapToGrid w:val="0"/>
        </w:rPr>
        <w:t xml:space="preserve">e </w:t>
      </w:r>
      <w:r w:rsidR="00E5780C" w:rsidRPr="00E5780C">
        <w:rPr>
          <w:snapToGrid w:val="0"/>
        </w:rPr>
        <w:t>SO</w:t>
      </w:r>
      <w:r w:rsidR="00E5780C" w:rsidRPr="00E5780C">
        <w:rPr>
          <w:snapToGrid w:val="0"/>
          <w:vertAlign w:val="subscript"/>
        </w:rPr>
        <w:t>2</w:t>
      </w:r>
      <w:r w:rsidR="00E5780C">
        <w:rPr>
          <w:snapToGrid w:val="0"/>
        </w:rPr>
        <w:t xml:space="preserve"> impacts</w:t>
      </w:r>
      <w:r w:rsidR="009E62D0">
        <w:rPr>
          <w:snapToGrid w:val="0"/>
        </w:rPr>
        <w:t>.</w:t>
      </w:r>
      <w:r w:rsidR="001F2B66">
        <w:rPr>
          <w:rStyle w:val="FootnoteReference"/>
          <w:snapToGrid w:val="0"/>
        </w:rPr>
        <w:footnoteReference w:id="34"/>
      </w:r>
      <w:r w:rsidR="009E62D0">
        <w:rPr>
          <w:snapToGrid w:val="0"/>
        </w:rPr>
        <w:t xml:space="preserve"> </w:t>
      </w:r>
      <w:r w:rsidR="00BE355E">
        <w:rPr>
          <w:snapToGrid w:val="0"/>
        </w:rPr>
        <w:t xml:space="preserve">On the other hand, </w:t>
      </w:r>
      <w:r w:rsidR="00635772">
        <w:rPr>
          <w:snapToGrid w:val="0"/>
        </w:rPr>
        <w:t>1</w:t>
      </w:r>
      <w:r w:rsidR="00BE355E">
        <w:rPr>
          <w:snapToGrid w:val="0"/>
        </w:rPr>
        <w:t xml:space="preserve">-hour </w:t>
      </w:r>
      <w:r w:rsidR="00BE355E" w:rsidRPr="00BE355E">
        <w:rPr>
          <w:snapToGrid w:val="0"/>
        </w:rPr>
        <w:t>NO</w:t>
      </w:r>
      <w:r w:rsidR="00BE355E" w:rsidRPr="00BE355E">
        <w:rPr>
          <w:snapToGrid w:val="0"/>
          <w:vertAlign w:val="subscript"/>
        </w:rPr>
        <w:t>2</w:t>
      </w:r>
      <w:r w:rsidR="00BE355E">
        <w:rPr>
          <w:snapToGrid w:val="0"/>
        </w:rPr>
        <w:t xml:space="preserve"> modeling is not generally required of minor permit applicants who trigger the </w:t>
      </w:r>
      <w:r w:rsidR="00BE355E" w:rsidRPr="00BE355E">
        <w:rPr>
          <w:snapToGrid w:val="0"/>
        </w:rPr>
        <w:t>NO</w:t>
      </w:r>
      <w:r w:rsidR="00BE355E" w:rsidRPr="00BE355E">
        <w:rPr>
          <w:snapToGrid w:val="0"/>
          <w:vertAlign w:val="subscript"/>
        </w:rPr>
        <w:t>2</w:t>
      </w:r>
      <w:r w:rsidR="00BE355E">
        <w:rPr>
          <w:snapToGrid w:val="0"/>
        </w:rPr>
        <w:t xml:space="preserve"> modeling requirements</w:t>
      </w:r>
      <w:r w:rsidR="007F40E2">
        <w:rPr>
          <w:snapToGrid w:val="0"/>
        </w:rPr>
        <w:t xml:space="preserve"> – per </w:t>
      </w:r>
      <w:hyperlink r:id="rId69" w:history="1">
        <w:r w:rsidR="00635772" w:rsidRPr="00AF0CC3">
          <w:rPr>
            <w:rStyle w:val="Hyperlink"/>
            <w:snapToGrid w:val="0"/>
          </w:rPr>
          <w:t>18</w:t>
        </w:r>
        <w:r w:rsidR="00635772" w:rsidRPr="00AF0CC3">
          <w:rPr>
            <w:rStyle w:val="Hyperlink"/>
          </w:rPr>
          <w:t> </w:t>
        </w:r>
        <w:r w:rsidR="00635772" w:rsidRPr="00AF0CC3">
          <w:rPr>
            <w:rStyle w:val="Hyperlink"/>
            <w:snapToGrid w:val="0"/>
          </w:rPr>
          <w:t>AAC</w:t>
        </w:r>
        <w:r w:rsidR="00635772" w:rsidRPr="00AF0CC3">
          <w:rPr>
            <w:rStyle w:val="Hyperlink"/>
          </w:rPr>
          <w:t> </w:t>
        </w:r>
        <w:r w:rsidR="00A914A5">
          <w:rPr>
            <w:rStyle w:val="Hyperlink"/>
            <w:snapToGrid w:val="0"/>
          </w:rPr>
          <w:t>50.5</w:t>
        </w:r>
        <w:r w:rsidR="00635772" w:rsidRPr="00AF0CC3">
          <w:rPr>
            <w:rStyle w:val="Hyperlink"/>
            <w:snapToGrid w:val="0"/>
          </w:rPr>
          <w:t>40</w:t>
        </w:r>
      </w:hyperlink>
      <w:r w:rsidR="00BE355E">
        <w:rPr>
          <w:snapToGrid w:val="0"/>
        </w:rPr>
        <w:t xml:space="preserve">(l). </w:t>
      </w:r>
    </w:p>
    <w:p w14:paraId="55622B1C" w14:textId="6503A814" w:rsidR="001F2B66" w:rsidRDefault="001F2B66" w:rsidP="00B10CF3">
      <w:pPr>
        <w:pStyle w:val="CheckReminder"/>
      </w:pPr>
      <w:r>
        <w:t xml:space="preserve">Verify that the </w:t>
      </w:r>
      <w:r w:rsidR="007F40E2">
        <w:t xml:space="preserve">applicant modeled the applicable averaging periods for the triggered pollutants.  You will also need to verify that they used the </w:t>
      </w:r>
      <w:r>
        <w:t>appropriate short-term</w:t>
      </w:r>
      <w:r w:rsidR="007F40E2">
        <w:t>/</w:t>
      </w:r>
      <w:r>
        <w:t xml:space="preserve">long-term emission rate for the </w:t>
      </w:r>
      <w:r w:rsidR="007F40E2">
        <w:t xml:space="preserve">given </w:t>
      </w:r>
      <w:r>
        <w:t xml:space="preserve">averaging period.  </w:t>
      </w:r>
    </w:p>
    <w:p w14:paraId="321CBCEC" w14:textId="633B0F0C" w:rsidR="001F2B66" w:rsidRDefault="001F2B66" w:rsidP="001F2B66">
      <w:pPr>
        <w:rPr>
          <w:snapToGrid w:val="0"/>
        </w:rPr>
      </w:pPr>
      <w:r>
        <w:rPr>
          <w:snapToGrid w:val="0"/>
        </w:rPr>
        <w:t xml:space="preserve">Often, separate modeling files are necessary </w:t>
      </w:r>
      <w:r w:rsidR="00D9710E">
        <w:rPr>
          <w:snapToGrid w:val="0"/>
        </w:rPr>
        <w:t>to estimate the impacts from</w:t>
      </w:r>
      <w:r>
        <w:rPr>
          <w:snapToGrid w:val="0"/>
        </w:rPr>
        <w:t xml:space="preserve"> pollutants with different short-term and annual average emission rates.  With the recent </w:t>
      </w:r>
      <w:proofErr w:type="gramStart"/>
      <w:r>
        <w:rPr>
          <w:snapToGrid w:val="0"/>
        </w:rPr>
        <w:t>introduction</w:t>
      </w:r>
      <w:proofErr w:type="gramEnd"/>
      <w:r>
        <w:rPr>
          <w:snapToGrid w:val="0"/>
        </w:rPr>
        <w:t xml:space="preserve"> probabilistic standards (e.g., 98</w:t>
      </w:r>
      <w:r w:rsidRPr="001A040E">
        <w:rPr>
          <w:snapToGrid w:val="0"/>
          <w:vertAlign w:val="superscript"/>
        </w:rPr>
        <w:t>th</w:t>
      </w:r>
      <w:r>
        <w:rPr>
          <w:snapToGrid w:val="0"/>
        </w:rPr>
        <w:t xml:space="preserve"> percentile for the </w:t>
      </w:r>
      <w:r w:rsidR="00AE7A80">
        <w:rPr>
          <w:snapToGrid w:val="0"/>
        </w:rPr>
        <w:t>1</w:t>
      </w:r>
      <w:r>
        <w:rPr>
          <w:snapToGrid w:val="0"/>
        </w:rPr>
        <w:t>-h</w:t>
      </w:r>
      <w:r w:rsidR="00D9710E">
        <w:rPr>
          <w:snapToGrid w:val="0"/>
        </w:rPr>
        <w:t>ou</w:t>
      </w:r>
      <w:r>
        <w:rPr>
          <w:snapToGrid w:val="0"/>
        </w:rPr>
        <w:t>r NO</w:t>
      </w:r>
      <w:r w:rsidRPr="001A040E">
        <w:rPr>
          <w:snapToGrid w:val="0"/>
          <w:vertAlign w:val="subscript"/>
        </w:rPr>
        <w:t>2</w:t>
      </w:r>
      <w:r>
        <w:rPr>
          <w:snapToGrid w:val="0"/>
        </w:rPr>
        <w:t xml:space="preserve"> standard), the pollutant identifier (on the POLLUTID keyword in AERMOD) in combination with the averaging time now plays an important role in determining the model runs.  The user must also be aware that some combinations of pollutant ID and averaging times might not produce the desired results.  For example, if NO</w:t>
      </w:r>
      <w:r w:rsidRPr="00F02D2E">
        <w:rPr>
          <w:snapToGrid w:val="0"/>
          <w:vertAlign w:val="subscript"/>
        </w:rPr>
        <w:t>2</w:t>
      </w:r>
      <w:r>
        <w:rPr>
          <w:snapToGrid w:val="0"/>
        </w:rPr>
        <w:t xml:space="preserve"> is specified as the pollutant ID and 1 and 24 are entered for the averaging periods, the results for the </w:t>
      </w:r>
      <w:r w:rsidR="00D9710E">
        <w:rPr>
          <w:snapToGrid w:val="0"/>
        </w:rPr>
        <w:t>one</w:t>
      </w:r>
      <w:r>
        <w:rPr>
          <w:snapToGrid w:val="0"/>
        </w:rPr>
        <w:t>-h</w:t>
      </w:r>
      <w:r w:rsidR="00D9710E">
        <w:rPr>
          <w:snapToGrid w:val="0"/>
        </w:rPr>
        <w:t>ou</w:t>
      </w:r>
      <w:r>
        <w:rPr>
          <w:snapToGrid w:val="0"/>
        </w:rPr>
        <w:t>r averages will not give the 98</w:t>
      </w:r>
      <w:r w:rsidRPr="00F02D2E">
        <w:rPr>
          <w:snapToGrid w:val="0"/>
          <w:vertAlign w:val="superscript"/>
        </w:rPr>
        <w:t>th</w:t>
      </w:r>
      <w:r>
        <w:rPr>
          <w:snapToGrid w:val="0"/>
        </w:rPr>
        <w:t xml:space="preserve"> percentile value to compare to the standard.  The model run for the </w:t>
      </w:r>
      <w:r w:rsidR="00D9710E">
        <w:rPr>
          <w:snapToGrid w:val="0"/>
        </w:rPr>
        <w:t>one</w:t>
      </w:r>
      <w:r>
        <w:rPr>
          <w:snapToGrid w:val="0"/>
        </w:rPr>
        <w:t>-h</w:t>
      </w:r>
      <w:r w:rsidR="00D9710E">
        <w:rPr>
          <w:snapToGrid w:val="0"/>
        </w:rPr>
        <w:t>ou</w:t>
      </w:r>
      <w:r>
        <w:rPr>
          <w:snapToGrid w:val="0"/>
        </w:rPr>
        <w:t>r NO</w:t>
      </w:r>
      <w:r w:rsidRPr="00F02D2E">
        <w:rPr>
          <w:snapToGrid w:val="0"/>
          <w:vertAlign w:val="subscript"/>
        </w:rPr>
        <w:t>2</w:t>
      </w:r>
      <w:r>
        <w:rPr>
          <w:snapToGrid w:val="0"/>
        </w:rPr>
        <w:t xml:space="preserve"> standard must be a separate run.</w:t>
      </w:r>
    </w:p>
    <w:p w14:paraId="138864DB" w14:textId="2FCBB634" w:rsidR="001F2B66" w:rsidRDefault="001F2B66" w:rsidP="001F2B66">
      <w:pPr>
        <w:rPr>
          <w:snapToGrid w:val="0"/>
        </w:rPr>
      </w:pPr>
      <w:r>
        <w:rPr>
          <w:snapToGrid w:val="0"/>
        </w:rPr>
        <w:t xml:space="preserve">For screen-level modeling applications, some models only provide </w:t>
      </w:r>
      <w:r w:rsidR="003F6D73">
        <w:rPr>
          <w:snapToGrid w:val="0"/>
        </w:rPr>
        <w:t>one</w:t>
      </w:r>
      <w:r>
        <w:rPr>
          <w:snapToGrid w:val="0"/>
        </w:rPr>
        <w:t xml:space="preserve">-hour pollutant concentrations as model output.  In such cases, the user must apply a scaling factor to obtain concentrations for other averaging periods.  For point sources, the EPA scaling factors shown in </w:t>
      </w:r>
      <w:r w:rsidR="000177D0">
        <w:rPr>
          <w:snapToGrid w:val="0"/>
        </w:rPr>
        <w:fldChar w:fldCharType="begin"/>
      </w:r>
      <w:r w:rsidR="000177D0">
        <w:rPr>
          <w:snapToGrid w:val="0"/>
        </w:rPr>
        <w:instrText xml:space="preserve"> REF _Ref524506641 \h </w:instrText>
      </w:r>
      <w:r w:rsidR="000177D0">
        <w:rPr>
          <w:snapToGrid w:val="0"/>
        </w:rPr>
      </w:r>
      <w:r w:rsidR="000177D0">
        <w:rPr>
          <w:snapToGrid w:val="0"/>
        </w:rPr>
        <w:fldChar w:fldCharType="separate"/>
      </w:r>
      <w:r w:rsidR="00135FFD">
        <w:t xml:space="preserve">Table </w:t>
      </w:r>
      <w:r w:rsidR="00135FFD">
        <w:rPr>
          <w:noProof/>
        </w:rPr>
        <w:t>2</w:t>
      </w:r>
      <w:r w:rsidR="000177D0">
        <w:rPr>
          <w:snapToGrid w:val="0"/>
        </w:rPr>
        <w:fldChar w:fldCharType="end"/>
      </w:r>
      <w:r>
        <w:rPr>
          <w:snapToGrid w:val="0"/>
        </w:rPr>
        <w:t xml:space="preserve"> automatically convert </w:t>
      </w:r>
      <w:r w:rsidR="003F6D73">
        <w:rPr>
          <w:snapToGrid w:val="0"/>
        </w:rPr>
        <w:t>one</w:t>
      </w:r>
      <w:r>
        <w:rPr>
          <w:snapToGrid w:val="0"/>
        </w:rPr>
        <w:t xml:space="preserve">-hour concentration estimates from </w:t>
      </w:r>
      <w:r>
        <w:rPr>
          <w:snapToGrid w:val="0"/>
        </w:rPr>
        <w:lastRenderedPageBreak/>
        <w:t xml:space="preserve">AERSCREEN to other averaging periods.   Refer to Appendix A for AERSCREEN modeling tips. </w:t>
      </w:r>
    </w:p>
    <w:p w14:paraId="7291E518" w14:textId="77777777" w:rsidR="00604B27" w:rsidRDefault="00604B27" w:rsidP="00604B27">
      <w:pPr>
        <w:pStyle w:val="Caption"/>
        <w:keepNext/>
        <w:jc w:val="center"/>
      </w:pPr>
      <w:bookmarkStart w:id="105" w:name="_Ref524506641"/>
      <w:bookmarkStart w:id="106" w:name="_Toc526778362"/>
      <w:r>
        <w:t xml:space="preserve">Table </w:t>
      </w:r>
      <w:r w:rsidR="000C0EF6">
        <w:fldChar w:fldCharType="begin"/>
      </w:r>
      <w:r w:rsidR="00B95EAA">
        <w:instrText xml:space="preserve"> SEQ Table \* ARABIC </w:instrText>
      </w:r>
      <w:r w:rsidR="000C0EF6">
        <w:fldChar w:fldCharType="separate"/>
      </w:r>
      <w:r w:rsidR="00135FFD">
        <w:rPr>
          <w:noProof/>
        </w:rPr>
        <w:t>2</w:t>
      </w:r>
      <w:r w:rsidR="000C0EF6">
        <w:rPr>
          <w:noProof/>
        </w:rPr>
        <w:fldChar w:fldCharType="end"/>
      </w:r>
      <w:bookmarkEnd w:id="105"/>
      <w:r>
        <w:t>.  Point S</w:t>
      </w:r>
      <w:r w:rsidRPr="00280464">
        <w:t xml:space="preserve">ource </w:t>
      </w:r>
      <w:r>
        <w:t>S</w:t>
      </w:r>
      <w:r w:rsidRPr="00280464">
        <w:t xml:space="preserve">caling </w:t>
      </w:r>
      <w:r>
        <w:t>F</w:t>
      </w:r>
      <w:r w:rsidRPr="00280464">
        <w:t xml:space="preserve">actors </w:t>
      </w:r>
      <w:r>
        <w:t>for</w:t>
      </w:r>
      <w:r w:rsidRPr="00280464">
        <w:t xml:space="preserve"> AERSCREEN</w:t>
      </w:r>
      <w:bookmarkEnd w:id="106"/>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6"/>
        <w:gridCol w:w="4732"/>
      </w:tblGrid>
      <w:tr w:rsidR="001F2B66" w14:paraId="6601D14A" w14:textId="77777777" w:rsidTr="007A7210">
        <w:tc>
          <w:tcPr>
            <w:tcW w:w="2036" w:type="dxa"/>
            <w:shd w:val="pct10" w:color="auto" w:fill="auto"/>
            <w:vAlign w:val="center"/>
          </w:tcPr>
          <w:p w14:paraId="620ECB1E" w14:textId="77777777" w:rsidR="001F2B66" w:rsidRDefault="001F2B66" w:rsidP="000E33EA">
            <w:pPr>
              <w:keepNext/>
              <w:keepLines/>
              <w:spacing w:before="120" w:after="0"/>
              <w:rPr>
                <w:b/>
                <w:snapToGrid w:val="0"/>
              </w:rPr>
            </w:pPr>
            <w:r>
              <w:rPr>
                <w:b/>
                <w:snapToGrid w:val="0"/>
              </w:rPr>
              <w:t>Averaging Period</w:t>
            </w:r>
          </w:p>
        </w:tc>
        <w:tc>
          <w:tcPr>
            <w:tcW w:w="4732" w:type="dxa"/>
            <w:shd w:val="pct10" w:color="auto" w:fill="auto"/>
            <w:vAlign w:val="center"/>
          </w:tcPr>
          <w:p w14:paraId="6C933269" w14:textId="5A74F12E" w:rsidR="001F2B66" w:rsidRDefault="001F2B66" w:rsidP="000E33EA">
            <w:pPr>
              <w:keepNext/>
              <w:keepLines/>
              <w:spacing w:before="120" w:after="0"/>
              <w:rPr>
                <w:b/>
                <w:snapToGrid w:val="0"/>
              </w:rPr>
            </w:pPr>
            <w:r>
              <w:rPr>
                <w:b/>
                <w:snapToGrid w:val="0"/>
              </w:rPr>
              <w:t>EPA Scaling Factor for Point Sources</w:t>
            </w:r>
            <w:r w:rsidR="00467AB4">
              <w:rPr>
                <w:b/>
                <w:snapToGrid w:val="0"/>
              </w:rPr>
              <w:t xml:space="preserve"> </w:t>
            </w:r>
            <w:r>
              <w:rPr>
                <w:b/>
                <w:snapToGrid w:val="0"/>
                <w:vertAlign w:val="superscript"/>
              </w:rPr>
              <w:t>a</w:t>
            </w:r>
          </w:p>
        </w:tc>
      </w:tr>
      <w:tr w:rsidR="001F2B66" w14:paraId="15500E4C" w14:textId="77777777" w:rsidTr="004372EF">
        <w:tc>
          <w:tcPr>
            <w:tcW w:w="2036" w:type="dxa"/>
            <w:vAlign w:val="center"/>
          </w:tcPr>
          <w:p w14:paraId="6EC6FA7E" w14:textId="7E28325D" w:rsidR="001F2B66" w:rsidRDefault="001F2B66" w:rsidP="000E33EA">
            <w:pPr>
              <w:keepNext/>
              <w:keepLines/>
              <w:spacing w:before="100" w:beforeAutospacing="1" w:after="60"/>
              <w:rPr>
                <w:snapToGrid w:val="0"/>
              </w:rPr>
            </w:pPr>
            <w:r>
              <w:rPr>
                <w:snapToGrid w:val="0"/>
              </w:rPr>
              <w:t>3</w:t>
            </w:r>
            <w:r w:rsidR="003C3292">
              <w:rPr>
                <w:snapToGrid w:val="0"/>
              </w:rPr>
              <w:t>-</w:t>
            </w:r>
            <w:r>
              <w:rPr>
                <w:snapToGrid w:val="0"/>
              </w:rPr>
              <w:t>hour</w:t>
            </w:r>
          </w:p>
        </w:tc>
        <w:tc>
          <w:tcPr>
            <w:tcW w:w="4732" w:type="dxa"/>
            <w:vAlign w:val="center"/>
          </w:tcPr>
          <w:p w14:paraId="6284A237" w14:textId="2380A936" w:rsidR="001F2B66" w:rsidRDefault="001F2B66" w:rsidP="000E33EA">
            <w:pPr>
              <w:keepNext/>
              <w:keepLines/>
              <w:spacing w:before="100" w:beforeAutospacing="1" w:after="60"/>
              <w:rPr>
                <w:snapToGrid w:val="0"/>
              </w:rPr>
            </w:pPr>
            <w:r>
              <w:rPr>
                <w:snapToGrid w:val="0"/>
              </w:rPr>
              <w:t>1.0</w:t>
            </w:r>
            <w:r w:rsidR="003C446D">
              <w:rPr>
                <w:snapToGrid w:val="0"/>
              </w:rPr>
              <w:t>0</w:t>
            </w:r>
            <w:r>
              <w:rPr>
                <w:snapToGrid w:val="0"/>
              </w:rPr>
              <w:t xml:space="preserve">  </w:t>
            </w:r>
          </w:p>
        </w:tc>
      </w:tr>
      <w:tr w:rsidR="001F2B66" w14:paraId="430611C1" w14:textId="77777777" w:rsidTr="004372EF">
        <w:tc>
          <w:tcPr>
            <w:tcW w:w="2036" w:type="dxa"/>
            <w:vAlign w:val="center"/>
          </w:tcPr>
          <w:p w14:paraId="3B4125D1" w14:textId="46F90765" w:rsidR="001F2B66" w:rsidRDefault="003C3292" w:rsidP="000E33EA">
            <w:pPr>
              <w:keepNext/>
              <w:keepLines/>
              <w:spacing w:before="100" w:beforeAutospacing="1" w:after="60"/>
              <w:rPr>
                <w:snapToGrid w:val="0"/>
              </w:rPr>
            </w:pPr>
            <w:r>
              <w:rPr>
                <w:snapToGrid w:val="0"/>
              </w:rPr>
              <w:t>8-hour</w:t>
            </w:r>
          </w:p>
        </w:tc>
        <w:tc>
          <w:tcPr>
            <w:tcW w:w="4732" w:type="dxa"/>
            <w:vAlign w:val="center"/>
          </w:tcPr>
          <w:p w14:paraId="4D54A335" w14:textId="77777777" w:rsidR="001F2B66" w:rsidRDefault="001F2B66" w:rsidP="000E33EA">
            <w:pPr>
              <w:keepNext/>
              <w:keepLines/>
              <w:spacing w:before="100" w:beforeAutospacing="1" w:after="60"/>
              <w:rPr>
                <w:snapToGrid w:val="0"/>
              </w:rPr>
            </w:pPr>
            <w:r>
              <w:rPr>
                <w:snapToGrid w:val="0"/>
              </w:rPr>
              <w:t xml:space="preserve">0.90 </w:t>
            </w:r>
          </w:p>
        </w:tc>
      </w:tr>
      <w:tr w:rsidR="001F2B66" w14:paraId="62038072" w14:textId="77777777" w:rsidTr="004372EF">
        <w:tc>
          <w:tcPr>
            <w:tcW w:w="2036" w:type="dxa"/>
            <w:vAlign w:val="center"/>
          </w:tcPr>
          <w:p w14:paraId="5AE3E95C" w14:textId="001A6925" w:rsidR="001F2B66" w:rsidRDefault="001F2B66" w:rsidP="003C3292">
            <w:pPr>
              <w:keepNext/>
              <w:keepLines/>
              <w:spacing w:before="100" w:beforeAutospacing="1" w:after="60"/>
              <w:rPr>
                <w:snapToGrid w:val="0"/>
              </w:rPr>
            </w:pPr>
            <w:r>
              <w:rPr>
                <w:snapToGrid w:val="0"/>
              </w:rPr>
              <w:t>24</w:t>
            </w:r>
            <w:r w:rsidR="003C3292">
              <w:rPr>
                <w:snapToGrid w:val="0"/>
              </w:rPr>
              <w:t>-</w:t>
            </w:r>
            <w:r>
              <w:rPr>
                <w:snapToGrid w:val="0"/>
              </w:rPr>
              <w:t>hour</w:t>
            </w:r>
          </w:p>
        </w:tc>
        <w:tc>
          <w:tcPr>
            <w:tcW w:w="4732" w:type="dxa"/>
            <w:vAlign w:val="center"/>
          </w:tcPr>
          <w:p w14:paraId="747C5CDD" w14:textId="77777777" w:rsidR="001F2B66" w:rsidRDefault="001F2B66" w:rsidP="000E33EA">
            <w:pPr>
              <w:keepNext/>
              <w:keepLines/>
              <w:spacing w:before="100" w:beforeAutospacing="1" w:after="60"/>
              <w:rPr>
                <w:snapToGrid w:val="0"/>
              </w:rPr>
            </w:pPr>
            <w:r>
              <w:rPr>
                <w:snapToGrid w:val="0"/>
              </w:rPr>
              <w:t xml:space="preserve">0.60 </w:t>
            </w:r>
          </w:p>
        </w:tc>
      </w:tr>
      <w:tr w:rsidR="001F2B66" w14:paraId="39CC06C3" w14:textId="77777777" w:rsidTr="004372EF">
        <w:tc>
          <w:tcPr>
            <w:tcW w:w="2036" w:type="dxa"/>
            <w:vAlign w:val="center"/>
          </w:tcPr>
          <w:p w14:paraId="3B63807D" w14:textId="77777777" w:rsidR="001F2B66" w:rsidRDefault="004372EF" w:rsidP="000E33EA">
            <w:pPr>
              <w:keepNext/>
              <w:keepLines/>
              <w:spacing w:before="100" w:beforeAutospacing="1" w:after="60"/>
              <w:rPr>
                <w:snapToGrid w:val="0"/>
              </w:rPr>
            </w:pPr>
            <w:r>
              <w:rPr>
                <w:snapToGrid w:val="0"/>
              </w:rPr>
              <w:t>An</w:t>
            </w:r>
            <w:r w:rsidR="001F2B66">
              <w:rPr>
                <w:snapToGrid w:val="0"/>
              </w:rPr>
              <w:t>nual</w:t>
            </w:r>
          </w:p>
        </w:tc>
        <w:tc>
          <w:tcPr>
            <w:tcW w:w="4732" w:type="dxa"/>
            <w:vAlign w:val="center"/>
          </w:tcPr>
          <w:p w14:paraId="7345048A" w14:textId="77777777" w:rsidR="001F2B66" w:rsidRDefault="001F2B66" w:rsidP="00B91CEF">
            <w:pPr>
              <w:keepNext/>
              <w:keepLines/>
              <w:spacing w:before="100" w:beforeAutospacing="1" w:after="60"/>
              <w:rPr>
                <w:snapToGrid w:val="0"/>
              </w:rPr>
            </w:pPr>
            <w:r>
              <w:rPr>
                <w:snapToGrid w:val="0"/>
              </w:rPr>
              <w:t xml:space="preserve">0.10 </w:t>
            </w:r>
          </w:p>
        </w:tc>
      </w:tr>
      <w:tr w:rsidR="001F2B66" w14:paraId="3369A881" w14:textId="77777777" w:rsidTr="004372EF">
        <w:trPr>
          <w:cantSplit/>
        </w:trPr>
        <w:tc>
          <w:tcPr>
            <w:tcW w:w="6768" w:type="dxa"/>
            <w:gridSpan w:val="2"/>
            <w:vAlign w:val="center"/>
          </w:tcPr>
          <w:p w14:paraId="632C3E94" w14:textId="6C8FD0E4" w:rsidR="001F2B66" w:rsidRDefault="001F2B66" w:rsidP="003C446D">
            <w:pPr>
              <w:pStyle w:val="Date"/>
              <w:keepNext/>
              <w:keepLines/>
              <w:spacing w:before="100" w:beforeAutospacing="1" w:after="60"/>
              <w:rPr>
                <w:snapToGrid w:val="0"/>
              </w:rPr>
            </w:pPr>
            <w:r>
              <w:rPr>
                <w:snapToGrid w:val="0"/>
                <w:vertAlign w:val="superscript"/>
              </w:rPr>
              <w:t>a</w:t>
            </w:r>
            <w:r>
              <w:rPr>
                <w:snapToGrid w:val="0"/>
              </w:rPr>
              <w:t xml:space="preserve"> </w:t>
            </w:r>
            <w:r w:rsidR="003C446D">
              <w:rPr>
                <w:snapToGrid w:val="0"/>
              </w:rPr>
              <w:t xml:space="preserve">Per Section 1.1 of the </w:t>
            </w:r>
            <w:r w:rsidRPr="00467AB4">
              <w:rPr>
                <w:i/>
                <w:snapToGrid w:val="0"/>
              </w:rPr>
              <w:t>AERSCREEN User’s Guide</w:t>
            </w:r>
            <w:r w:rsidR="003C446D">
              <w:rPr>
                <w:rStyle w:val="FootnoteReference"/>
                <w:snapToGrid w:val="0"/>
              </w:rPr>
              <w:footnoteReference w:id="35"/>
            </w:r>
          </w:p>
        </w:tc>
      </w:tr>
    </w:tbl>
    <w:p w14:paraId="7772368D" w14:textId="77777777" w:rsidR="003C2967" w:rsidRDefault="00AD5C0A" w:rsidP="003C2967">
      <w:pPr>
        <w:pStyle w:val="Heading3"/>
        <w:rPr>
          <w:snapToGrid w:val="0"/>
        </w:rPr>
      </w:pPr>
      <w:bookmarkStart w:id="107" w:name="_Toc43521221"/>
      <w:r>
        <w:rPr>
          <w:snapToGrid w:val="0"/>
        </w:rPr>
        <w:tab/>
      </w:r>
      <w:bookmarkStart w:id="108" w:name="_Toc526778244"/>
      <w:r w:rsidR="003C2967">
        <w:rPr>
          <w:snapToGrid w:val="0"/>
        </w:rPr>
        <w:t>Geographical Projection Information</w:t>
      </w:r>
      <w:bookmarkEnd w:id="107"/>
      <w:bookmarkEnd w:id="108"/>
    </w:p>
    <w:p w14:paraId="73A3A951" w14:textId="173EF58F" w:rsidR="003C2967" w:rsidRDefault="003C2967" w:rsidP="003C2967">
      <w:pPr>
        <w:rPr>
          <w:snapToGrid w:val="0"/>
        </w:rPr>
      </w:pPr>
      <w:r>
        <w:rPr>
          <w:snapToGrid w:val="0"/>
        </w:rPr>
        <w:t xml:space="preserve">A consistent coordinate system should be used for the identification of receptors, building locations, and </w:t>
      </w:r>
      <w:r w:rsidR="00BC634A">
        <w:rPr>
          <w:snapToGrid w:val="0"/>
        </w:rPr>
        <w:t>EU</w:t>
      </w:r>
      <w:r>
        <w:rPr>
          <w:snapToGrid w:val="0"/>
        </w:rPr>
        <w:t xml:space="preserve">s.  Coordinate systems consist of both horizontal and vertical coordinates to identify a location on the planet.  This is often accomplished by using a separate coordinate system for the horizontal and vertical components.  Horizontal coordinate systems all project the shape of the 3-dimensional earth onto a 2-dimensional field.  Consequently, each coordinate system has distortions associated with it.   </w:t>
      </w:r>
    </w:p>
    <w:p w14:paraId="68A3906B" w14:textId="77777777" w:rsidR="003C2967" w:rsidRPr="00A64177" w:rsidRDefault="00AD5C0A" w:rsidP="00173E9E">
      <w:pPr>
        <w:pStyle w:val="Heading3"/>
        <w:rPr>
          <w:snapToGrid w:val="0"/>
        </w:rPr>
      </w:pPr>
      <w:r>
        <w:rPr>
          <w:snapToGrid w:val="0"/>
        </w:rPr>
        <w:tab/>
      </w:r>
      <w:bookmarkStart w:id="109" w:name="_Toc526778245"/>
      <w:r w:rsidR="003C2967" w:rsidRPr="00A64177">
        <w:rPr>
          <w:snapToGrid w:val="0"/>
        </w:rPr>
        <w:t>Coordinate Systems</w:t>
      </w:r>
      <w:bookmarkEnd w:id="109"/>
    </w:p>
    <w:p w14:paraId="65E84CC8" w14:textId="1A62B1A9" w:rsidR="003C2967" w:rsidRDefault="003C2967" w:rsidP="003C2967">
      <w:pPr>
        <w:rPr>
          <w:snapToGrid w:val="0"/>
        </w:rPr>
      </w:pPr>
      <w:r>
        <w:rPr>
          <w:snapToGrid w:val="0"/>
        </w:rPr>
        <w:t xml:space="preserve">Common horizontal coordinate systems include user-defined coordinates, Universal Transverse Mercator (UTM), Lambert-Conical, Alaska State Plane, and latitude –longitude. Vertical coordinates are always specified as elevation above the earth’s surface.  While a user-defined coordinate system may be sufficient for some modeling applications (e.g., flat terrain), for </w:t>
      </w:r>
      <w:proofErr w:type="gramStart"/>
      <w:r>
        <w:rPr>
          <w:snapToGrid w:val="0"/>
        </w:rPr>
        <w:t>application</w:t>
      </w:r>
      <w:proofErr w:type="gramEnd"/>
      <w:r>
        <w:rPr>
          <w:snapToGrid w:val="0"/>
        </w:rPr>
        <w:t xml:space="preserve"> where plume-terrain interactions may occur, </w:t>
      </w:r>
      <w:r w:rsidR="003E5957">
        <w:rPr>
          <w:snapToGrid w:val="0"/>
        </w:rPr>
        <w:t xml:space="preserve">(e.g., </w:t>
      </w:r>
      <w:r w:rsidR="003F6D73">
        <w:rPr>
          <w:snapToGrid w:val="0"/>
        </w:rPr>
        <w:t>complex terrain</w:t>
      </w:r>
      <w:r w:rsidR="003E5957">
        <w:rPr>
          <w:snapToGrid w:val="0"/>
        </w:rPr>
        <w:t>)</w:t>
      </w:r>
      <w:r w:rsidR="003F6D73">
        <w:rPr>
          <w:snapToGrid w:val="0"/>
        </w:rPr>
        <w:t xml:space="preserve">, </w:t>
      </w:r>
      <w:r>
        <w:rPr>
          <w:snapToGrid w:val="0"/>
        </w:rPr>
        <w:t xml:space="preserve">the UTM coordinate system (the same system for which DEM data is available) is greatly preferred.  A UTM system also allows you to compare the source/receptor coordinates with areas of interest on a USGS quad </w:t>
      </w:r>
      <w:proofErr w:type="gramStart"/>
      <w:r>
        <w:rPr>
          <w:snapToGrid w:val="0"/>
        </w:rPr>
        <w:t>map, and</w:t>
      </w:r>
      <w:proofErr w:type="gramEnd"/>
      <w:r>
        <w:rPr>
          <w:snapToGrid w:val="0"/>
        </w:rPr>
        <w:t xml:space="preserve"> is necessary when importing off-site sources from a previous analysis.  For these reasons, ADEC encourages applicants to use UTM coordinates in their AERMOD analysis.  </w:t>
      </w:r>
    </w:p>
    <w:p w14:paraId="1BD694C9" w14:textId="11347483" w:rsidR="003C2967" w:rsidRDefault="003C2967" w:rsidP="003C2967">
      <w:pPr>
        <w:rPr>
          <w:snapToGrid w:val="0"/>
        </w:rPr>
      </w:pPr>
      <w:r>
        <w:rPr>
          <w:snapToGrid w:val="0"/>
        </w:rPr>
        <w:t xml:space="preserve">The UTM grid divides the world into 60 zones, extending north-south, each zone covering 6 degrees wide in longitude.  These zones are numbered consecutively beginning with zone 1, located between 180 degrees and 174 degrees west longitude, and progressing eastward to zone 60, between 180 degrees and 174 degrees east longitude. The north slope of Alaska extends across UTM zones 5 and 6, while all of Alaska spans zones 1 through 9, </w:t>
      </w:r>
      <w:r w:rsidR="00F54894">
        <w:rPr>
          <w:snapToGrid w:val="0"/>
        </w:rPr>
        <w:t xml:space="preserve">illustrated below </w:t>
      </w:r>
      <w:r w:rsidR="009E62D0">
        <w:rPr>
          <w:snapToGrid w:val="0"/>
        </w:rPr>
        <w:t xml:space="preserve">in </w:t>
      </w:r>
      <w:r w:rsidR="00FF72D1">
        <w:rPr>
          <w:snapToGrid w:val="0"/>
        </w:rPr>
        <w:fldChar w:fldCharType="begin"/>
      </w:r>
      <w:r w:rsidR="00FF72D1">
        <w:rPr>
          <w:snapToGrid w:val="0"/>
        </w:rPr>
        <w:instrText xml:space="preserve"> REF _Ref371088563 \h </w:instrText>
      </w:r>
      <w:r w:rsidR="00FF72D1">
        <w:rPr>
          <w:snapToGrid w:val="0"/>
        </w:rPr>
      </w:r>
      <w:r w:rsidR="00FF72D1">
        <w:rPr>
          <w:snapToGrid w:val="0"/>
        </w:rPr>
        <w:fldChar w:fldCharType="separate"/>
      </w:r>
      <w:r w:rsidR="00135FFD">
        <w:t xml:space="preserve">Figure </w:t>
      </w:r>
      <w:r w:rsidR="00135FFD">
        <w:rPr>
          <w:noProof/>
        </w:rPr>
        <w:t>6</w:t>
      </w:r>
      <w:r w:rsidR="00FF72D1">
        <w:rPr>
          <w:snapToGrid w:val="0"/>
        </w:rPr>
        <w:fldChar w:fldCharType="end"/>
      </w:r>
      <w:r w:rsidR="009E62D0">
        <w:rPr>
          <w:snapToGrid w:val="0"/>
        </w:rPr>
        <w:t>.</w:t>
      </w:r>
      <w:r>
        <w:rPr>
          <w:rStyle w:val="FootnoteReference"/>
          <w:snapToGrid w:val="0"/>
        </w:rPr>
        <w:footnoteReference w:id="36"/>
      </w:r>
    </w:p>
    <w:p w14:paraId="1216ADBA" w14:textId="77777777" w:rsidR="003C2967" w:rsidRDefault="003C2967" w:rsidP="003C2967">
      <w:pPr>
        <w:keepNext/>
        <w:jc w:val="center"/>
      </w:pPr>
      <w:r>
        <w:rPr>
          <w:noProof/>
        </w:rPr>
        <w:lastRenderedPageBreak/>
        <w:drawing>
          <wp:inline distT="0" distB="0" distL="0" distR="0" wp14:anchorId="15FFB1EC" wp14:editId="77BD4CE8">
            <wp:extent cx="5162550" cy="3821723"/>
            <wp:effectExtent l="19050" t="0" r="0" b="0"/>
            <wp:docPr id="6" name="Picture 0" descr="UTM Zones for Ala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0" descr="UTM Zones for Alaska"/>
                    <pic:cNvPicPr/>
                  </pic:nvPicPr>
                  <pic:blipFill>
                    <a:blip r:embed="rId70" cstate="print"/>
                    <a:stretch>
                      <a:fillRect/>
                    </a:stretch>
                  </pic:blipFill>
                  <pic:spPr>
                    <a:xfrm>
                      <a:off x="0" y="0"/>
                      <a:ext cx="5184056" cy="3837644"/>
                    </a:xfrm>
                    <a:prstGeom prst="rect">
                      <a:avLst/>
                    </a:prstGeom>
                  </pic:spPr>
                </pic:pic>
              </a:graphicData>
            </a:graphic>
          </wp:inline>
        </w:drawing>
      </w:r>
    </w:p>
    <w:p w14:paraId="0B136FB9" w14:textId="37A62986" w:rsidR="003C2967" w:rsidRDefault="003C2967" w:rsidP="003C2967">
      <w:pPr>
        <w:pStyle w:val="Caption"/>
        <w:jc w:val="center"/>
        <w:rPr>
          <w:snapToGrid w:val="0"/>
        </w:rPr>
      </w:pPr>
      <w:bookmarkStart w:id="110" w:name="_Ref371088563"/>
      <w:bookmarkStart w:id="111" w:name="_Toc360016189"/>
      <w:bookmarkStart w:id="112" w:name="_Toc526778349"/>
      <w:r>
        <w:t xml:space="preserve">Figure </w:t>
      </w:r>
      <w:r w:rsidR="00B560B0">
        <w:rPr>
          <w:noProof/>
        </w:rPr>
        <w:fldChar w:fldCharType="begin"/>
      </w:r>
      <w:r w:rsidR="00B560B0">
        <w:rPr>
          <w:noProof/>
        </w:rPr>
        <w:instrText xml:space="preserve"> SEQ Figure \* ARABIC </w:instrText>
      </w:r>
      <w:r w:rsidR="00B560B0">
        <w:rPr>
          <w:noProof/>
        </w:rPr>
        <w:fldChar w:fldCharType="separate"/>
      </w:r>
      <w:r w:rsidR="00135FFD">
        <w:rPr>
          <w:noProof/>
        </w:rPr>
        <w:t>6</w:t>
      </w:r>
      <w:r w:rsidR="00B560B0">
        <w:rPr>
          <w:noProof/>
        </w:rPr>
        <w:fldChar w:fldCharType="end"/>
      </w:r>
      <w:bookmarkEnd w:id="110"/>
      <w:r>
        <w:t>.  UTM Time Zones for Alaska</w:t>
      </w:r>
      <w:bookmarkEnd w:id="111"/>
      <w:bookmarkEnd w:id="112"/>
    </w:p>
    <w:p w14:paraId="03B1B3B3" w14:textId="77777777" w:rsidR="003C2967" w:rsidRDefault="003C2967" w:rsidP="003C2967">
      <w:pPr>
        <w:rPr>
          <w:snapToGrid w:val="0"/>
        </w:rPr>
      </w:pPr>
      <w:r>
        <w:rPr>
          <w:snapToGrid w:val="0"/>
        </w:rPr>
        <w:t xml:space="preserve">The northing values are measured continuously from zero at the equator, in a northerly direction.  A central meridian through east zone is assigned an easting value of 500,000 meters.  Grid values to the west are less than 500,000; to the east, more than 500,000. </w:t>
      </w:r>
    </w:p>
    <w:p w14:paraId="534782F0" w14:textId="77777777" w:rsidR="003C2967" w:rsidRDefault="003C2967" w:rsidP="003C2967">
      <w:pPr>
        <w:rPr>
          <w:snapToGrid w:val="0"/>
        </w:rPr>
      </w:pPr>
      <w:r>
        <w:rPr>
          <w:snapToGrid w:val="0"/>
        </w:rPr>
        <w:t xml:space="preserve">If sources and/or receptors span more than one UTM zone, care must be taken when specifying the UTM coordinates.  In such a case, the easting coordinate of one UTM zone must be converted to the neighboring zone to ensure a consistent frame of reference.  </w:t>
      </w:r>
    </w:p>
    <w:p w14:paraId="797711C4" w14:textId="77777777" w:rsidR="00E319CB" w:rsidRDefault="003C2967" w:rsidP="00B10CF3">
      <w:pPr>
        <w:pStyle w:val="CheckReminder"/>
      </w:pPr>
      <w:r>
        <w:t xml:space="preserve">When using the UTM coordinate system, make certain that the receptors, building, and source information </w:t>
      </w:r>
      <w:proofErr w:type="gramStart"/>
      <w:r>
        <w:t>is</w:t>
      </w:r>
      <w:proofErr w:type="gramEnd"/>
      <w:r>
        <w:t xml:space="preserve"> specified relative to the same datum and zone.  </w:t>
      </w:r>
    </w:p>
    <w:p w14:paraId="67F19193" w14:textId="1B7E6712" w:rsidR="003C2967" w:rsidRPr="00E319CB" w:rsidRDefault="003C2967" w:rsidP="00E319CB">
      <w:pPr>
        <w:spacing w:before="120" w:after="120"/>
        <w:rPr>
          <w:snapToGrid w:val="0"/>
        </w:rPr>
      </w:pPr>
      <w:r w:rsidRPr="00E319CB">
        <w:rPr>
          <w:snapToGrid w:val="0"/>
        </w:rPr>
        <w:t>Two of the most common</w:t>
      </w:r>
      <w:r w:rsidR="005455CF">
        <w:rPr>
          <w:snapToGrid w:val="0"/>
        </w:rPr>
        <w:t xml:space="preserve"> datums are the North American D</w:t>
      </w:r>
      <w:r w:rsidRPr="00E319CB">
        <w:rPr>
          <w:snapToGrid w:val="0"/>
        </w:rPr>
        <w:t xml:space="preserve">atum of 1927 (NAD27) and the more recent North American Datum of 1983 (NAD83).  There can be significant differences (as much as 200 m or more) between NAD27 and NAD83 for the same UTM coordinate.  The USGS DEM data is often specified in </w:t>
      </w:r>
      <w:proofErr w:type="gramStart"/>
      <w:r w:rsidRPr="00E319CB">
        <w:rPr>
          <w:snapToGrid w:val="0"/>
        </w:rPr>
        <w:t>NAD27, but</w:t>
      </w:r>
      <w:proofErr w:type="gramEnd"/>
      <w:r w:rsidRPr="00E319CB">
        <w:rPr>
          <w:snapToGrid w:val="0"/>
        </w:rPr>
        <w:t xml:space="preserve"> check with the specific </w:t>
      </w:r>
      <w:r w:rsidR="00AB446A">
        <w:rPr>
          <w:snapToGrid w:val="0"/>
        </w:rPr>
        <w:t>dataset</w:t>
      </w:r>
      <w:r w:rsidRPr="00E319CB">
        <w:rPr>
          <w:snapToGrid w:val="0"/>
        </w:rPr>
        <w:t xml:space="preserve"> to be certain.  Global position systems (GPS) often use WGS84, which is very similar to NAD83.  Errors can occur when a GPS system is used to define the building and stack locations and USGS DEM data are used to define the receptor coordinates.</w:t>
      </w:r>
    </w:p>
    <w:p w14:paraId="396A9A88" w14:textId="77777777" w:rsidR="003C2967" w:rsidRDefault="003C2967">
      <w:pPr>
        <w:rPr>
          <w:rFonts w:ascii="Arial" w:hAnsi="Arial" w:cs="Arial"/>
          <w:b/>
          <w:bCs/>
          <w:i/>
          <w:iCs/>
          <w:snapToGrid w:val="0"/>
          <w:sz w:val="28"/>
          <w:szCs w:val="28"/>
        </w:rPr>
      </w:pPr>
      <w:r>
        <w:rPr>
          <w:snapToGrid w:val="0"/>
        </w:rPr>
        <w:br w:type="page"/>
      </w:r>
    </w:p>
    <w:p w14:paraId="49B71CFC" w14:textId="77777777" w:rsidR="00F93421" w:rsidRDefault="00AD5C0A" w:rsidP="000958CC">
      <w:pPr>
        <w:pStyle w:val="Heading2"/>
        <w:rPr>
          <w:snapToGrid w:val="0"/>
        </w:rPr>
      </w:pPr>
      <w:bookmarkStart w:id="113" w:name="_Meteorological_Data"/>
      <w:bookmarkStart w:id="114" w:name="MeteorologicalData"/>
      <w:bookmarkEnd w:id="113"/>
      <w:r>
        <w:rPr>
          <w:snapToGrid w:val="0"/>
        </w:rPr>
        <w:lastRenderedPageBreak/>
        <w:tab/>
      </w:r>
      <w:bookmarkStart w:id="115" w:name="_Ref448908007"/>
      <w:bookmarkStart w:id="116" w:name="_Toc526778246"/>
      <w:r w:rsidR="00F93421">
        <w:rPr>
          <w:snapToGrid w:val="0"/>
        </w:rPr>
        <w:t>Meteorological Data</w:t>
      </w:r>
      <w:bookmarkEnd w:id="115"/>
      <w:bookmarkEnd w:id="116"/>
    </w:p>
    <w:bookmarkEnd w:id="114"/>
    <w:p w14:paraId="5F9EA273" w14:textId="17132B3B" w:rsidR="002310E2" w:rsidRDefault="00F93421" w:rsidP="00F93421">
      <w:pPr>
        <w:rPr>
          <w:snapToGrid w:val="0"/>
        </w:rPr>
      </w:pPr>
      <w:r>
        <w:rPr>
          <w:snapToGrid w:val="0"/>
        </w:rPr>
        <w:t xml:space="preserve">Models require meteorological data or assumptions to estimate plume dispersion.  Screening models, such as AERSCREEN, use an internal matrix of generated or assumed wind speed, stability, and other parameters to estimate worst-case ambient impacts.  </w:t>
      </w:r>
      <w:r w:rsidR="00536A99">
        <w:rPr>
          <w:snapToGrid w:val="0"/>
        </w:rPr>
        <w:t xml:space="preserve">For more refined analyses, actual hourly meteorological data are required.  </w:t>
      </w:r>
    </w:p>
    <w:p w14:paraId="27EF8437" w14:textId="7EE2E4F4" w:rsidR="00EA1136" w:rsidRDefault="00BA23EB" w:rsidP="00F93421">
      <w:pPr>
        <w:rPr>
          <w:snapToGrid w:val="0"/>
        </w:rPr>
      </w:pPr>
      <w:r>
        <w:rPr>
          <w:snapToGrid w:val="0"/>
        </w:rPr>
        <w:t>The meteorological data requirements for air quality modeling are discussed in Section</w:t>
      </w:r>
      <w:r w:rsidRPr="008E3429">
        <w:t> </w:t>
      </w:r>
      <w:r>
        <w:rPr>
          <w:snapToGrid w:val="0"/>
        </w:rPr>
        <w:t xml:space="preserve">8.4 of the </w:t>
      </w:r>
      <w:r w:rsidRPr="00196955">
        <w:rPr>
          <w:snapToGrid w:val="0"/>
        </w:rPr>
        <w:t>Guideline</w:t>
      </w:r>
      <w:r>
        <w:rPr>
          <w:snapToGrid w:val="0"/>
        </w:rPr>
        <w:t xml:space="preserve">.  </w:t>
      </w:r>
      <w:r w:rsidR="00EA1136">
        <w:rPr>
          <w:snapToGrid w:val="0"/>
        </w:rPr>
        <w:t>Section 8.4.1</w:t>
      </w:r>
      <w:r w:rsidR="008F461C">
        <w:rPr>
          <w:snapToGrid w:val="0"/>
        </w:rPr>
        <w:t>(</w:t>
      </w:r>
      <w:r w:rsidR="00EA1136">
        <w:rPr>
          <w:snapToGrid w:val="0"/>
        </w:rPr>
        <w:t>c</w:t>
      </w:r>
      <w:r w:rsidR="008F461C">
        <w:rPr>
          <w:snapToGrid w:val="0"/>
        </w:rPr>
        <w:t>)</w:t>
      </w:r>
      <w:r w:rsidR="00EA1136">
        <w:rPr>
          <w:snapToGrid w:val="0"/>
        </w:rPr>
        <w:t xml:space="preserve"> describes three potential sources of hourly meteorological data that could be used </w:t>
      </w:r>
      <w:r w:rsidR="002E6CC5">
        <w:rPr>
          <w:snapToGrid w:val="0"/>
        </w:rPr>
        <w:t xml:space="preserve">in a </w:t>
      </w:r>
      <w:r w:rsidR="00145C4C">
        <w:rPr>
          <w:snapToGrid w:val="0"/>
        </w:rPr>
        <w:t xml:space="preserve">refined, </w:t>
      </w:r>
      <w:r w:rsidR="002E6CC5">
        <w:rPr>
          <w:snapToGrid w:val="0"/>
        </w:rPr>
        <w:t>near-field</w:t>
      </w:r>
      <w:r w:rsidR="00EA1136">
        <w:rPr>
          <w:snapToGrid w:val="0"/>
        </w:rPr>
        <w:t xml:space="preserve"> </w:t>
      </w:r>
      <w:r w:rsidR="002E6CC5">
        <w:rPr>
          <w:snapToGrid w:val="0"/>
        </w:rPr>
        <w:t>analysis</w:t>
      </w:r>
      <w:r w:rsidR="001F6AF3">
        <w:rPr>
          <w:snapToGrid w:val="0"/>
        </w:rPr>
        <w:t>.  The potential sources</w:t>
      </w:r>
      <w:r w:rsidR="00C8166D">
        <w:rPr>
          <w:snapToGrid w:val="0"/>
        </w:rPr>
        <w:t xml:space="preserve"> of </w:t>
      </w:r>
      <w:proofErr w:type="gramStart"/>
      <w:r w:rsidR="00C8166D">
        <w:rPr>
          <w:snapToGrid w:val="0"/>
        </w:rPr>
        <w:t>these</w:t>
      </w:r>
      <w:proofErr w:type="gramEnd"/>
      <w:r w:rsidR="00C8166D">
        <w:rPr>
          <w:snapToGrid w:val="0"/>
        </w:rPr>
        <w:t xml:space="preserve"> data</w:t>
      </w:r>
      <w:r w:rsidR="001F6AF3">
        <w:rPr>
          <w:snapToGrid w:val="0"/>
        </w:rPr>
        <w:t>, listed by preference, are</w:t>
      </w:r>
      <w:r w:rsidR="00EA1136">
        <w:rPr>
          <w:snapToGrid w:val="0"/>
        </w:rPr>
        <w:t xml:space="preserve">:  </w:t>
      </w:r>
    </w:p>
    <w:p w14:paraId="1FFF98FC" w14:textId="65F07559" w:rsidR="00F93807" w:rsidRDefault="00F93807" w:rsidP="00F93807">
      <w:pPr>
        <w:pStyle w:val="ListParagraph"/>
        <w:numPr>
          <w:ilvl w:val="0"/>
          <w:numId w:val="1"/>
        </w:numPr>
        <w:rPr>
          <w:snapToGrid w:val="0"/>
        </w:rPr>
      </w:pPr>
      <w:r>
        <w:rPr>
          <w:snapToGrid w:val="0"/>
        </w:rPr>
        <w:t>Site-specific data</w:t>
      </w:r>
      <w:r w:rsidR="001D63E3">
        <w:rPr>
          <w:snapToGrid w:val="0"/>
        </w:rPr>
        <w:t xml:space="preserve"> – i.e., </w:t>
      </w:r>
      <w:r>
        <w:rPr>
          <w:snapToGrid w:val="0"/>
        </w:rPr>
        <w:t xml:space="preserve">data measured at/near the </w:t>
      </w:r>
      <w:r w:rsidR="004E6945">
        <w:rPr>
          <w:snapToGrid w:val="0"/>
        </w:rPr>
        <w:t xml:space="preserve">project </w:t>
      </w:r>
      <w:proofErr w:type="gramStart"/>
      <w:r w:rsidR="004E6945">
        <w:rPr>
          <w:snapToGrid w:val="0"/>
        </w:rPr>
        <w:t>site</w:t>
      </w:r>
      <w:r>
        <w:rPr>
          <w:snapToGrid w:val="0"/>
        </w:rPr>
        <w:t>;</w:t>
      </w:r>
      <w:proofErr w:type="gramEnd"/>
    </w:p>
    <w:p w14:paraId="2B9CC487" w14:textId="1B376F51" w:rsidR="00F93807" w:rsidRDefault="00F93807" w:rsidP="00F93807">
      <w:pPr>
        <w:pStyle w:val="ListParagraph"/>
        <w:numPr>
          <w:ilvl w:val="0"/>
          <w:numId w:val="1"/>
        </w:numPr>
        <w:rPr>
          <w:snapToGrid w:val="0"/>
        </w:rPr>
      </w:pPr>
      <w:r w:rsidRPr="00F91FB1">
        <w:rPr>
          <w:snapToGrid w:val="0"/>
        </w:rPr>
        <w:t xml:space="preserve">NWS </w:t>
      </w:r>
      <w:r w:rsidR="002E6CC5">
        <w:rPr>
          <w:snapToGrid w:val="0"/>
        </w:rPr>
        <w:t xml:space="preserve">or NWS-comparable </w:t>
      </w:r>
      <w:r>
        <w:rPr>
          <w:snapToGrid w:val="0"/>
        </w:rPr>
        <w:t>data;</w:t>
      </w:r>
      <w:r w:rsidR="002E6CC5">
        <w:rPr>
          <w:snapToGrid w:val="0"/>
        </w:rPr>
        <w:t xml:space="preserve"> and </w:t>
      </w:r>
    </w:p>
    <w:p w14:paraId="382C45BC" w14:textId="16630F63" w:rsidR="00F93807" w:rsidRDefault="00F93807" w:rsidP="00F93807">
      <w:pPr>
        <w:pStyle w:val="ListParagraph"/>
        <w:numPr>
          <w:ilvl w:val="0"/>
          <w:numId w:val="1"/>
        </w:numPr>
        <w:rPr>
          <w:snapToGrid w:val="0"/>
        </w:rPr>
      </w:pPr>
      <w:r>
        <w:rPr>
          <w:snapToGrid w:val="0"/>
        </w:rPr>
        <w:t xml:space="preserve">Prognostic data </w:t>
      </w:r>
      <w:r w:rsidR="001D63E3">
        <w:rPr>
          <w:snapToGrid w:val="0"/>
        </w:rPr>
        <w:t xml:space="preserve">– i.e., </w:t>
      </w:r>
      <w:r w:rsidR="009304B6">
        <w:rPr>
          <w:snapToGrid w:val="0"/>
        </w:rPr>
        <w:t>data computer-</w:t>
      </w:r>
      <w:r w:rsidR="002E6CC5">
        <w:rPr>
          <w:snapToGrid w:val="0"/>
        </w:rPr>
        <w:t xml:space="preserve">generated </w:t>
      </w:r>
      <w:r w:rsidR="00FA030A">
        <w:rPr>
          <w:snapToGrid w:val="0"/>
        </w:rPr>
        <w:t>from</w:t>
      </w:r>
      <w:r>
        <w:rPr>
          <w:snapToGrid w:val="0"/>
        </w:rPr>
        <w:t xml:space="preserve"> </w:t>
      </w:r>
      <w:r w:rsidR="002E6CC5">
        <w:rPr>
          <w:snapToGrid w:val="0"/>
        </w:rPr>
        <w:t xml:space="preserve">a </w:t>
      </w:r>
      <w:r w:rsidR="00FA030A">
        <w:rPr>
          <w:snapToGrid w:val="0"/>
        </w:rPr>
        <w:t>three</w:t>
      </w:r>
      <w:r>
        <w:rPr>
          <w:snapToGrid w:val="0"/>
        </w:rPr>
        <w:t xml:space="preserve">-dimensional </w:t>
      </w:r>
      <w:r w:rsidR="00FA030A">
        <w:rPr>
          <w:snapToGrid w:val="0"/>
        </w:rPr>
        <w:t>mesoscale model</w:t>
      </w:r>
      <w:r w:rsidR="001D63E3">
        <w:rPr>
          <w:snapToGrid w:val="0"/>
        </w:rPr>
        <w:t>.</w:t>
      </w:r>
      <w:r w:rsidR="00EA5AD7">
        <w:rPr>
          <w:rStyle w:val="FootnoteReference"/>
          <w:snapToGrid w:val="0"/>
        </w:rPr>
        <w:footnoteReference w:id="37"/>
      </w:r>
      <w:r w:rsidR="001D63E3">
        <w:rPr>
          <w:snapToGrid w:val="0"/>
        </w:rPr>
        <w:t xml:space="preserve"> </w:t>
      </w:r>
    </w:p>
    <w:p w14:paraId="56CC9B8B" w14:textId="5C20B727" w:rsidR="00EA1136" w:rsidRPr="00261C7F" w:rsidRDefault="00EA1136" w:rsidP="00EA1136">
      <w:pPr>
        <w:rPr>
          <w:snapToGrid w:val="0"/>
        </w:rPr>
      </w:pPr>
      <w:r w:rsidRPr="00F93807">
        <w:rPr>
          <w:snapToGrid w:val="0"/>
        </w:rPr>
        <w:t xml:space="preserve">The overarching consideration is that the </w:t>
      </w:r>
      <w:r w:rsidR="00BA23EB">
        <w:rPr>
          <w:snapToGrid w:val="0"/>
        </w:rPr>
        <w:t xml:space="preserve">meteorological </w:t>
      </w:r>
      <w:r w:rsidRPr="00F93807">
        <w:rPr>
          <w:snapToGrid w:val="0"/>
        </w:rPr>
        <w:t xml:space="preserve">data needs to </w:t>
      </w:r>
      <w:r w:rsidR="001F6AF3">
        <w:rPr>
          <w:snapToGrid w:val="0"/>
        </w:rPr>
        <w:t xml:space="preserve">adequately </w:t>
      </w:r>
      <w:r w:rsidRPr="00F93807">
        <w:rPr>
          <w:snapToGrid w:val="0"/>
        </w:rPr>
        <w:t xml:space="preserve">represent the </w:t>
      </w:r>
      <w:r w:rsidR="00BA23EB">
        <w:rPr>
          <w:snapToGrid w:val="0"/>
        </w:rPr>
        <w:t xml:space="preserve">transport and dispersion </w:t>
      </w:r>
      <w:r w:rsidRPr="00F93807">
        <w:rPr>
          <w:snapToGrid w:val="0"/>
        </w:rPr>
        <w:t xml:space="preserve">conditions </w:t>
      </w:r>
      <w:r w:rsidRPr="00261C7F">
        <w:rPr>
          <w:snapToGrid w:val="0"/>
        </w:rPr>
        <w:t>at the given stationary source</w:t>
      </w:r>
      <w:r w:rsidR="001F6AF3">
        <w:rPr>
          <w:snapToGrid w:val="0"/>
        </w:rPr>
        <w:t>,</w:t>
      </w:r>
      <w:r w:rsidRPr="00261C7F">
        <w:rPr>
          <w:snapToGrid w:val="0"/>
        </w:rPr>
        <w:t xml:space="preserve"> and </w:t>
      </w:r>
      <w:r w:rsidR="00261C7F">
        <w:rPr>
          <w:snapToGrid w:val="0"/>
        </w:rPr>
        <w:t xml:space="preserve">it must </w:t>
      </w:r>
      <w:r w:rsidRPr="00261C7F">
        <w:rPr>
          <w:snapToGrid w:val="0"/>
        </w:rPr>
        <w:t xml:space="preserve">meet certain quality assurance requirements.  </w:t>
      </w:r>
      <w:r w:rsidR="00AA19EC">
        <w:rPr>
          <w:snapToGrid w:val="0"/>
        </w:rPr>
        <w:t xml:space="preserve">The number of years of data must also meet the minimum requirements for the given category.  </w:t>
      </w:r>
      <w:r w:rsidR="000C0CDD">
        <w:rPr>
          <w:snapToGrid w:val="0"/>
        </w:rPr>
        <w:t>Data from personal “weather stations,” including stations operated under a cooperative agreement with the NWS</w:t>
      </w:r>
      <w:r w:rsidR="001F6AF3">
        <w:rPr>
          <w:snapToGrid w:val="0"/>
        </w:rPr>
        <w:t>,</w:t>
      </w:r>
      <w:r w:rsidR="000C0CDD">
        <w:rPr>
          <w:snapToGrid w:val="0"/>
        </w:rPr>
        <w:t xml:space="preserve"> may not be used for air quality modeling purposes since they do not undergo the same level of quality assurance review as data collected by the NWS.  </w:t>
      </w:r>
    </w:p>
    <w:p w14:paraId="6BA6684B" w14:textId="3EEDFB72" w:rsidR="00BA23EB" w:rsidRPr="004A0A79" w:rsidRDefault="000C0CDD" w:rsidP="00F93421">
      <w:pPr>
        <w:rPr>
          <w:snapToGrid w:val="0"/>
        </w:rPr>
      </w:pPr>
      <w:r>
        <w:rPr>
          <w:snapToGrid w:val="0"/>
        </w:rPr>
        <w:t>M</w:t>
      </w:r>
      <w:r w:rsidR="00D126D3">
        <w:rPr>
          <w:snapToGrid w:val="0"/>
        </w:rPr>
        <w:t>ost stationary sources in Alaska are located beyond the representative range of the nearest NWS station</w:t>
      </w:r>
      <w:r>
        <w:rPr>
          <w:snapToGrid w:val="0"/>
        </w:rPr>
        <w:t>.  Therefore</w:t>
      </w:r>
      <w:r w:rsidR="00D126D3">
        <w:rPr>
          <w:snapToGrid w:val="0"/>
        </w:rPr>
        <w:t xml:space="preserve">, most applicants </w:t>
      </w:r>
      <w:r>
        <w:rPr>
          <w:snapToGrid w:val="0"/>
        </w:rPr>
        <w:t xml:space="preserve">have historically </w:t>
      </w:r>
      <w:r w:rsidR="00D126D3">
        <w:rPr>
          <w:snapToGrid w:val="0"/>
        </w:rPr>
        <w:t>need</w:t>
      </w:r>
      <w:r>
        <w:rPr>
          <w:snapToGrid w:val="0"/>
        </w:rPr>
        <w:t>ed</w:t>
      </w:r>
      <w:r w:rsidR="00D126D3">
        <w:rPr>
          <w:snapToGrid w:val="0"/>
        </w:rPr>
        <w:t xml:space="preserve"> to obtain at least </w:t>
      </w:r>
      <w:r w:rsidR="00725E81">
        <w:rPr>
          <w:snapToGrid w:val="0"/>
        </w:rPr>
        <w:t>one year</w:t>
      </w:r>
      <w:r w:rsidR="00D126D3">
        <w:rPr>
          <w:snapToGrid w:val="0"/>
        </w:rPr>
        <w:t xml:space="preserve"> of </w:t>
      </w:r>
      <w:r w:rsidR="00536A99">
        <w:rPr>
          <w:snapToGrid w:val="0"/>
        </w:rPr>
        <w:t xml:space="preserve">site-specific </w:t>
      </w:r>
      <w:r w:rsidR="00D126D3">
        <w:rPr>
          <w:snapToGrid w:val="0"/>
        </w:rPr>
        <w:t>meteorological data</w:t>
      </w:r>
      <w:r w:rsidR="002310E2">
        <w:rPr>
          <w:snapToGrid w:val="0"/>
        </w:rPr>
        <w:t xml:space="preserve"> </w:t>
      </w:r>
      <w:proofErr w:type="gramStart"/>
      <w:r w:rsidR="002310E2">
        <w:rPr>
          <w:snapToGrid w:val="0"/>
        </w:rPr>
        <w:t>in order to</w:t>
      </w:r>
      <w:proofErr w:type="gramEnd"/>
      <w:r w:rsidR="002310E2">
        <w:rPr>
          <w:snapToGrid w:val="0"/>
        </w:rPr>
        <w:t xml:space="preserve"> conduct a refined modeling analysis</w:t>
      </w:r>
      <w:r w:rsidR="00F93421">
        <w:rPr>
          <w:snapToGrid w:val="0"/>
        </w:rPr>
        <w:t>.</w:t>
      </w:r>
    </w:p>
    <w:p w14:paraId="02514582" w14:textId="77777777" w:rsidR="00F93421" w:rsidRDefault="00AD5C0A" w:rsidP="00F93421">
      <w:pPr>
        <w:pStyle w:val="Heading3"/>
        <w:rPr>
          <w:snapToGrid w:val="0"/>
        </w:rPr>
      </w:pPr>
      <w:r>
        <w:rPr>
          <w:snapToGrid w:val="0"/>
        </w:rPr>
        <w:tab/>
      </w:r>
      <w:bookmarkStart w:id="117" w:name="_Ref448906553"/>
      <w:bookmarkStart w:id="118" w:name="_Toc526778247"/>
      <w:r w:rsidR="00F93421">
        <w:rPr>
          <w:snapToGrid w:val="0"/>
        </w:rPr>
        <w:t xml:space="preserve">What is </w:t>
      </w:r>
      <w:bookmarkStart w:id="119" w:name="RepresentativeMeteorology"/>
      <w:r w:rsidR="00F93421">
        <w:rPr>
          <w:snapToGrid w:val="0"/>
        </w:rPr>
        <w:t>Representative Meteorological</w:t>
      </w:r>
      <w:bookmarkEnd w:id="119"/>
      <w:r w:rsidR="00F93421">
        <w:rPr>
          <w:snapToGrid w:val="0"/>
        </w:rPr>
        <w:t xml:space="preserve"> Data?</w:t>
      </w:r>
      <w:bookmarkEnd w:id="117"/>
      <w:bookmarkEnd w:id="118"/>
    </w:p>
    <w:p w14:paraId="02E42BC7" w14:textId="3F8B395D" w:rsidR="00F93421" w:rsidRDefault="00F93421" w:rsidP="00F93421">
      <w:pPr>
        <w:rPr>
          <w:snapToGrid w:val="0"/>
        </w:rPr>
      </w:pPr>
      <w:r>
        <w:rPr>
          <w:snapToGrid w:val="0"/>
        </w:rPr>
        <w:t>Section 8.</w:t>
      </w:r>
      <w:r w:rsidR="0016362B">
        <w:rPr>
          <w:snapToGrid w:val="0"/>
        </w:rPr>
        <w:t>4</w:t>
      </w:r>
      <w:r w:rsidR="00F4506E">
        <w:rPr>
          <w:snapToGrid w:val="0"/>
        </w:rPr>
        <w:t>.1</w:t>
      </w:r>
      <w:r w:rsidR="008F461C">
        <w:rPr>
          <w:snapToGrid w:val="0"/>
        </w:rPr>
        <w:t>(</w:t>
      </w:r>
      <w:r w:rsidR="00F4506E">
        <w:rPr>
          <w:snapToGrid w:val="0"/>
        </w:rPr>
        <w:t>b</w:t>
      </w:r>
      <w:r w:rsidR="008F461C">
        <w:rPr>
          <w:snapToGrid w:val="0"/>
        </w:rPr>
        <w:t>)</w:t>
      </w:r>
      <w:r w:rsidR="0016362B">
        <w:rPr>
          <w:snapToGrid w:val="0"/>
        </w:rPr>
        <w:t xml:space="preserve"> </w:t>
      </w:r>
      <w:r>
        <w:rPr>
          <w:snapToGrid w:val="0"/>
        </w:rPr>
        <w:t xml:space="preserve">of the </w:t>
      </w:r>
      <w:r w:rsidRPr="00196955">
        <w:rPr>
          <w:snapToGrid w:val="0"/>
        </w:rPr>
        <w:t>Guideline</w:t>
      </w:r>
      <w:r>
        <w:rPr>
          <w:snapToGrid w:val="0"/>
        </w:rPr>
        <w:t xml:space="preserve"> states</w:t>
      </w:r>
      <w:r w:rsidR="00B63515">
        <w:rPr>
          <w:snapToGrid w:val="0"/>
        </w:rPr>
        <w:t>,</w:t>
      </w:r>
      <w:r>
        <w:rPr>
          <w:snapToGrid w:val="0"/>
        </w:rPr>
        <w:t xml:space="preserve"> </w:t>
      </w:r>
      <w:r w:rsidR="00B63515">
        <w:rPr>
          <w:snapToGrid w:val="0"/>
        </w:rPr>
        <w:t>“T</w:t>
      </w:r>
      <w:r>
        <w:rPr>
          <w:snapToGrid w:val="0"/>
        </w:rPr>
        <w:t xml:space="preserve">he meteorological data used </w:t>
      </w:r>
      <w:r w:rsidR="00B63515">
        <w:rPr>
          <w:snapToGrid w:val="0"/>
        </w:rPr>
        <w:t xml:space="preserve">as </w:t>
      </w:r>
      <w:r>
        <w:rPr>
          <w:snapToGrid w:val="0"/>
        </w:rPr>
        <w:t>in</w:t>
      </w:r>
      <w:r w:rsidR="00B63515">
        <w:rPr>
          <w:snapToGrid w:val="0"/>
        </w:rPr>
        <w:t>put to</w:t>
      </w:r>
      <w:r>
        <w:rPr>
          <w:snapToGrid w:val="0"/>
        </w:rPr>
        <w:t xml:space="preserve"> a dispersion model should be selected on the basis of spatial and climatological (temporal) </w:t>
      </w:r>
      <w:r w:rsidRPr="006B09A1">
        <w:rPr>
          <w:i/>
          <w:snapToGrid w:val="0"/>
          <w:u w:val="single"/>
        </w:rPr>
        <w:t>representativeness</w:t>
      </w:r>
      <w:r>
        <w:rPr>
          <w:snapToGrid w:val="0"/>
        </w:rPr>
        <w:t xml:space="preserve"> as well as the ability of the individual parameters selected to characterize the transport and dispersion conditions in the area of concern</w:t>
      </w:r>
      <w:r w:rsidR="00B63515">
        <w:rPr>
          <w:snapToGrid w:val="0"/>
        </w:rPr>
        <w:t>” (emphasis added)</w:t>
      </w:r>
      <w:r>
        <w:rPr>
          <w:snapToGrid w:val="0"/>
        </w:rPr>
        <w:t xml:space="preserve">.  </w:t>
      </w:r>
      <w:r w:rsidR="00B63515">
        <w:rPr>
          <w:snapToGrid w:val="0"/>
        </w:rPr>
        <w:t>This means the meteorological data must be evaluated and purposely selected, rather than selected just because it</w:t>
      </w:r>
      <w:r w:rsidR="00AB446A">
        <w:rPr>
          <w:snapToGrid w:val="0"/>
        </w:rPr>
        <w:t xml:space="preserve"> i</w:t>
      </w:r>
      <w:r w:rsidR="00B63515">
        <w:rPr>
          <w:snapToGrid w:val="0"/>
        </w:rPr>
        <w:t xml:space="preserve">s available.  </w:t>
      </w:r>
    </w:p>
    <w:p w14:paraId="7D10F68B" w14:textId="0FE0914F" w:rsidR="005F651E" w:rsidDel="002D3F89" w:rsidRDefault="005F651E" w:rsidP="005F651E">
      <w:pPr>
        <w:rPr>
          <w:snapToGrid w:val="0"/>
        </w:rPr>
      </w:pPr>
      <w:r w:rsidDel="002D3F89">
        <w:rPr>
          <w:snapToGrid w:val="0"/>
        </w:rPr>
        <w:t>The spatial representativeness of the data can be adversely affected by large distances between the source and receptors of interest and the differing topographic</w:t>
      </w:r>
      <w:r w:rsidR="00024726">
        <w:rPr>
          <w:snapToGrid w:val="0"/>
        </w:rPr>
        <w:t>/land use</w:t>
      </w:r>
      <w:r w:rsidDel="002D3F89">
        <w:rPr>
          <w:snapToGrid w:val="0"/>
        </w:rPr>
        <w:t xml:space="preserve"> characteristics of the source and meteorological data areas.  </w:t>
      </w:r>
      <w:r>
        <w:rPr>
          <w:snapToGrid w:val="0"/>
        </w:rPr>
        <w:t>For example, surface winds should reflect the transport conditions that emission releases would experience.  Over large</w:t>
      </w:r>
      <w:r w:rsidR="006B09A1">
        <w:rPr>
          <w:snapToGrid w:val="0"/>
        </w:rPr>
        <w:t>,</w:t>
      </w:r>
      <w:r>
        <w:rPr>
          <w:snapToGrid w:val="0"/>
        </w:rPr>
        <w:t xml:space="preserve"> open expanses</w:t>
      </w:r>
      <w:r w:rsidR="006B09A1">
        <w:rPr>
          <w:snapToGrid w:val="0"/>
        </w:rPr>
        <w:t>,</w:t>
      </w:r>
      <w:r>
        <w:rPr>
          <w:snapToGrid w:val="0"/>
        </w:rPr>
        <w:t xml:space="preserve"> the surface winds may be more uniform, whereas the winds can vary greatly in more complex terrain, e.g., valleys and ridges, where heating and cooling </w:t>
      </w:r>
      <w:r>
        <w:rPr>
          <w:snapToGrid w:val="0"/>
        </w:rPr>
        <w:lastRenderedPageBreak/>
        <w:t xml:space="preserve">of the earth’s surface can play an important role in how the wind field develops.  </w:t>
      </w:r>
      <w:r w:rsidDel="002D3F89">
        <w:rPr>
          <w:snapToGrid w:val="0"/>
        </w:rPr>
        <w:t>Hourly surface winds should reflect the transport conditions, whether it is meteorological in nature (such as existing weather conditions) or terrain-induced (such as flow down a valley) or other factor</w:t>
      </w:r>
      <w:r>
        <w:rPr>
          <w:snapToGrid w:val="0"/>
        </w:rPr>
        <w:t>s</w:t>
      </w:r>
      <w:r w:rsidDel="002D3F89">
        <w:rPr>
          <w:snapToGrid w:val="0"/>
        </w:rPr>
        <w:t>, that the emission releases would experience.</w:t>
      </w:r>
    </w:p>
    <w:p w14:paraId="37B710B7" w14:textId="5DA738EB" w:rsidR="00F26D5F" w:rsidRDefault="00F93421" w:rsidP="005F651E">
      <w:pPr>
        <w:rPr>
          <w:snapToGrid w:val="0"/>
        </w:rPr>
      </w:pPr>
      <w:r>
        <w:rPr>
          <w:snapToGrid w:val="0"/>
        </w:rPr>
        <w:t xml:space="preserve">The representativeness of the data is </w:t>
      </w:r>
      <w:r w:rsidR="005F651E">
        <w:rPr>
          <w:snapToGrid w:val="0"/>
        </w:rPr>
        <w:t xml:space="preserve">therefore </w:t>
      </w:r>
      <w:r>
        <w:rPr>
          <w:snapToGrid w:val="0"/>
        </w:rPr>
        <w:t xml:space="preserve">dependent on: </w:t>
      </w:r>
    </w:p>
    <w:p w14:paraId="46C72F30" w14:textId="77777777" w:rsidR="00F26D5F" w:rsidRDefault="00F93421" w:rsidP="00264C17">
      <w:pPr>
        <w:ind w:firstLine="720"/>
        <w:rPr>
          <w:snapToGrid w:val="0"/>
        </w:rPr>
      </w:pPr>
      <w:r>
        <w:rPr>
          <w:snapToGrid w:val="0"/>
        </w:rPr>
        <w:t xml:space="preserve">(1) the proximity of the meteorological monitoring site to the project </w:t>
      </w:r>
      <w:proofErr w:type="gramStart"/>
      <w:r>
        <w:rPr>
          <w:snapToGrid w:val="0"/>
        </w:rPr>
        <w:t>area;</w:t>
      </w:r>
      <w:proofErr w:type="gramEnd"/>
      <w:r>
        <w:rPr>
          <w:snapToGrid w:val="0"/>
        </w:rPr>
        <w:t xml:space="preserve"> </w:t>
      </w:r>
    </w:p>
    <w:p w14:paraId="1C4C1924" w14:textId="77777777" w:rsidR="00F26D5F" w:rsidRDefault="00F93421" w:rsidP="00264C17">
      <w:pPr>
        <w:ind w:firstLine="720"/>
        <w:rPr>
          <w:snapToGrid w:val="0"/>
        </w:rPr>
      </w:pPr>
      <w:r>
        <w:rPr>
          <w:snapToGrid w:val="0"/>
        </w:rPr>
        <w:t xml:space="preserve">(2) the complexity of the </w:t>
      </w:r>
      <w:proofErr w:type="gramStart"/>
      <w:r>
        <w:rPr>
          <w:snapToGrid w:val="0"/>
        </w:rPr>
        <w:t>terrain;</w:t>
      </w:r>
      <w:proofErr w:type="gramEnd"/>
      <w:r>
        <w:rPr>
          <w:snapToGrid w:val="0"/>
        </w:rPr>
        <w:t xml:space="preserve"> </w:t>
      </w:r>
    </w:p>
    <w:p w14:paraId="2DC9EEA3" w14:textId="6DCE697D" w:rsidR="00F26D5F" w:rsidRDefault="00F93421" w:rsidP="00264C17">
      <w:pPr>
        <w:ind w:firstLine="720"/>
        <w:rPr>
          <w:snapToGrid w:val="0"/>
        </w:rPr>
      </w:pPr>
      <w:r>
        <w:rPr>
          <w:snapToGrid w:val="0"/>
        </w:rPr>
        <w:t>(3)</w:t>
      </w:r>
      <w:r w:rsidR="007A26EC">
        <w:rPr>
          <w:snapToGrid w:val="0"/>
        </w:rPr>
        <w:t xml:space="preserve"> </w:t>
      </w:r>
      <w:r>
        <w:rPr>
          <w:snapToGrid w:val="0"/>
        </w:rPr>
        <w:t xml:space="preserve">the exposure of the meteorological monitoring site; and </w:t>
      </w:r>
    </w:p>
    <w:p w14:paraId="1A48D50E" w14:textId="77777777" w:rsidR="00F26D5F" w:rsidRDefault="00F93421" w:rsidP="00264C17">
      <w:pPr>
        <w:ind w:firstLine="720"/>
        <w:rPr>
          <w:snapToGrid w:val="0"/>
        </w:rPr>
      </w:pPr>
      <w:r>
        <w:rPr>
          <w:snapToGrid w:val="0"/>
        </w:rPr>
        <w:t xml:space="preserve">(4) the </w:t>
      </w:r>
      <w:proofErr w:type="gramStart"/>
      <w:r>
        <w:rPr>
          <w:snapToGrid w:val="0"/>
        </w:rPr>
        <w:t>period of time</w:t>
      </w:r>
      <w:proofErr w:type="gramEnd"/>
      <w:r>
        <w:rPr>
          <w:snapToGrid w:val="0"/>
        </w:rPr>
        <w:t xml:space="preserve"> during which data </w:t>
      </w:r>
      <w:proofErr w:type="gramStart"/>
      <w:r>
        <w:rPr>
          <w:snapToGrid w:val="0"/>
        </w:rPr>
        <w:t>are</w:t>
      </w:r>
      <w:proofErr w:type="gramEnd"/>
      <w:r>
        <w:rPr>
          <w:snapToGrid w:val="0"/>
        </w:rPr>
        <w:t xml:space="preserve"> collected.  </w:t>
      </w:r>
    </w:p>
    <w:p w14:paraId="300D8CFE" w14:textId="233C21BD" w:rsidR="00F26D5F" w:rsidRDefault="00F93421" w:rsidP="00F26D5F">
      <w:pPr>
        <w:rPr>
          <w:snapToGrid w:val="0"/>
        </w:rPr>
      </w:pPr>
      <w:r>
        <w:rPr>
          <w:snapToGrid w:val="0"/>
        </w:rPr>
        <w:t xml:space="preserve">Data representativeness should be evaluated on a parameter-by-parameter basis and is dependent on the purpose for which the parameters are required in the dispersion model.  </w:t>
      </w:r>
      <w:r w:rsidR="00B63515">
        <w:rPr>
          <w:snapToGrid w:val="0"/>
        </w:rPr>
        <w:t xml:space="preserve">When selecting meteorological data for </w:t>
      </w:r>
      <w:r w:rsidR="009B02E4">
        <w:rPr>
          <w:snapToGrid w:val="0"/>
        </w:rPr>
        <w:t xml:space="preserve">the </w:t>
      </w:r>
      <w:r w:rsidR="00B63515">
        <w:rPr>
          <w:snapToGrid w:val="0"/>
        </w:rPr>
        <w:t>AERMOD</w:t>
      </w:r>
      <w:r w:rsidR="009B02E4">
        <w:rPr>
          <w:snapToGrid w:val="0"/>
        </w:rPr>
        <w:t xml:space="preserve"> Modeling System</w:t>
      </w:r>
      <w:r w:rsidR="00B63515">
        <w:rPr>
          <w:snapToGrid w:val="0"/>
        </w:rPr>
        <w:t xml:space="preserve">, </w:t>
      </w:r>
      <w:r w:rsidR="00F26D5F">
        <w:rPr>
          <w:snapToGrid w:val="0"/>
        </w:rPr>
        <w:t>Section</w:t>
      </w:r>
      <w:r w:rsidR="00EB3AED" w:rsidRPr="008E3429">
        <w:t> </w:t>
      </w:r>
      <w:r w:rsidR="00F26D5F">
        <w:rPr>
          <w:snapToGrid w:val="0"/>
        </w:rPr>
        <w:t>8.4.2</w:t>
      </w:r>
      <w:r w:rsidR="008F461C">
        <w:rPr>
          <w:snapToGrid w:val="0"/>
        </w:rPr>
        <w:t>(</w:t>
      </w:r>
      <w:r w:rsidR="00F26D5F">
        <w:rPr>
          <w:snapToGrid w:val="0"/>
        </w:rPr>
        <w:t>b</w:t>
      </w:r>
      <w:r w:rsidR="008F461C">
        <w:rPr>
          <w:snapToGrid w:val="0"/>
        </w:rPr>
        <w:t>)</w:t>
      </w:r>
      <w:r w:rsidR="00F26D5F">
        <w:rPr>
          <w:snapToGrid w:val="0"/>
        </w:rPr>
        <w:t xml:space="preserve"> of </w:t>
      </w:r>
      <w:r>
        <w:rPr>
          <w:snapToGrid w:val="0"/>
        </w:rPr>
        <w:t xml:space="preserve">the </w:t>
      </w:r>
      <w:r w:rsidRPr="00196955">
        <w:rPr>
          <w:snapToGrid w:val="0"/>
        </w:rPr>
        <w:t>Guideline</w:t>
      </w:r>
      <w:r w:rsidR="00B63515">
        <w:rPr>
          <w:snapToGrid w:val="0"/>
        </w:rPr>
        <w:t xml:space="preserve"> states</w:t>
      </w:r>
      <w:r w:rsidR="00F26D5F">
        <w:rPr>
          <w:snapToGrid w:val="0"/>
        </w:rPr>
        <w:t>:</w:t>
      </w:r>
      <w:r>
        <w:rPr>
          <w:snapToGrid w:val="0"/>
        </w:rPr>
        <w:t xml:space="preserve"> </w:t>
      </w:r>
    </w:p>
    <w:p w14:paraId="06701078" w14:textId="275007B6" w:rsidR="00F93421" w:rsidRDefault="00F26D5F" w:rsidP="00F26D5F">
      <w:pPr>
        <w:ind w:left="540" w:right="540"/>
        <w:rPr>
          <w:snapToGrid w:val="0"/>
        </w:rPr>
      </w:pPr>
      <w:r>
        <w:rPr>
          <w:snapToGrid w:val="0"/>
        </w:rPr>
        <w:t xml:space="preserve">Data representativeness, </w:t>
      </w:r>
      <w:r w:rsidR="00F93421">
        <w:rPr>
          <w:snapToGrid w:val="0"/>
        </w:rPr>
        <w:t xml:space="preserve">in the case of AERMOD, means utilizing data of an appropriate type for constructing realistic boundary layer profiles.  </w:t>
      </w:r>
      <w:r w:rsidR="00F93421" w:rsidRPr="00966F53">
        <w:rPr>
          <w:snapToGrid w:val="0"/>
        </w:rPr>
        <w:t xml:space="preserve">Of </w:t>
      </w:r>
      <w:r w:rsidR="003C733E">
        <w:rPr>
          <w:snapToGrid w:val="0"/>
        </w:rPr>
        <w:t>particular</w:t>
      </w:r>
      <w:r w:rsidR="003C733E" w:rsidRPr="00966F53">
        <w:rPr>
          <w:snapToGrid w:val="0"/>
        </w:rPr>
        <w:t xml:space="preserve"> </w:t>
      </w:r>
      <w:r w:rsidR="00F93421" w:rsidRPr="00966F53">
        <w:rPr>
          <w:snapToGrid w:val="0"/>
        </w:rPr>
        <w:t xml:space="preserve">importance is the requirement that all meteorological data used as input to AERMOD </w:t>
      </w:r>
      <w:r w:rsidR="00227C35">
        <w:rPr>
          <w:snapToGrid w:val="0"/>
        </w:rPr>
        <w:t xml:space="preserve">should be adequately representative </w:t>
      </w:r>
      <w:r w:rsidR="00F93421" w:rsidRPr="00966F53">
        <w:rPr>
          <w:snapToGrid w:val="0"/>
        </w:rPr>
        <w:t xml:space="preserve">of the transport and dispersion within the analysis domain. </w:t>
      </w:r>
      <w:r w:rsidR="00F93421">
        <w:rPr>
          <w:snapToGrid w:val="0"/>
        </w:rPr>
        <w:t xml:space="preserve"> </w:t>
      </w:r>
      <w:r w:rsidR="00F93421" w:rsidRPr="00966F53">
        <w:rPr>
          <w:snapToGrid w:val="0"/>
        </w:rPr>
        <w:t xml:space="preserve">Where surface conditions vary significantly over the analysis domain, the emphasis in assessing representativeness should be given to adequate characterization of transport and dispersion between the source(s) of concern and areas where maximum design concentrations are anticipated to occur. </w:t>
      </w:r>
    </w:p>
    <w:p w14:paraId="573A8A51" w14:textId="580584F2" w:rsidR="00F93421" w:rsidRDefault="00155905" w:rsidP="00F93421">
      <w:pPr>
        <w:rPr>
          <w:snapToGrid w:val="0"/>
        </w:rPr>
      </w:pPr>
      <w:r w:rsidRPr="00916B40">
        <w:rPr>
          <w:snapToGrid w:val="0"/>
        </w:rPr>
        <w:t xml:space="preserve">The applicant should provide </w:t>
      </w:r>
      <w:r w:rsidR="005F651E">
        <w:rPr>
          <w:snapToGrid w:val="0"/>
        </w:rPr>
        <w:t xml:space="preserve">a sufficient discussion regarding </w:t>
      </w:r>
      <w:r w:rsidRPr="00916B40">
        <w:rPr>
          <w:snapToGrid w:val="0"/>
        </w:rPr>
        <w:t xml:space="preserve">the meteorological data to </w:t>
      </w:r>
      <w:r>
        <w:rPr>
          <w:snapToGrid w:val="0"/>
        </w:rPr>
        <w:t>demonstrate that the data is representative</w:t>
      </w:r>
      <w:r w:rsidR="005F651E">
        <w:rPr>
          <w:snapToGrid w:val="0"/>
        </w:rPr>
        <w:t xml:space="preserve"> of the local transport conditions</w:t>
      </w:r>
      <w:r w:rsidRPr="00916B40">
        <w:rPr>
          <w:snapToGrid w:val="0"/>
        </w:rPr>
        <w:t xml:space="preserve">.  Wind roses </w:t>
      </w:r>
      <w:r w:rsidR="009A4D9B">
        <w:rPr>
          <w:snapToGrid w:val="0"/>
        </w:rPr>
        <w:t xml:space="preserve">(a frequency diagram that displays both wind speed and wind direction in a single plot) </w:t>
      </w:r>
      <w:r>
        <w:rPr>
          <w:snapToGrid w:val="0"/>
        </w:rPr>
        <w:t xml:space="preserve">are excellent tools for illustrating </w:t>
      </w:r>
      <w:r w:rsidR="005F651E">
        <w:rPr>
          <w:snapToGrid w:val="0"/>
        </w:rPr>
        <w:t xml:space="preserve">the </w:t>
      </w:r>
      <w:r w:rsidRPr="00916B40">
        <w:rPr>
          <w:snapToGrid w:val="0"/>
        </w:rPr>
        <w:t>wind flow</w:t>
      </w:r>
      <w:r w:rsidR="005F651E">
        <w:rPr>
          <w:snapToGrid w:val="0"/>
        </w:rPr>
        <w:t xml:space="preserve"> pattern of the given </w:t>
      </w:r>
      <w:r w:rsidR="00AB446A">
        <w:rPr>
          <w:snapToGrid w:val="0"/>
        </w:rPr>
        <w:t>dataset</w:t>
      </w:r>
      <w:r w:rsidRPr="00916B40">
        <w:rPr>
          <w:snapToGrid w:val="0"/>
        </w:rPr>
        <w:t>.</w:t>
      </w:r>
      <w:r>
        <w:rPr>
          <w:snapToGrid w:val="0"/>
        </w:rPr>
        <w:t xml:space="preserve">  </w:t>
      </w:r>
      <w:r w:rsidR="000B20F9">
        <w:rPr>
          <w:snapToGrid w:val="0"/>
        </w:rPr>
        <w:t xml:space="preserve">The </w:t>
      </w:r>
      <w:r w:rsidR="00AB446A">
        <w:rPr>
          <w:snapToGrid w:val="0"/>
        </w:rPr>
        <w:t>dataset</w:t>
      </w:r>
      <w:r w:rsidR="000B20F9">
        <w:rPr>
          <w:snapToGrid w:val="0"/>
        </w:rPr>
        <w:t xml:space="preserve"> must also meet the temporal requirements, which are summarized in Section </w:t>
      </w:r>
      <w:r w:rsidR="000B20F9">
        <w:rPr>
          <w:snapToGrid w:val="0"/>
        </w:rPr>
        <w:fldChar w:fldCharType="begin"/>
      </w:r>
      <w:r w:rsidR="000B20F9">
        <w:rPr>
          <w:snapToGrid w:val="0"/>
        </w:rPr>
        <w:instrText xml:space="preserve"> REF _Ref482776135 \w \h </w:instrText>
      </w:r>
      <w:r w:rsidR="000B20F9">
        <w:rPr>
          <w:snapToGrid w:val="0"/>
        </w:rPr>
      </w:r>
      <w:r w:rsidR="000B20F9">
        <w:rPr>
          <w:snapToGrid w:val="0"/>
        </w:rPr>
        <w:fldChar w:fldCharType="separate"/>
      </w:r>
      <w:r w:rsidR="00135FFD">
        <w:rPr>
          <w:snapToGrid w:val="0"/>
        </w:rPr>
        <w:t>2.6.2</w:t>
      </w:r>
      <w:r w:rsidR="000B20F9">
        <w:rPr>
          <w:snapToGrid w:val="0"/>
        </w:rPr>
        <w:fldChar w:fldCharType="end"/>
      </w:r>
      <w:r w:rsidR="00EA692F">
        <w:rPr>
          <w:snapToGrid w:val="0"/>
        </w:rPr>
        <w:t xml:space="preserve"> of this manual</w:t>
      </w:r>
      <w:r w:rsidR="000B20F9">
        <w:rPr>
          <w:snapToGrid w:val="0"/>
        </w:rPr>
        <w:t xml:space="preserve">.  </w:t>
      </w:r>
      <w:r w:rsidR="00F93421">
        <w:t xml:space="preserve">The </w:t>
      </w:r>
      <w:r w:rsidR="00456DCF">
        <w:t>AM&amp;QA program</w:t>
      </w:r>
      <w:r w:rsidR="00F93421" w:rsidRPr="00B11C75">
        <w:rPr>
          <w:snapToGrid w:val="0"/>
        </w:rPr>
        <w:t xml:space="preserve"> has a meteorologist </w:t>
      </w:r>
      <w:r w:rsidR="00AB446A">
        <w:rPr>
          <w:snapToGrid w:val="0"/>
        </w:rPr>
        <w:t>who</w:t>
      </w:r>
      <w:r w:rsidR="00F93421" w:rsidRPr="00B11C75">
        <w:rPr>
          <w:snapToGrid w:val="0"/>
        </w:rPr>
        <w:t xml:space="preserve"> </w:t>
      </w:r>
      <w:r w:rsidR="005F651E">
        <w:rPr>
          <w:snapToGrid w:val="0"/>
        </w:rPr>
        <w:t>you may</w:t>
      </w:r>
      <w:r w:rsidR="00F93421" w:rsidRPr="00B11C75">
        <w:rPr>
          <w:snapToGrid w:val="0"/>
        </w:rPr>
        <w:t xml:space="preserve"> contact</w:t>
      </w:r>
      <w:r w:rsidR="00F93421">
        <w:rPr>
          <w:snapToGrid w:val="0"/>
        </w:rPr>
        <w:t xml:space="preserve"> to help </w:t>
      </w:r>
      <w:r w:rsidR="00AD433B">
        <w:rPr>
          <w:snapToGrid w:val="0"/>
        </w:rPr>
        <w:t>assess whether a particular dataset is representative of the expected transport conditions</w:t>
      </w:r>
      <w:r w:rsidR="005F651E">
        <w:rPr>
          <w:snapToGrid w:val="0"/>
        </w:rPr>
        <w:t xml:space="preserve"> for the given source</w:t>
      </w:r>
      <w:r w:rsidR="00F93421">
        <w:rPr>
          <w:snapToGrid w:val="0"/>
        </w:rPr>
        <w:t>.</w:t>
      </w:r>
    </w:p>
    <w:p w14:paraId="7BD930B8" w14:textId="77777777" w:rsidR="00F93421" w:rsidRPr="0095492F" w:rsidRDefault="00F93421" w:rsidP="00F93421">
      <w:pPr>
        <w:pStyle w:val="Heading4"/>
        <w:rPr>
          <w:snapToGrid w:val="0"/>
        </w:rPr>
      </w:pPr>
      <w:bookmarkStart w:id="120" w:name="_Toc526778248"/>
      <w:r w:rsidRPr="0095492F">
        <w:rPr>
          <w:snapToGrid w:val="0"/>
        </w:rPr>
        <w:t xml:space="preserve">Tower </w:t>
      </w:r>
      <w:r>
        <w:rPr>
          <w:snapToGrid w:val="0"/>
        </w:rPr>
        <w:t>Measurements</w:t>
      </w:r>
      <w:bookmarkEnd w:id="120"/>
    </w:p>
    <w:p w14:paraId="562F073E" w14:textId="64385FBC" w:rsidR="00F93421" w:rsidRPr="00C94A25" w:rsidRDefault="00F93421" w:rsidP="002515EC">
      <w:r>
        <w:t xml:space="preserve">Typically, several meteorological parameters required for dispersion modeling are collected from instrumentation on a tower.  The height of this tower and the height at which the measurements are made vary from one application to another.  </w:t>
      </w:r>
      <w:r w:rsidR="00EB3AED">
        <w:t xml:space="preserve">All instrumentation used in a site-specific monitoring program must </w:t>
      </w:r>
      <w:r w:rsidR="00DC6EA3">
        <w:t xml:space="preserve">be </w:t>
      </w:r>
      <w:r w:rsidR="00EB3AED">
        <w:t xml:space="preserve">sited in accordance </w:t>
      </w:r>
      <w:r w:rsidR="00EB3AED">
        <w:lastRenderedPageBreak/>
        <w:t xml:space="preserve">with </w:t>
      </w:r>
      <w:r w:rsidR="00EB3AED">
        <w:rPr>
          <w:snapToGrid w:val="0"/>
        </w:rPr>
        <w:t>Section</w:t>
      </w:r>
      <w:r w:rsidR="00EB3AED" w:rsidRPr="008E3429">
        <w:t> </w:t>
      </w:r>
      <w:r w:rsidR="00EB3AED">
        <w:rPr>
          <w:snapToGrid w:val="0"/>
        </w:rPr>
        <w:t xml:space="preserve">3 of EPA’s </w:t>
      </w:r>
      <w:r w:rsidR="00EB3AED" w:rsidRPr="00B35524">
        <w:rPr>
          <w:i/>
          <w:snapToGrid w:val="0"/>
        </w:rPr>
        <w:t>Meteorological Monitoring Guidance for Regulatory Modeling Applications</w:t>
      </w:r>
      <w:r w:rsidR="00EB3AED">
        <w:rPr>
          <w:i/>
          <w:snapToGrid w:val="0"/>
        </w:rPr>
        <w:t>,</w:t>
      </w:r>
      <w:bookmarkStart w:id="121" w:name="_Ref489604893"/>
      <w:r w:rsidR="00EB3AED" w:rsidRPr="002515EC">
        <w:rPr>
          <w:rStyle w:val="FootnoteReference"/>
          <w:snapToGrid w:val="0"/>
        </w:rPr>
        <w:footnoteReference w:id="38"/>
      </w:r>
      <w:bookmarkEnd w:id="121"/>
      <w:r w:rsidR="00EB3AED">
        <w:rPr>
          <w:snapToGrid w:val="0"/>
        </w:rPr>
        <w:t xml:space="preserve"> which ADEC has adopted by reference in </w:t>
      </w:r>
      <w:hyperlink r:id="rId71" w:history="1">
        <w:r w:rsidR="00EA692F" w:rsidRPr="00C72534">
          <w:rPr>
            <w:rStyle w:val="Hyperlink"/>
          </w:rPr>
          <w:t>18 AAC 50.035</w:t>
        </w:r>
      </w:hyperlink>
      <w:r w:rsidR="00EA692F" w:rsidRPr="00794DA5">
        <w:t>(a)</w:t>
      </w:r>
      <w:r>
        <w:t>.</w:t>
      </w:r>
    </w:p>
    <w:p w14:paraId="6535ADDD" w14:textId="77777777" w:rsidR="00F93421" w:rsidRPr="006A2939" w:rsidRDefault="00F93421" w:rsidP="00AB446A">
      <w:pPr>
        <w:keepNext/>
        <w:spacing w:after="60"/>
        <w:rPr>
          <w:b/>
          <w:u w:val="single"/>
        </w:rPr>
      </w:pPr>
      <w:r w:rsidRPr="006A2939">
        <w:rPr>
          <w:b/>
          <w:u w:val="single"/>
        </w:rPr>
        <w:t>Anemometer</w:t>
      </w:r>
    </w:p>
    <w:p w14:paraId="575BD70B" w14:textId="2F0F6220" w:rsidR="00F93421" w:rsidRDefault="00F93421" w:rsidP="00F93421">
      <w:r>
        <w:t>A major component of dispersion models is the transport of pollutants downwind.  Section 3.2.1.1 and 3.3.1 of EPA’s meteorological monitoring guidance says wind data is supposed to be representative of stack-top conditions or 100m (whichever is lower). However, does that mean a 10m tower can</w:t>
      </w:r>
      <w:r w:rsidR="00AB446A">
        <w:t>not</w:t>
      </w:r>
      <w:r>
        <w:t xml:space="preserve"> be used for a 15 m stack?  AERMET requires wind observations between 7z</w:t>
      </w:r>
      <w:r w:rsidRPr="00A52946">
        <w:rPr>
          <w:vertAlign w:val="subscript"/>
        </w:rPr>
        <w:t>0</w:t>
      </w:r>
      <w:r>
        <w:t xml:space="preserve"> (where z</w:t>
      </w:r>
      <w:r w:rsidRPr="00A52946">
        <w:rPr>
          <w:vertAlign w:val="subscript"/>
        </w:rPr>
        <w:t>0</w:t>
      </w:r>
      <w:r>
        <w:t xml:space="preserve"> is the surface roughness length </w:t>
      </w:r>
      <w:r w:rsidR="002515EC">
        <w:t xml:space="preserve">and is </w:t>
      </w:r>
      <w:r>
        <w:t xml:space="preserve">discussed elsewhere in the manual) and 100 m.  So how does one reconcile these requirements?  The answer </w:t>
      </w:r>
      <w:proofErr w:type="gramStart"/>
      <w:r>
        <w:t>actually depends</w:t>
      </w:r>
      <w:proofErr w:type="gramEnd"/>
      <w:r>
        <w:t xml:space="preserve"> on where the source is located.  ADEC has allowed the use of 10 m anemometer heights for modeling 10 – 50 m North Slope stacks.  However, the Alaskan interior can have extremely </w:t>
      </w:r>
      <w:r w:rsidR="00654A65">
        <w:t xml:space="preserve">shallow </w:t>
      </w:r>
      <w:r>
        <w:t xml:space="preserve">winter inversions where the </w:t>
      </w:r>
      <w:proofErr w:type="gramStart"/>
      <w:r>
        <w:t>wind flow</w:t>
      </w:r>
      <w:proofErr w:type="gramEnd"/>
      <w:r>
        <w:t xml:space="preserve"> can greatly vary at levels below this, in which case a 10 m anemometer height may not be appropriate for measuring transport conditions of a stack taller than 10 m.</w:t>
      </w:r>
    </w:p>
    <w:p w14:paraId="7955A014" w14:textId="77777777" w:rsidR="00F93421" w:rsidRPr="006A2939" w:rsidRDefault="00F93421" w:rsidP="002515EC">
      <w:pPr>
        <w:keepNext/>
        <w:spacing w:after="60"/>
        <w:rPr>
          <w:b/>
          <w:snapToGrid w:val="0"/>
          <w:u w:val="single"/>
        </w:rPr>
      </w:pPr>
      <w:r w:rsidRPr="006A2939">
        <w:rPr>
          <w:b/>
          <w:snapToGrid w:val="0"/>
          <w:u w:val="single"/>
        </w:rPr>
        <w:t>Temperature Difference</w:t>
      </w:r>
    </w:p>
    <w:p w14:paraId="64EB0C5C" w14:textId="3B67AE0B" w:rsidR="00F93421" w:rsidRDefault="00F93421" w:rsidP="00F93421">
      <w:pPr>
        <w:rPr>
          <w:snapToGrid w:val="0"/>
        </w:rPr>
      </w:pPr>
      <w:r>
        <w:rPr>
          <w:snapToGrid w:val="0"/>
        </w:rPr>
        <w:t>I</w:t>
      </w:r>
      <w:r w:rsidRPr="0095492F">
        <w:rPr>
          <w:snapToGrid w:val="0"/>
        </w:rPr>
        <w:t xml:space="preserve">f </w:t>
      </w:r>
      <w:r>
        <w:rPr>
          <w:snapToGrid w:val="0"/>
        </w:rPr>
        <w:t>the height of a t</w:t>
      </w:r>
      <w:r w:rsidRPr="0095492F">
        <w:rPr>
          <w:snapToGrid w:val="0"/>
        </w:rPr>
        <w:t>ower</w:t>
      </w:r>
      <w:r>
        <w:rPr>
          <w:snapToGrid w:val="0"/>
        </w:rPr>
        <w:t xml:space="preserve"> </w:t>
      </w:r>
      <w:r w:rsidRPr="0095492F">
        <w:rPr>
          <w:snapToGrid w:val="0"/>
        </w:rPr>
        <w:t>in a site-specific monitoring effort</w:t>
      </w:r>
      <w:r>
        <w:rPr>
          <w:snapToGrid w:val="0"/>
        </w:rPr>
        <w:t xml:space="preserve"> is higher than 10 m, the temperature difference, Δ</w:t>
      </w:r>
      <w:r w:rsidRPr="0095492F">
        <w:rPr>
          <w:snapToGrid w:val="0"/>
        </w:rPr>
        <w:t>T</w:t>
      </w:r>
      <w:r>
        <w:rPr>
          <w:snapToGrid w:val="0"/>
        </w:rPr>
        <w:t>, should still be collected</w:t>
      </w:r>
      <w:r w:rsidRPr="0095492F">
        <w:rPr>
          <w:snapToGrid w:val="0"/>
        </w:rPr>
        <w:t xml:space="preserve"> at the 2</w:t>
      </w:r>
      <w:r>
        <w:rPr>
          <w:snapToGrid w:val="0"/>
        </w:rPr>
        <w:t>-</w:t>
      </w:r>
      <w:r w:rsidRPr="0095492F">
        <w:rPr>
          <w:snapToGrid w:val="0"/>
        </w:rPr>
        <w:t>m</w:t>
      </w:r>
      <w:r>
        <w:rPr>
          <w:snapToGrid w:val="0"/>
        </w:rPr>
        <w:t>eter</w:t>
      </w:r>
      <w:r w:rsidRPr="0095492F">
        <w:rPr>
          <w:snapToGrid w:val="0"/>
        </w:rPr>
        <w:t xml:space="preserve"> </w:t>
      </w:r>
      <w:r>
        <w:rPr>
          <w:snapToGrid w:val="0"/>
        </w:rPr>
        <w:t>and</w:t>
      </w:r>
      <w:r w:rsidRPr="0095492F">
        <w:rPr>
          <w:snapToGrid w:val="0"/>
        </w:rPr>
        <w:t xml:space="preserve"> 10</w:t>
      </w:r>
      <w:r>
        <w:rPr>
          <w:snapToGrid w:val="0"/>
        </w:rPr>
        <w:t>-</w:t>
      </w:r>
      <w:r w:rsidRPr="0095492F">
        <w:rPr>
          <w:snapToGrid w:val="0"/>
        </w:rPr>
        <w:t>m</w:t>
      </w:r>
      <w:r>
        <w:rPr>
          <w:snapToGrid w:val="0"/>
        </w:rPr>
        <w:t>eter</w:t>
      </w:r>
      <w:r w:rsidRPr="0095492F">
        <w:rPr>
          <w:snapToGrid w:val="0"/>
        </w:rPr>
        <w:t xml:space="preserve"> levels for determining stability</w:t>
      </w:r>
      <w:r>
        <w:rPr>
          <w:snapToGrid w:val="0"/>
        </w:rPr>
        <w:t>.  While AERMOD will accept any pair of heights</w:t>
      </w:r>
      <w:r w:rsidRPr="0095492F">
        <w:rPr>
          <w:snapToGrid w:val="0"/>
        </w:rPr>
        <w:t xml:space="preserve">, the temperature dynamics are strongest near the surface (i.e., </w:t>
      </w:r>
      <w:r>
        <w:rPr>
          <w:snapToGrid w:val="0"/>
        </w:rPr>
        <w:t>a Δ</w:t>
      </w:r>
      <w:r w:rsidRPr="0095492F">
        <w:rPr>
          <w:snapToGrid w:val="0"/>
        </w:rPr>
        <w:t xml:space="preserve">T </w:t>
      </w:r>
      <w:r>
        <w:rPr>
          <w:snapToGrid w:val="0"/>
        </w:rPr>
        <w:t xml:space="preserve">over a larger height difference </w:t>
      </w:r>
      <w:r w:rsidRPr="0095492F">
        <w:rPr>
          <w:snapToGrid w:val="0"/>
        </w:rPr>
        <w:t>may incorrectly lead to neutral stability determinations).  Therefore, the conventional (10</w:t>
      </w:r>
      <w:r w:rsidR="00830CFC">
        <w:rPr>
          <w:snapToGrid w:val="0"/>
        </w:rPr>
        <w:t xml:space="preserve"> </w:t>
      </w:r>
      <w:r w:rsidRPr="0095492F">
        <w:rPr>
          <w:snapToGrid w:val="0"/>
        </w:rPr>
        <w:t>m – 2</w:t>
      </w:r>
      <w:r w:rsidR="00830CFC">
        <w:rPr>
          <w:snapToGrid w:val="0"/>
        </w:rPr>
        <w:t xml:space="preserve"> </w:t>
      </w:r>
      <w:r w:rsidRPr="0095492F">
        <w:rPr>
          <w:snapToGrid w:val="0"/>
        </w:rPr>
        <w:t>m) height</w:t>
      </w:r>
      <w:r>
        <w:rPr>
          <w:snapToGrid w:val="0"/>
        </w:rPr>
        <w:t xml:space="preserve"> should be used</w:t>
      </w:r>
      <w:r w:rsidRPr="0095492F">
        <w:rPr>
          <w:snapToGrid w:val="0"/>
        </w:rPr>
        <w:t xml:space="preserve">, unless there is a locally compelling reason </w:t>
      </w:r>
      <w:r w:rsidR="0065135E">
        <w:rPr>
          <w:snapToGrid w:val="0"/>
        </w:rPr>
        <w:t xml:space="preserve">to </w:t>
      </w:r>
      <w:r w:rsidR="004B280E">
        <w:rPr>
          <w:snapToGrid w:val="0"/>
        </w:rPr>
        <w:t>use other measurement heights</w:t>
      </w:r>
      <w:r w:rsidRPr="0095492F">
        <w:rPr>
          <w:snapToGrid w:val="0"/>
        </w:rPr>
        <w:t>.</w:t>
      </w:r>
    </w:p>
    <w:p w14:paraId="4DCEBD20" w14:textId="6BAAB112" w:rsidR="00BE6136" w:rsidRPr="0095492F" w:rsidRDefault="00BE6136" w:rsidP="00BE6136">
      <w:pPr>
        <w:pStyle w:val="Heading4"/>
        <w:rPr>
          <w:snapToGrid w:val="0"/>
        </w:rPr>
      </w:pPr>
      <w:bookmarkStart w:id="122" w:name="_Ref490039723"/>
      <w:bookmarkStart w:id="123" w:name="_Toc526778249"/>
      <w:r>
        <w:rPr>
          <w:snapToGrid w:val="0"/>
        </w:rPr>
        <w:t>Prognostic Meteorological Data</w:t>
      </w:r>
      <w:bookmarkEnd w:id="122"/>
      <w:bookmarkEnd w:id="123"/>
    </w:p>
    <w:p w14:paraId="5DB496D2" w14:textId="77777777" w:rsidR="004D7CF0" w:rsidRDefault="00E44DA8" w:rsidP="00BE6136">
      <w:pPr>
        <w:rPr>
          <w:snapToGrid w:val="0"/>
        </w:rPr>
      </w:pPr>
      <w:r>
        <w:t xml:space="preserve">Prognostic meteorological data refers to </w:t>
      </w:r>
      <w:r w:rsidR="002E6CC5">
        <w:t xml:space="preserve">data that was computer-generated using a three-dimensional mesoscale computer model, </w:t>
      </w:r>
      <w:r w:rsidR="002E6CC5">
        <w:rPr>
          <w:snapToGrid w:val="0"/>
        </w:rPr>
        <w:t>such as the Weather Research and Forecasting (WRF) model, or the 5</w:t>
      </w:r>
      <w:r w:rsidR="002E6CC5" w:rsidRPr="00FA030A">
        <w:rPr>
          <w:snapToGrid w:val="0"/>
          <w:vertAlign w:val="superscript"/>
        </w:rPr>
        <w:t>th</w:t>
      </w:r>
      <w:r w:rsidR="002E6CC5">
        <w:rPr>
          <w:snapToGrid w:val="0"/>
        </w:rPr>
        <w:t xml:space="preserve"> Generation Penn State/NCAR Mesoscale Model (MM5).  Of these, WRF data is generally preferred</w:t>
      </w:r>
      <w:r w:rsidR="001067E4">
        <w:rPr>
          <w:snapToGrid w:val="0"/>
        </w:rPr>
        <w:t xml:space="preserve"> since it is based on the latest algorithms</w:t>
      </w:r>
      <w:r w:rsidR="00816E73">
        <w:rPr>
          <w:snapToGrid w:val="0"/>
        </w:rPr>
        <w:t>.</w:t>
      </w:r>
    </w:p>
    <w:p w14:paraId="572BF1D1" w14:textId="39C246DD" w:rsidR="00071CD7" w:rsidRDefault="004D7CF0" w:rsidP="00BE6136">
      <w:pPr>
        <w:rPr>
          <w:snapToGrid w:val="0"/>
        </w:rPr>
      </w:pPr>
      <w:r>
        <w:rPr>
          <w:snapToGrid w:val="0"/>
        </w:rPr>
        <w:t xml:space="preserve">Prognostic meteorological data has been </w:t>
      </w:r>
      <w:r w:rsidR="00E5408D">
        <w:rPr>
          <w:snapToGrid w:val="0"/>
        </w:rPr>
        <w:t xml:space="preserve">routinely </w:t>
      </w:r>
      <w:r>
        <w:rPr>
          <w:snapToGrid w:val="0"/>
        </w:rPr>
        <w:t xml:space="preserve">used for long-range transport modeling.  </w:t>
      </w:r>
      <w:r w:rsidR="00E5408D">
        <w:rPr>
          <w:snapToGrid w:val="0"/>
        </w:rPr>
        <w:t xml:space="preserve">As </w:t>
      </w:r>
      <w:proofErr w:type="gramStart"/>
      <w:r w:rsidR="00E5408D">
        <w:rPr>
          <w:snapToGrid w:val="0"/>
        </w:rPr>
        <w:t>of</w:t>
      </w:r>
      <w:proofErr w:type="gramEnd"/>
      <w:r w:rsidR="00E5408D">
        <w:rPr>
          <w:snapToGrid w:val="0"/>
        </w:rPr>
        <w:t xml:space="preserve"> </w:t>
      </w:r>
      <w:r>
        <w:rPr>
          <w:snapToGrid w:val="0"/>
        </w:rPr>
        <w:t xml:space="preserve">the </w:t>
      </w:r>
      <w:r w:rsidR="004D4CBB">
        <w:rPr>
          <w:snapToGrid w:val="0"/>
        </w:rPr>
        <w:t>2016</w:t>
      </w:r>
      <w:r>
        <w:rPr>
          <w:snapToGrid w:val="0"/>
        </w:rPr>
        <w:t xml:space="preserve"> revision to the </w:t>
      </w:r>
      <w:r w:rsidRPr="00196955">
        <w:rPr>
          <w:snapToGrid w:val="0"/>
        </w:rPr>
        <w:t>Guideline</w:t>
      </w:r>
      <w:r>
        <w:rPr>
          <w:snapToGrid w:val="0"/>
        </w:rPr>
        <w:t xml:space="preserve">, it </w:t>
      </w:r>
      <w:r w:rsidR="00E5408D">
        <w:rPr>
          <w:snapToGrid w:val="0"/>
        </w:rPr>
        <w:t>may now be considered for near-field assessments as well.  EPA has also released th</w:t>
      </w:r>
      <w:r w:rsidR="00E5408D" w:rsidRPr="008D488F">
        <w:rPr>
          <w:snapToGrid w:val="0"/>
        </w:rPr>
        <w:t>e Mesoscale Model Inter</w:t>
      </w:r>
      <w:r w:rsidR="00C563CB">
        <w:rPr>
          <w:snapToGrid w:val="0"/>
        </w:rPr>
        <w:t>f</w:t>
      </w:r>
      <w:r w:rsidR="00E5408D" w:rsidRPr="008D488F">
        <w:rPr>
          <w:snapToGrid w:val="0"/>
        </w:rPr>
        <w:t xml:space="preserve">ace </w:t>
      </w:r>
      <w:r w:rsidR="00C563CB">
        <w:rPr>
          <w:snapToGrid w:val="0"/>
        </w:rPr>
        <w:t xml:space="preserve">Program </w:t>
      </w:r>
      <w:r w:rsidR="00E5408D">
        <w:rPr>
          <w:snapToGrid w:val="0"/>
        </w:rPr>
        <w:t xml:space="preserve">(MMIF) </w:t>
      </w:r>
      <w:r w:rsidR="00290203">
        <w:rPr>
          <w:snapToGrid w:val="0"/>
        </w:rPr>
        <w:t xml:space="preserve">for extracting the meteorological parameters </w:t>
      </w:r>
      <w:r w:rsidR="00071CD7">
        <w:rPr>
          <w:snapToGrid w:val="0"/>
        </w:rPr>
        <w:t>for</w:t>
      </w:r>
      <w:r w:rsidR="00290203">
        <w:rPr>
          <w:snapToGrid w:val="0"/>
        </w:rPr>
        <w:t xml:space="preserve"> a given location within the given WRF/MM5 domain.  </w:t>
      </w:r>
      <w:r w:rsidR="00071CD7">
        <w:rPr>
          <w:snapToGrid w:val="0"/>
        </w:rPr>
        <w:t xml:space="preserve">These parameters could then be used by AERMOD, or other various models, for the simulation.  </w:t>
      </w:r>
    </w:p>
    <w:p w14:paraId="0EF0FBFF" w14:textId="03D843B9" w:rsidR="00106F71" w:rsidRDefault="00071CD7" w:rsidP="00BE6136">
      <w:pPr>
        <w:rPr>
          <w:snapToGrid w:val="0"/>
        </w:rPr>
      </w:pPr>
      <w:r>
        <w:rPr>
          <w:snapToGrid w:val="0"/>
        </w:rPr>
        <w:t>Section 8.4.5.1</w:t>
      </w:r>
      <w:r w:rsidR="008F461C">
        <w:rPr>
          <w:snapToGrid w:val="0"/>
        </w:rPr>
        <w:t>(</w:t>
      </w:r>
      <w:r>
        <w:rPr>
          <w:snapToGrid w:val="0"/>
        </w:rPr>
        <w:t>a</w:t>
      </w:r>
      <w:r w:rsidR="008F461C">
        <w:rPr>
          <w:snapToGrid w:val="0"/>
        </w:rPr>
        <w:t>)</w:t>
      </w:r>
      <w:r>
        <w:rPr>
          <w:snapToGrid w:val="0"/>
        </w:rPr>
        <w:t xml:space="preserve"> of the </w:t>
      </w:r>
      <w:r w:rsidRPr="00196955">
        <w:rPr>
          <w:snapToGrid w:val="0"/>
        </w:rPr>
        <w:t>Guideline</w:t>
      </w:r>
      <w:r>
        <w:rPr>
          <w:snapToGrid w:val="0"/>
        </w:rPr>
        <w:t xml:space="preserve"> states prognostic meteorological data may be considered </w:t>
      </w:r>
      <w:r w:rsidR="008E4754">
        <w:rPr>
          <w:snapToGrid w:val="0"/>
        </w:rPr>
        <w:t>for</w:t>
      </w:r>
      <w:r>
        <w:rPr>
          <w:snapToGrid w:val="0"/>
        </w:rPr>
        <w:t xml:space="preserve"> those </w:t>
      </w:r>
      <w:r w:rsidR="00290203">
        <w:rPr>
          <w:snapToGrid w:val="0"/>
        </w:rPr>
        <w:t>situations where there is no representative NWS station</w:t>
      </w:r>
      <w:r w:rsidR="00106F71">
        <w:rPr>
          <w:snapToGrid w:val="0"/>
        </w:rPr>
        <w:t>,</w:t>
      </w:r>
      <w:r w:rsidR="00290203">
        <w:rPr>
          <w:snapToGrid w:val="0"/>
        </w:rPr>
        <w:t xml:space="preserve"> and it may be infeasible or cost prohibitive to collect adequate site-specific data.  </w:t>
      </w:r>
      <w:r w:rsidR="00106F71">
        <w:rPr>
          <w:snapToGrid w:val="0"/>
        </w:rPr>
        <w:t xml:space="preserve">However, the prognostic data must be adequately representative of the given location.  If the prognostic meteorological data “are not representative of transport and dispersion conditions in the area of concern, the collection of site-specific data is necessary.” </w:t>
      </w:r>
    </w:p>
    <w:p w14:paraId="345615EE" w14:textId="77777777" w:rsidR="00D15C25" w:rsidRDefault="004C62BA" w:rsidP="004C62BA">
      <w:pPr>
        <w:rPr>
          <w:snapToGrid w:val="0"/>
        </w:rPr>
      </w:pPr>
      <w:r>
        <w:rPr>
          <w:snapToGrid w:val="0"/>
        </w:rPr>
        <w:lastRenderedPageBreak/>
        <w:t xml:space="preserve">Section 8.4.5.2 of the </w:t>
      </w:r>
      <w:r w:rsidRPr="00196955">
        <w:rPr>
          <w:snapToGrid w:val="0"/>
        </w:rPr>
        <w:t>Guideline</w:t>
      </w:r>
      <w:r>
        <w:rPr>
          <w:snapToGrid w:val="0"/>
        </w:rPr>
        <w:t xml:space="preserve"> provides a general discussion regarding the types of evaluations that the applicant would need to conduct and provide as part of their request to use prognostic meteorological data.  </w:t>
      </w:r>
      <w:r w:rsidR="00AF15CA">
        <w:rPr>
          <w:snapToGrid w:val="0"/>
        </w:rPr>
        <w:t>Section 8.4.5.2(a)</w:t>
      </w:r>
      <w:r>
        <w:rPr>
          <w:snapToGrid w:val="0"/>
        </w:rPr>
        <w:t xml:space="preserve"> states, the prognostic data should be compared to “NWS observational data or other comparable data in an effort to show that the data are adequately replicating the observed meteorological conditions of the time periods modeled.”  </w:t>
      </w:r>
    </w:p>
    <w:p w14:paraId="781D36FE" w14:textId="0AA63E91" w:rsidR="00D15C25" w:rsidRDefault="00D15C25" w:rsidP="00D15C25">
      <w:pPr>
        <w:rPr>
          <w:snapToGrid w:val="0"/>
        </w:rPr>
      </w:pPr>
      <w:r>
        <w:rPr>
          <w:snapToGrid w:val="0"/>
        </w:rPr>
        <w:t xml:space="preserve">The mechanism for developing, reviewing, and using prognostic meteorological data are not as developed as the concept.  ADEC has not yet processed a request to use prognostic data (as of </w:t>
      </w:r>
      <w:r w:rsidR="00C453AD">
        <w:rPr>
          <w:snapToGrid w:val="0"/>
        </w:rPr>
        <w:t xml:space="preserve">October </w:t>
      </w:r>
      <w:r w:rsidR="00990AFC">
        <w:rPr>
          <w:snapToGrid w:val="0"/>
        </w:rPr>
        <w:t>8</w:t>
      </w:r>
      <w:r>
        <w:rPr>
          <w:snapToGrid w:val="0"/>
        </w:rPr>
        <w:t>, 2018), nor has a request been approved anywhere in the country.</w:t>
      </w:r>
      <w:r>
        <w:rPr>
          <w:rStyle w:val="FootnoteReference"/>
          <w:snapToGrid w:val="0"/>
        </w:rPr>
        <w:footnoteReference w:id="39"/>
      </w:r>
      <w:r>
        <w:rPr>
          <w:snapToGrid w:val="0"/>
        </w:rPr>
        <w:t xml:space="preserve">  As noted in </w:t>
      </w:r>
      <w:proofErr w:type="gramStart"/>
      <w:r>
        <w:rPr>
          <w:snapToGrid w:val="0"/>
        </w:rPr>
        <w:t>the January</w:t>
      </w:r>
      <w:proofErr w:type="gramEnd"/>
      <w:r>
        <w:rPr>
          <w:snapToGrid w:val="0"/>
        </w:rPr>
        <w:t xml:space="preserve"> 10, </w:t>
      </w:r>
      <w:proofErr w:type="gramStart"/>
      <w:r>
        <w:rPr>
          <w:snapToGrid w:val="0"/>
        </w:rPr>
        <w:t>2018</w:t>
      </w:r>
      <w:proofErr w:type="gramEnd"/>
      <w:r>
        <w:rPr>
          <w:snapToGrid w:val="0"/>
        </w:rPr>
        <w:t xml:space="preserve"> </w:t>
      </w:r>
      <w:r w:rsidRPr="00E729E7">
        <w:rPr>
          <w:i/>
          <w:snapToGrid w:val="0"/>
        </w:rPr>
        <w:t>Frequently Asked Questions</w:t>
      </w:r>
      <w:r>
        <w:rPr>
          <w:snapToGrid w:val="0"/>
        </w:rPr>
        <w:t xml:space="preserve"> (FAQ) that ADEC posted regarding the regulatory adoption of the 2016 version of the Guideline: </w:t>
      </w:r>
      <w:r>
        <w:rPr>
          <w:rStyle w:val="FootnoteReference"/>
          <w:snapToGrid w:val="0"/>
        </w:rPr>
        <w:footnoteReference w:id="40"/>
      </w:r>
      <w:r>
        <w:rPr>
          <w:snapToGrid w:val="0"/>
        </w:rPr>
        <w:t xml:space="preserve"> </w:t>
      </w:r>
    </w:p>
    <w:p w14:paraId="13D3A710" w14:textId="77777777" w:rsidR="00D15C25" w:rsidRDefault="00D15C25" w:rsidP="00D15C25">
      <w:pPr>
        <w:ind w:left="360" w:right="360"/>
        <w:rPr>
          <w:snapToGrid w:val="0"/>
        </w:rPr>
      </w:pPr>
      <w:r>
        <w:rPr>
          <w:snapToGrid w:val="0"/>
        </w:rPr>
        <w:t xml:space="preserve">There are a lot of details regarding this approach that still need to be developed.  Applicants who desire to use this approach must not only develop the dataset, but they must also show that their approach provides representative data at the appropriate resolution for the given situation.  The first few applicants who desire to use this approach will, therefore, need to closely work through these issues with the Department, and possibly, the Region 10 Office of EPA.  Subsequent applicants will still need to provide an adequate demonstration that their approach provides representative data, but the effort should become more streamlined as the techniques and guidance </w:t>
      </w:r>
      <w:proofErr w:type="gramStart"/>
      <w:r>
        <w:rPr>
          <w:snapToGrid w:val="0"/>
        </w:rPr>
        <w:t>is</w:t>
      </w:r>
      <w:proofErr w:type="gramEnd"/>
      <w:r>
        <w:rPr>
          <w:snapToGrid w:val="0"/>
        </w:rPr>
        <w:t xml:space="preserve"> developed over time. </w:t>
      </w:r>
    </w:p>
    <w:p w14:paraId="67DD9A95" w14:textId="06E82274" w:rsidR="004C62BA" w:rsidRDefault="00D15C25" w:rsidP="004C62BA">
      <w:pPr>
        <w:rPr>
          <w:snapToGrid w:val="0"/>
        </w:rPr>
      </w:pPr>
      <w:r>
        <w:rPr>
          <w:snapToGrid w:val="0"/>
        </w:rPr>
        <w:t xml:space="preserve">Applicants will need to show that the prognostic data adequately represents the meteorological data within the modeling domain.  </w:t>
      </w:r>
      <w:r w:rsidR="004C62BA">
        <w:rPr>
          <w:snapToGrid w:val="0"/>
        </w:rPr>
        <w:t xml:space="preserve">METSTAT is a commonly used program for conducting </w:t>
      </w:r>
      <w:r>
        <w:rPr>
          <w:snapToGrid w:val="0"/>
        </w:rPr>
        <w:t>a statistical</w:t>
      </w:r>
      <w:r w:rsidR="004C62BA">
        <w:rPr>
          <w:snapToGrid w:val="0"/>
        </w:rPr>
        <w:t xml:space="preserve"> comparison</w:t>
      </w:r>
      <w:r w:rsidRPr="00D15C25">
        <w:rPr>
          <w:snapToGrid w:val="0"/>
        </w:rPr>
        <w:t xml:space="preserve"> </w:t>
      </w:r>
      <w:r>
        <w:rPr>
          <w:snapToGrid w:val="0"/>
        </w:rPr>
        <w:t xml:space="preserve">of </w:t>
      </w:r>
      <w:proofErr w:type="gramStart"/>
      <w:r>
        <w:rPr>
          <w:snapToGrid w:val="0"/>
        </w:rPr>
        <w:t>the modeled</w:t>
      </w:r>
      <w:proofErr w:type="gramEnd"/>
      <w:r>
        <w:rPr>
          <w:snapToGrid w:val="0"/>
        </w:rPr>
        <w:t xml:space="preserve"> meteorological data to actual meteorological data</w:t>
      </w:r>
      <w:r w:rsidR="004C62BA">
        <w:rPr>
          <w:snapToGrid w:val="0"/>
        </w:rPr>
        <w:t xml:space="preserve">.  However, other evaluations </w:t>
      </w:r>
      <w:r>
        <w:rPr>
          <w:snapToGrid w:val="0"/>
        </w:rPr>
        <w:t>will</w:t>
      </w:r>
      <w:r w:rsidR="004C62BA">
        <w:rPr>
          <w:snapToGrid w:val="0"/>
        </w:rPr>
        <w:t xml:space="preserve"> also be needed.  For example, we should also ask the applicant to provide a comparison of the prognostic and observational wind </w:t>
      </w:r>
      <w:r w:rsidR="00AF15CA">
        <w:rPr>
          <w:snapToGrid w:val="0"/>
        </w:rPr>
        <w:t>roses</w:t>
      </w:r>
      <w:r w:rsidR="004C62BA">
        <w:rPr>
          <w:snapToGrid w:val="0"/>
        </w:rPr>
        <w:t xml:space="preserve">.  Wind roses do not provide </w:t>
      </w:r>
      <w:proofErr w:type="gramStart"/>
      <w:r w:rsidR="004C62BA">
        <w:rPr>
          <w:snapToGrid w:val="0"/>
        </w:rPr>
        <w:t>the detailed statistical comparison</w:t>
      </w:r>
      <w:proofErr w:type="gramEnd"/>
      <w:r w:rsidR="004C62BA">
        <w:rPr>
          <w:snapToGrid w:val="0"/>
        </w:rPr>
        <w:t xml:space="preserve"> that METSTAT offers, but they allow for a quick visual comparison of the winds. </w:t>
      </w:r>
    </w:p>
    <w:p w14:paraId="57152BCB" w14:textId="44D0051A" w:rsidR="00AF15CA" w:rsidRDefault="00024726" w:rsidP="004C62BA">
      <w:pPr>
        <w:rPr>
          <w:snapToGrid w:val="0"/>
        </w:rPr>
      </w:pPr>
      <w:r>
        <w:rPr>
          <w:snapToGrid w:val="0"/>
        </w:rPr>
        <w:t>You, or a</w:t>
      </w:r>
      <w:r w:rsidR="00C5355E">
        <w:rPr>
          <w:snapToGrid w:val="0"/>
        </w:rPr>
        <w:t>n ADEC</w:t>
      </w:r>
      <w:r>
        <w:rPr>
          <w:snapToGrid w:val="0"/>
        </w:rPr>
        <w:t xml:space="preserve"> contractor, would also need to review t</w:t>
      </w:r>
      <w:r w:rsidR="00AF15CA">
        <w:rPr>
          <w:snapToGrid w:val="0"/>
        </w:rPr>
        <w:t xml:space="preserve">he MMIF extraction (see Section </w:t>
      </w:r>
      <w:r w:rsidR="00AF15CA">
        <w:rPr>
          <w:snapToGrid w:val="0"/>
        </w:rPr>
        <w:fldChar w:fldCharType="begin"/>
      </w:r>
      <w:r w:rsidR="00AF15CA">
        <w:rPr>
          <w:snapToGrid w:val="0"/>
        </w:rPr>
        <w:instrText xml:space="preserve"> REF _Ref490039849 \w \h </w:instrText>
      </w:r>
      <w:r w:rsidR="00AF15CA">
        <w:rPr>
          <w:snapToGrid w:val="0"/>
        </w:rPr>
      </w:r>
      <w:r w:rsidR="00AF15CA">
        <w:rPr>
          <w:snapToGrid w:val="0"/>
        </w:rPr>
        <w:fldChar w:fldCharType="separate"/>
      </w:r>
      <w:r w:rsidR="00135FFD">
        <w:rPr>
          <w:snapToGrid w:val="0"/>
        </w:rPr>
        <w:t>2.6.6</w:t>
      </w:r>
      <w:r w:rsidR="00AF15CA">
        <w:rPr>
          <w:snapToGrid w:val="0"/>
        </w:rPr>
        <w:fldChar w:fldCharType="end"/>
      </w:r>
      <w:r w:rsidR="00AF15CA">
        <w:rPr>
          <w:snapToGrid w:val="0"/>
        </w:rPr>
        <w:t xml:space="preserve"> of this manual for additional comments regarding MMIF).  As noted in Section 8.4.5.2(b) of the Guideline, “When processing MMIF data for use with AERMOD, the grid cell used for the dispersion modeling should be adequately spatially representative of the analysis domain.”  EPA further notes that, “professional judgement may be needed to select the appropriate grid cell to use.”  You may therefore need to discuss the grid cell selection with the AM&amp;QA meteorologist.  Once again, wind roses can be a useful tool for conducting the </w:t>
      </w:r>
      <w:r w:rsidR="00AF15CA" w:rsidRPr="00D26465">
        <w:rPr>
          <w:i/>
          <w:snapToGrid w:val="0"/>
        </w:rPr>
        <w:t>initial review</w:t>
      </w:r>
      <w:r w:rsidR="00AF15CA">
        <w:rPr>
          <w:snapToGrid w:val="0"/>
        </w:rPr>
        <w:t xml:space="preserve"> of the grid cell that would be extracted.  You should therefore ask the applicant to overlay a wind rose </w:t>
      </w:r>
      <w:r w:rsidR="00D26465">
        <w:rPr>
          <w:snapToGrid w:val="0"/>
        </w:rPr>
        <w:t xml:space="preserve">(of the extracted surface winds) </w:t>
      </w:r>
      <w:r w:rsidR="00AF15CA">
        <w:rPr>
          <w:snapToGrid w:val="0"/>
        </w:rPr>
        <w:t xml:space="preserve">on a topographical map of the </w:t>
      </w:r>
      <w:r w:rsidR="00D26465">
        <w:rPr>
          <w:snapToGrid w:val="0"/>
        </w:rPr>
        <w:t xml:space="preserve">project </w:t>
      </w:r>
      <w:r w:rsidR="00AF15CA">
        <w:rPr>
          <w:snapToGrid w:val="0"/>
        </w:rPr>
        <w:t>area.</w:t>
      </w:r>
    </w:p>
    <w:p w14:paraId="0C27A47A" w14:textId="3D1BBD85" w:rsidR="004C62BA" w:rsidRDefault="004C62BA" w:rsidP="004C62BA">
      <w:pPr>
        <w:rPr>
          <w:snapToGrid w:val="0"/>
        </w:rPr>
      </w:pPr>
      <w:r>
        <w:rPr>
          <w:snapToGrid w:val="0"/>
        </w:rPr>
        <w:lastRenderedPageBreak/>
        <w:t xml:space="preserve">The additional tools for evaluating the adequacy of a prognostic meteorological </w:t>
      </w:r>
      <w:r w:rsidR="00AB446A">
        <w:rPr>
          <w:snapToGrid w:val="0"/>
        </w:rPr>
        <w:t>dataset</w:t>
      </w:r>
      <w:r>
        <w:rPr>
          <w:snapToGrid w:val="0"/>
        </w:rPr>
        <w:t xml:space="preserve">, and for determining whether the extracted parameters are adequately representative of the transport conditions, are still being developed.  As noted in Section 8.4.5.2(c) of the Guideline, the grid resolution of the prognostic meteorological data is a key consideration, especially for sources located in complex terrain.  In the </w:t>
      </w:r>
      <w:proofErr w:type="gramStart"/>
      <w:r>
        <w:rPr>
          <w:snapToGrid w:val="0"/>
        </w:rPr>
        <w:t>mean-time</w:t>
      </w:r>
      <w:proofErr w:type="gramEnd"/>
      <w:r>
        <w:rPr>
          <w:snapToGrid w:val="0"/>
        </w:rPr>
        <w:t xml:space="preserve">, you should discuss with the AM&amp;QA meteorologist and if warranted, with R10, any request to use prognostic meteorological data in a near-field modeling analysis.  </w:t>
      </w:r>
    </w:p>
    <w:p w14:paraId="0101DE88" w14:textId="36AA1E76" w:rsidR="000854BF" w:rsidRDefault="00AF15CA" w:rsidP="00AF15CA">
      <w:pPr>
        <w:ind w:left="360" w:right="360"/>
        <w:rPr>
          <w:snapToGrid w:val="0"/>
        </w:rPr>
      </w:pPr>
      <w:r w:rsidRPr="00AF15CA">
        <w:rPr>
          <w:snapToGrid w:val="0"/>
          <w:u w:val="single"/>
        </w:rPr>
        <w:t>Note</w:t>
      </w:r>
      <w:proofErr w:type="gramStart"/>
      <w:r>
        <w:rPr>
          <w:snapToGrid w:val="0"/>
        </w:rPr>
        <w:t xml:space="preserve">:  </w:t>
      </w:r>
      <w:r w:rsidR="000854BF" w:rsidRPr="00E368E8">
        <w:rPr>
          <w:i/>
          <w:snapToGrid w:val="0"/>
        </w:rPr>
        <w:t>EPA</w:t>
      </w:r>
      <w:proofErr w:type="gramEnd"/>
      <w:r w:rsidR="000854BF" w:rsidRPr="00E368E8">
        <w:rPr>
          <w:i/>
          <w:snapToGrid w:val="0"/>
        </w:rPr>
        <w:t xml:space="preserve"> is </w:t>
      </w:r>
      <w:r w:rsidR="00531E7A" w:rsidRPr="00E368E8">
        <w:rPr>
          <w:i/>
          <w:snapToGrid w:val="0"/>
        </w:rPr>
        <w:t xml:space="preserve">hoping to develop </w:t>
      </w:r>
      <w:r w:rsidR="000854BF" w:rsidRPr="00E368E8">
        <w:rPr>
          <w:i/>
          <w:snapToGrid w:val="0"/>
        </w:rPr>
        <w:t xml:space="preserve">a three-year 9 km WRF dataset for Alaska, which could presumably be used as the starting point for a project-specific modeling analysis.  Applicants may need to nest the run down to an appropriate scale for the given topography (see Section 8.4.5.2(c) of the Guideline), but having the EPA dataset means they may not need to start the WRF analysis from scratch.  </w:t>
      </w:r>
      <w:r w:rsidR="00D56655" w:rsidRPr="00E368E8">
        <w:rPr>
          <w:i/>
          <w:snapToGrid w:val="0"/>
        </w:rPr>
        <w:t>Either way, it is the responsibility of the applicant to show to our satisfaction that the data are both adequately representative and of acceptable</w:t>
      </w:r>
      <w:r w:rsidR="00D56655" w:rsidRPr="00E368E8">
        <w:rPr>
          <w:i/>
        </w:rPr>
        <w:t xml:space="preserve"> quality (see the related discussions in Sections </w:t>
      </w:r>
      <w:r w:rsidR="00D56655" w:rsidRPr="00E368E8">
        <w:rPr>
          <w:i/>
        </w:rPr>
        <w:fldChar w:fldCharType="begin"/>
      </w:r>
      <w:r w:rsidR="00D56655" w:rsidRPr="00E368E8">
        <w:rPr>
          <w:i/>
        </w:rPr>
        <w:instrText xml:space="preserve"> REF _Ref482776135 \w \h </w:instrText>
      </w:r>
      <w:r w:rsidR="00E368E8">
        <w:rPr>
          <w:i/>
        </w:rPr>
        <w:instrText xml:space="preserve"> \* MERGEFORMAT </w:instrText>
      </w:r>
      <w:r w:rsidR="00D56655" w:rsidRPr="00E368E8">
        <w:rPr>
          <w:i/>
        </w:rPr>
      </w:r>
      <w:r w:rsidR="00D56655" w:rsidRPr="00E368E8">
        <w:rPr>
          <w:i/>
        </w:rPr>
        <w:fldChar w:fldCharType="separate"/>
      </w:r>
      <w:r w:rsidR="00135FFD">
        <w:rPr>
          <w:i/>
        </w:rPr>
        <w:t>2.6.2</w:t>
      </w:r>
      <w:r w:rsidR="00D56655" w:rsidRPr="00E368E8">
        <w:rPr>
          <w:i/>
        </w:rPr>
        <w:fldChar w:fldCharType="end"/>
      </w:r>
      <w:r w:rsidR="00D56655" w:rsidRPr="00E368E8">
        <w:rPr>
          <w:i/>
        </w:rPr>
        <w:t xml:space="preserve"> and </w:t>
      </w:r>
      <w:r w:rsidR="00D56655" w:rsidRPr="00E368E8">
        <w:rPr>
          <w:i/>
        </w:rPr>
        <w:fldChar w:fldCharType="begin"/>
      </w:r>
      <w:r w:rsidR="00D56655" w:rsidRPr="00E368E8">
        <w:rPr>
          <w:i/>
        </w:rPr>
        <w:instrText xml:space="preserve"> REF _Ref489616136 \w \h </w:instrText>
      </w:r>
      <w:r w:rsidR="00E368E8">
        <w:rPr>
          <w:i/>
        </w:rPr>
        <w:instrText xml:space="preserve"> \* MERGEFORMAT </w:instrText>
      </w:r>
      <w:r w:rsidR="00D56655" w:rsidRPr="00E368E8">
        <w:rPr>
          <w:i/>
        </w:rPr>
      </w:r>
      <w:r w:rsidR="00D56655" w:rsidRPr="00E368E8">
        <w:rPr>
          <w:i/>
        </w:rPr>
        <w:fldChar w:fldCharType="separate"/>
      </w:r>
      <w:r w:rsidR="00135FFD">
        <w:rPr>
          <w:i/>
        </w:rPr>
        <w:t>2.6.3.2</w:t>
      </w:r>
      <w:r w:rsidR="00D56655" w:rsidRPr="00E368E8">
        <w:rPr>
          <w:i/>
        </w:rPr>
        <w:fldChar w:fldCharType="end"/>
      </w:r>
      <w:r w:rsidR="00D56655" w:rsidRPr="00E368E8">
        <w:rPr>
          <w:i/>
        </w:rPr>
        <w:t>)</w:t>
      </w:r>
      <w:r w:rsidR="000854BF">
        <w:rPr>
          <w:snapToGrid w:val="0"/>
        </w:rPr>
        <w:t>.</w:t>
      </w:r>
      <w:r w:rsidR="002062A0">
        <w:rPr>
          <w:snapToGrid w:val="0"/>
        </w:rPr>
        <w:t xml:space="preserve">  </w:t>
      </w:r>
      <w:r w:rsidR="002062A0">
        <w:rPr>
          <w:i/>
          <w:snapToGrid w:val="0"/>
        </w:rPr>
        <w:t>However, as noted in the above discussion, the details for making that demonstration have not yet been developed.</w:t>
      </w:r>
      <w:r w:rsidR="008F08F0">
        <w:rPr>
          <w:snapToGrid w:val="0"/>
        </w:rPr>
        <w:t xml:space="preserve"> </w:t>
      </w:r>
    </w:p>
    <w:p w14:paraId="7533B893" w14:textId="4BA6DAA0" w:rsidR="00615F0E" w:rsidRDefault="00744678" w:rsidP="008F08F0">
      <w:pPr>
        <w:ind w:left="360" w:right="360"/>
        <w:rPr>
          <w:snapToGrid w:val="0"/>
        </w:rPr>
      </w:pPr>
      <w:r w:rsidRPr="00E368E8">
        <w:rPr>
          <w:i/>
          <w:snapToGrid w:val="0"/>
        </w:rPr>
        <w:t>As of August 28, 2018</w:t>
      </w:r>
      <w:r w:rsidR="00615F0E" w:rsidRPr="00E368E8">
        <w:rPr>
          <w:i/>
          <w:snapToGrid w:val="0"/>
        </w:rPr>
        <w:t xml:space="preserve">, EPA was still running the first year of the 9 km WRF dataset.  R10 estimated that once the run was completed, it would take an additional 4 – 6 months to conduct the quality assurance review.  </w:t>
      </w:r>
      <w:r w:rsidR="00531E7A" w:rsidRPr="00E368E8">
        <w:rPr>
          <w:i/>
          <w:snapToGrid w:val="0"/>
        </w:rPr>
        <w:t xml:space="preserve">EPA is planning to run the two additional years after the first year is completed, but </w:t>
      </w:r>
      <w:proofErr w:type="gramStart"/>
      <w:r w:rsidR="00531E7A" w:rsidRPr="00E368E8">
        <w:rPr>
          <w:i/>
          <w:snapToGrid w:val="0"/>
        </w:rPr>
        <w:t>at last</w:t>
      </w:r>
      <w:proofErr w:type="gramEnd"/>
      <w:r w:rsidR="00531E7A" w:rsidRPr="00E368E8">
        <w:rPr>
          <w:i/>
          <w:snapToGrid w:val="0"/>
        </w:rPr>
        <w:t xml:space="preserve"> report, they had not yet obtained the funding to do so</w:t>
      </w:r>
      <w:r w:rsidR="00531E7A">
        <w:rPr>
          <w:snapToGrid w:val="0"/>
        </w:rPr>
        <w:t xml:space="preserve">. </w:t>
      </w:r>
      <w:r w:rsidR="00615F0E">
        <w:rPr>
          <w:snapToGrid w:val="0"/>
        </w:rPr>
        <w:t xml:space="preserve"> </w:t>
      </w:r>
    </w:p>
    <w:p w14:paraId="2846113F" w14:textId="77777777" w:rsidR="00F93421" w:rsidRPr="00953DC0" w:rsidRDefault="00AD5C0A" w:rsidP="00F93421">
      <w:pPr>
        <w:pStyle w:val="Heading3"/>
        <w:rPr>
          <w:snapToGrid w:val="0"/>
        </w:rPr>
      </w:pPr>
      <w:r>
        <w:rPr>
          <w:snapToGrid w:val="0"/>
        </w:rPr>
        <w:tab/>
      </w:r>
      <w:bookmarkStart w:id="124" w:name="_Ref482776135"/>
      <w:bookmarkStart w:id="125" w:name="_Toc526778250"/>
      <w:r w:rsidR="00F93421">
        <w:rPr>
          <w:snapToGrid w:val="0"/>
        </w:rPr>
        <w:t>Length of Data Record</w:t>
      </w:r>
      <w:bookmarkEnd w:id="124"/>
      <w:bookmarkEnd w:id="125"/>
    </w:p>
    <w:p w14:paraId="27BC0F80" w14:textId="63B3769B" w:rsidR="00F93807" w:rsidRDefault="00F93421" w:rsidP="00F93421">
      <w:pPr>
        <w:rPr>
          <w:snapToGrid w:val="0"/>
        </w:rPr>
      </w:pPr>
      <w:r>
        <w:rPr>
          <w:snapToGrid w:val="0"/>
        </w:rPr>
        <w:t xml:space="preserve">The applicant should use a sufficiently long record of meteorological data to ensure that worst-case meteorological conditions are adequately represented in the model results.  </w:t>
      </w:r>
      <w:r w:rsidR="00B0308A">
        <w:rPr>
          <w:snapToGrid w:val="0"/>
        </w:rPr>
        <w:t xml:space="preserve">The </w:t>
      </w:r>
      <w:r w:rsidR="00B0308A" w:rsidRPr="005C5BE0">
        <w:rPr>
          <w:snapToGrid w:val="0"/>
        </w:rPr>
        <w:t>minimum</w:t>
      </w:r>
      <w:r w:rsidR="00B0308A">
        <w:rPr>
          <w:snapToGrid w:val="0"/>
        </w:rPr>
        <w:t xml:space="preserve"> requirements</w:t>
      </w:r>
      <w:r w:rsidR="005C5BE0">
        <w:rPr>
          <w:snapToGrid w:val="0"/>
        </w:rPr>
        <w:t>,</w:t>
      </w:r>
      <w:r w:rsidR="00B0308A">
        <w:rPr>
          <w:snapToGrid w:val="0"/>
        </w:rPr>
        <w:t xml:space="preserve"> per Section 8.4.2</w:t>
      </w:r>
      <w:r w:rsidR="008F461C">
        <w:rPr>
          <w:snapToGrid w:val="0"/>
        </w:rPr>
        <w:t>(</w:t>
      </w:r>
      <w:r w:rsidR="00B0308A">
        <w:rPr>
          <w:snapToGrid w:val="0"/>
        </w:rPr>
        <w:t>e</w:t>
      </w:r>
      <w:r w:rsidR="008F461C">
        <w:rPr>
          <w:snapToGrid w:val="0"/>
        </w:rPr>
        <w:t>)</w:t>
      </w:r>
      <w:r w:rsidR="00B0308A">
        <w:rPr>
          <w:snapToGrid w:val="0"/>
        </w:rPr>
        <w:t xml:space="preserve"> of the </w:t>
      </w:r>
      <w:proofErr w:type="gramStart"/>
      <w:r w:rsidR="00B0308A" w:rsidRPr="00196955">
        <w:rPr>
          <w:snapToGrid w:val="0"/>
        </w:rPr>
        <w:t>Guideline</w:t>
      </w:r>
      <w:r w:rsidR="005C5BE0" w:rsidRPr="005C5BE0">
        <w:rPr>
          <w:snapToGrid w:val="0"/>
        </w:rPr>
        <w:t>,</w:t>
      </w:r>
      <w:proofErr w:type="gramEnd"/>
      <w:r w:rsidR="00B0308A" w:rsidRPr="005C5BE0">
        <w:rPr>
          <w:snapToGrid w:val="0"/>
        </w:rPr>
        <w:t xml:space="preserve"> </w:t>
      </w:r>
      <w:r w:rsidR="00B0308A">
        <w:rPr>
          <w:snapToGrid w:val="0"/>
        </w:rPr>
        <w:t xml:space="preserve">are: </w:t>
      </w:r>
      <w:r>
        <w:rPr>
          <w:snapToGrid w:val="0"/>
        </w:rPr>
        <w:t xml:space="preserve"> </w:t>
      </w:r>
    </w:p>
    <w:p w14:paraId="5269D147" w14:textId="0DB0D23F" w:rsidR="00F93807" w:rsidRDefault="00B0308A" w:rsidP="00AD1D4B">
      <w:pPr>
        <w:pStyle w:val="ListParagraph"/>
        <w:numPr>
          <w:ilvl w:val="0"/>
          <w:numId w:val="1"/>
        </w:numPr>
        <w:tabs>
          <w:tab w:val="clear" w:pos="360"/>
        </w:tabs>
        <w:ind w:left="720"/>
        <w:rPr>
          <w:snapToGrid w:val="0"/>
        </w:rPr>
      </w:pPr>
      <w:r w:rsidRPr="00F93807">
        <w:rPr>
          <w:snapToGrid w:val="0"/>
        </w:rPr>
        <w:t xml:space="preserve">at least </w:t>
      </w:r>
      <w:r w:rsidR="00AC71FE">
        <w:rPr>
          <w:snapToGrid w:val="0"/>
        </w:rPr>
        <w:t>1</w:t>
      </w:r>
      <w:r w:rsidR="00F93421" w:rsidRPr="00F93807">
        <w:rPr>
          <w:snapToGrid w:val="0"/>
        </w:rPr>
        <w:t xml:space="preserve"> year </w:t>
      </w:r>
      <w:r w:rsidR="00EF6943">
        <w:rPr>
          <w:snapToGrid w:val="0"/>
        </w:rPr>
        <w:t xml:space="preserve">(12 consecutive months) of </w:t>
      </w:r>
      <w:r w:rsidR="00F93421" w:rsidRPr="00F93807">
        <w:rPr>
          <w:snapToGrid w:val="0"/>
        </w:rPr>
        <w:t>site</w:t>
      </w:r>
      <w:r w:rsidRPr="00F93807">
        <w:rPr>
          <w:snapToGrid w:val="0"/>
        </w:rPr>
        <w:t>-</w:t>
      </w:r>
      <w:r w:rsidR="00F93421" w:rsidRPr="00F93807">
        <w:rPr>
          <w:snapToGrid w:val="0"/>
        </w:rPr>
        <w:t xml:space="preserve">specific </w:t>
      </w:r>
      <w:proofErr w:type="gramStart"/>
      <w:r w:rsidR="00F93421" w:rsidRPr="00F93807">
        <w:rPr>
          <w:snapToGrid w:val="0"/>
        </w:rPr>
        <w:t>data</w:t>
      </w:r>
      <w:r w:rsidRPr="00F93807">
        <w:rPr>
          <w:snapToGrid w:val="0"/>
        </w:rPr>
        <w:t>;</w:t>
      </w:r>
      <w:proofErr w:type="gramEnd"/>
      <w:r w:rsidR="00F93421" w:rsidRPr="00F93807">
        <w:rPr>
          <w:snapToGrid w:val="0"/>
        </w:rPr>
        <w:t xml:space="preserve"> </w:t>
      </w:r>
    </w:p>
    <w:p w14:paraId="355DDAD7" w14:textId="07B4B4FF" w:rsidR="00F93807" w:rsidRDefault="00B0308A" w:rsidP="00AD1D4B">
      <w:pPr>
        <w:pStyle w:val="ListParagraph"/>
        <w:numPr>
          <w:ilvl w:val="0"/>
          <w:numId w:val="1"/>
        </w:numPr>
        <w:tabs>
          <w:tab w:val="clear" w:pos="360"/>
        </w:tabs>
        <w:ind w:left="720"/>
        <w:rPr>
          <w:snapToGrid w:val="0"/>
        </w:rPr>
      </w:pPr>
      <w:r w:rsidRPr="00F93807">
        <w:rPr>
          <w:snapToGrid w:val="0"/>
        </w:rPr>
        <w:t xml:space="preserve">5 years of adequately representative NWS or comparable meteorological data; </w:t>
      </w:r>
      <w:r w:rsidR="00F93807">
        <w:rPr>
          <w:snapToGrid w:val="0"/>
        </w:rPr>
        <w:t xml:space="preserve">or </w:t>
      </w:r>
    </w:p>
    <w:p w14:paraId="7FD2A270" w14:textId="00F581F6" w:rsidR="00F93807" w:rsidRDefault="00B0308A" w:rsidP="00AD1D4B">
      <w:pPr>
        <w:pStyle w:val="ListParagraph"/>
        <w:numPr>
          <w:ilvl w:val="0"/>
          <w:numId w:val="1"/>
        </w:numPr>
        <w:tabs>
          <w:tab w:val="clear" w:pos="360"/>
        </w:tabs>
        <w:ind w:left="720"/>
        <w:rPr>
          <w:snapToGrid w:val="0"/>
        </w:rPr>
      </w:pPr>
      <w:r w:rsidRPr="00F93807">
        <w:rPr>
          <w:snapToGrid w:val="0"/>
        </w:rPr>
        <w:t>at least 3 years of prognostic meteorological data</w:t>
      </w:r>
      <w:r w:rsidR="00F93421" w:rsidRPr="00F93807">
        <w:rPr>
          <w:snapToGrid w:val="0"/>
        </w:rPr>
        <w:t xml:space="preserve">. </w:t>
      </w:r>
    </w:p>
    <w:p w14:paraId="23105FFA" w14:textId="2216FB48" w:rsidR="00F93421" w:rsidRPr="00A915D1" w:rsidRDefault="00F93807" w:rsidP="00AD1D4B">
      <w:pPr>
        <w:ind w:left="180" w:right="360"/>
        <w:rPr>
          <w:snapToGrid w:val="0"/>
        </w:rPr>
      </w:pPr>
      <w:r w:rsidRPr="00045596">
        <w:rPr>
          <w:snapToGrid w:val="0"/>
          <w:u w:val="single"/>
        </w:rPr>
        <w:t>Note</w:t>
      </w:r>
      <w:proofErr w:type="gramStart"/>
      <w:r>
        <w:rPr>
          <w:snapToGrid w:val="0"/>
        </w:rPr>
        <w:t xml:space="preserve">:  </w:t>
      </w:r>
      <w:r w:rsidRPr="00E368E8">
        <w:rPr>
          <w:i/>
          <w:snapToGrid w:val="0"/>
        </w:rPr>
        <w:t>While</w:t>
      </w:r>
      <w:proofErr w:type="gramEnd"/>
      <w:r w:rsidRPr="00E368E8">
        <w:rPr>
          <w:i/>
          <w:snapToGrid w:val="0"/>
        </w:rPr>
        <w:t xml:space="preserve"> a minimum of </w:t>
      </w:r>
      <w:r w:rsidR="00AC71FE" w:rsidRPr="00E368E8">
        <w:rPr>
          <w:i/>
          <w:snapToGrid w:val="0"/>
        </w:rPr>
        <w:t>1</w:t>
      </w:r>
      <w:r w:rsidRPr="00E368E8">
        <w:rPr>
          <w:i/>
          <w:snapToGrid w:val="0"/>
        </w:rPr>
        <w:t xml:space="preserve"> year of site-specific data is allowed</w:t>
      </w:r>
      <w:r w:rsidR="00B0308A" w:rsidRPr="00E368E8">
        <w:rPr>
          <w:i/>
          <w:snapToGrid w:val="0"/>
        </w:rPr>
        <w:t xml:space="preserve">, up to 5 years of site-specific data </w:t>
      </w:r>
      <w:r w:rsidR="00F93421" w:rsidRPr="00E368E8">
        <w:rPr>
          <w:i/>
          <w:snapToGrid w:val="0"/>
        </w:rPr>
        <w:t>are preferred</w:t>
      </w:r>
      <w:r w:rsidR="002515EC" w:rsidRPr="00E368E8">
        <w:rPr>
          <w:i/>
          <w:snapToGrid w:val="0"/>
        </w:rPr>
        <w:t>.</w:t>
      </w:r>
      <w:r w:rsidR="00D33ED5" w:rsidRPr="00E368E8">
        <w:rPr>
          <w:i/>
          <w:snapToGrid w:val="0"/>
        </w:rPr>
        <w:t xml:space="preserve">  EPA further notes that consecutive years are preferred (if the data record is adequately complete).</w:t>
      </w:r>
      <w:r w:rsidR="0043594F" w:rsidRPr="00E368E8">
        <w:rPr>
          <w:i/>
          <w:snapToGrid w:val="0"/>
        </w:rPr>
        <w:t xml:space="preserve">  Each of the annual data periods shall consist of four consecutive quarters of acceptable data, per Section 5.3.2 of </w:t>
      </w:r>
      <w:r w:rsidR="0043594F" w:rsidRPr="00E368E8">
        <w:rPr>
          <w:i/>
        </w:rPr>
        <w:t xml:space="preserve">EPA's </w:t>
      </w:r>
      <w:r w:rsidR="0043594F" w:rsidRPr="00E368E8">
        <w:rPr>
          <w:i/>
          <w:iCs/>
          <w:u w:val="single"/>
        </w:rPr>
        <w:t>Meteorological Monitoring Guidance for Regulatory Modeling Applications</w:t>
      </w:r>
      <w:r w:rsidR="0043594F" w:rsidRPr="00E368E8">
        <w:rPr>
          <w:i/>
        </w:rPr>
        <w:t>.</w:t>
      </w:r>
      <w:r w:rsidR="0043594F" w:rsidRPr="00E368E8">
        <w:rPr>
          <w:i/>
          <w:vertAlign w:val="superscript"/>
        </w:rPr>
        <w:fldChar w:fldCharType="begin"/>
      </w:r>
      <w:r w:rsidR="0043594F" w:rsidRPr="00E368E8">
        <w:rPr>
          <w:i/>
          <w:vertAlign w:val="superscript"/>
        </w:rPr>
        <w:instrText xml:space="preserve"> NOTEREF _Ref489604893 \h  \* MERGEFORMAT </w:instrText>
      </w:r>
      <w:r w:rsidR="0043594F" w:rsidRPr="00E368E8">
        <w:rPr>
          <w:i/>
          <w:vertAlign w:val="superscript"/>
        </w:rPr>
      </w:r>
      <w:r w:rsidR="0043594F" w:rsidRPr="00E368E8">
        <w:rPr>
          <w:i/>
          <w:vertAlign w:val="superscript"/>
        </w:rPr>
        <w:fldChar w:fldCharType="separate"/>
      </w:r>
      <w:r w:rsidR="00135FFD">
        <w:rPr>
          <w:i/>
          <w:vertAlign w:val="superscript"/>
        </w:rPr>
        <w:t>38</w:t>
      </w:r>
      <w:r w:rsidR="0043594F" w:rsidRPr="00E368E8">
        <w:rPr>
          <w:i/>
          <w:vertAlign w:val="superscript"/>
        </w:rPr>
        <w:fldChar w:fldCharType="end"/>
      </w:r>
      <w:r w:rsidR="0043594F" w:rsidRPr="00E368E8">
        <w:rPr>
          <w:i/>
        </w:rPr>
        <w:t xml:space="preserve">  Applicants are not allowed to create a composite annual dataset from non-consecutive monitoring efforts</w:t>
      </w:r>
      <w:r w:rsidR="0043594F">
        <w:t xml:space="preserve">. </w:t>
      </w:r>
      <w:r w:rsidR="0043594F">
        <w:rPr>
          <w:snapToGrid w:val="0"/>
        </w:rPr>
        <w:t xml:space="preserve"> </w:t>
      </w:r>
    </w:p>
    <w:p w14:paraId="463EB53D" w14:textId="77777777" w:rsidR="00F93421" w:rsidRDefault="00AD5C0A" w:rsidP="00F93421">
      <w:pPr>
        <w:pStyle w:val="Heading3"/>
        <w:rPr>
          <w:snapToGrid w:val="0"/>
        </w:rPr>
      </w:pPr>
      <w:bookmarkStart w:id="126" w:name="_Toc43521226"/>
      <w:r>
        <w:rPr>
          <w:snapToGrid w:val="0"/>
        </w:rPr>
        <w:tab/>
      </w:r>
      <w:bookmarkStart w:id="127" w:name="_Toc526778251"/>
      <w:r w:rsidR="00F93421">
        <w:rPr>
          <w:snapToGrid w:val="0"/>
        </w:rPr>
        <w:t>Quality Assurance Requirements</w:t>
      </w:r>
      <w:r w:rsidR="005377AE">
        <w:rPr>
          <w:snapToGrid w:val="0"/>
        </w:rPr>
        <w:t xml:space="preserve"> for Meteorological Data</w:t>
      </w:r>
      <w:bookmarkEnd w:id="127"/>
      <w:r w:rsidR="00F93421">
        <w:rPr>
          <w:snapToGrid w:val="0"/>
        </w:rPr>
        <w:t xml:space="preserve"> </w:t>
      </w:r>
    </w:p>
    <w:p w14:paraId="6EBBC092" w14:textId="4894E463" w:rsidR="009C40EC" w:rsidRDefault="00F93421" w:rsidP="00F93421">
      <w:r>
        <w:rPr>
          <w:snapToGrid w:val="0"/>
        </w:rPr>
        <w:t xml:space="preserve">The </w:t>
      </w:r>
      <w:r w:rsidR="009C40EC">
        <w:rPr>
          <w:snapToGrid w:val="0"/>
        </w:rPr>
        <w:t xml:space="preserve">quality and </w:t>
      </w:r>
      <w:r>
        <w:rPr>
          <w:snapToGrid w:val="0"/>
        </w:rPr>
        <w:t>completeness of a site</w:t>
      </w:r>
      <w:r w:rsidR="001911BD">
        <w:rPr>
          <w:snapToGrid w:val="0"/>
        </w:rPr>
        <w:t>-</w:t>
      </w:r>
      <w:r>
        <w:rPr>
          <w:snapToGrid w:val="0"/>
        </w:rPr>
        <w:t xml:space="preserve">specific </w:t>
      </w:r>
      <w:r w:rsidR="00AB446A">
        <w:rPr>
          <w:snapToGrid w:val="0"/>
        </w:rPr>
        <w:t>dataset</w:t>
      </w:r>
      <w:r>
        <w:rPr>
          <w:snapToGrid w:val="0"/>
        </w:rPr>
        <w:t xml:space="preserve"> is critical</w:t>
      </w:r>
      <w:r w:rsidR="009C40EC">
        <w:rPr>
          <w:snapToGrid w:val="0"/>
        </w:rPr>
        <w:t xml:space="preserve"> to its use in air dispersion modeling</w:t>
      </w:r>
      <w:r>
        <w:rPr>
          <w:snapToGrid w:val="0"/>
        </w:rPr>
        <w:t>.</w:t>
      </w:r>
      <w:r w:rsidR="009C40EC">
        <w:rPr>
          <w:snapToGrid w:val="0"/>
        </w:rPr>
        <w:t xml:space="preserve">  Before using the data, it must also be reviewed and approved as PSD-quality.   If NWS </w:t>
      </w:r>
      <w:r w:rsidR="0053610F">
        <w:rPr>
          <w:snapToGrid w:val="0"/>
        </w:rPr>
        <w:t xml:space="preserve">or Federal Aviation Administration (FAA) Automated Weather Observing Station (AWOS) </w:t>
      </w:r>
      <w:r w:rsidR="009C40EC">
        <w:rPr>
          <w:snapToGrid w:val="0"/>
        </w:rPr>
        <w:t xml:space="preserve">data are used, it is assumed that the data </w:t>
      </w:r>
      <w:proofErr w:type="gramStart"/>
      <w:r w:rsidR="009C40EC">
        <w:rPr>
          <w:snapToGrid w:val="0"/>
        </w:rPr>
        <w:t>meet</w:t>
      </w:r>
      <w:proofErr w:type="gramEnd"/>
      <w:r w:rsidR="009C40EC">
        <w:rPr>
          <w:snapToGrid w:val="0"/>
        </w:rPr>
        <w:t xml:space="preserve"> </w:t>
      </w:r>
      <w:r w:rsidR="001D4AE5">
        <w:rPr>
          <w:snapToGrid w:val="0"/>
        </w:rPr>
        <w:t xml:space="preserve">their </w:t>
      </w:r>
      <w:r w:rsidR="009C40EC">
        <w:rPr>
          <w:snapToGrid w:val="0"/>
        </w:rPr>
        <w:t xml:space="preserve">quality </w:t>
      </w:r>
      <w:r w:rsidR="001D4AE5">
        <w:rPr>
          <w:snapToGrid w:val="0"/>
        </w:rPr>
        <w:t xml:space="preserve">assurance </w:t>
      </w:r>
      <w:r w:rsidR="009C40EC">
        <w:rPr>
          <w:snapToGrid w:val="0"/>
        </w:rPr>
        <w:t xml:space="preserve">requirements.  However, that does not mean the applicant should not review </w:t>
      </w:r>
      <w:r w:rsidR="009C40EC">
        <w:rPr>
          <w:snapToGrid w:val="0"/>
        </w:rPr>
        <w:lastRenderedPageBreak/>
        <w:t>the NWS</w:t>
      </w:r>
      <w:r w:rsidR="0053610F">
        <w:rPr>
          <w:snapToGrid w:val="0"/>
        </w:rPr>
        <w:t>/FAA</w:t>
      </w:r>
      <w:r w:rsidR="009C40EC">
        <w:rPr>
          <w:snapToGrid w:val="0"/>
        </w:rPr>
        <w:t xml:space="preserve"> data</w:t>
      </w:r>
      <w:r w:rsidR="00604B90">
        <w:rPr>
          <w:snapToGrid w:val="0"/>
        </w:rPr>
        <w:t>.  T</w:t>
      </w:r>
      <w:r w:rsidR="009C40EC">
        <w:rPr>
          <w:snapToGrid w:val="0"/>
        </w:rPr>
        <w:t xml:space="preserve">here </w:t>
      </w:r>
      <w:r w:rsidR="00604B90">
        <w:rPr>
          <w:snapToGrid w:val="0"/>
        </w:rPr>
        <w:t>may be</w:t>
      </w:r>
      <w:r w:rsidR="009C40EC">
        <w:rPr>
          <w:snapToGrid w:val="0"/>
        </w:rPr>
        <w:t xml:space="preserve"> trends or anomalies </w:t>
      </w:r>
      <w:r w:rsidR="001D4AE5">
        <w:rPr>
          <w:snapToGrid w:val="0"/>
        </w:rPr>
        <w:t xml:space="preserve">(such as large periods of missing data) </w:t>
      </w:r>
      <w:r w:rsidR="009C40EC">
        <w:rPr>
          <w:snapToGrid w:val="0"/>
        </w:rPr>
        <w:t xml:space="preserve">that could cause problems in the model or </w:t>
      </w:r>
      <w:r w:rsidR="00B8445F">
        <w:rPr>
          <w:snapToGrid w:val="0"/>
        </w:rPr>
        <w:t xml:space="preserve">result in </w:t>
      </w:r>
      <w:r w:rsidR="001D4AE5">
        <w:rPr>
          <w:snapToGrid w:val="0"/>
        </w:rPr>
        <w:t>inaccurate results</w:t>
      </w:r>
      <w:r w:rsidR="009C40EC">
        <w:rPr>
          <w:snapToGrid w:val="0"/>
        </w:rPr>
        <w:t>.</w:t>
      </w:r>
    </w:p>
    <w:p w14:paraId="33D791F5" w14:textId="7436CF7B" w:rsidR="000B1FAA" w:rsidRPr="009E0C49" w:rsidRDefault="00F93421" w:rsidP="00F93421">
      <w:pPr>
        <w:rPr>
          <w:snapToGrid w:val="0"/>
        </w:rPr>
      </w:pPr>
      <w:r>
        <w:t xml:space="preserve">A person who submits meteorological data under </w:t>
      </w:r>
      <w:hyperlink r:id="rId72" w:anchor="46.03" w:history="1">
        <w:r w:rsidR="00EC3D36">
          <w:rPr>
            <w:rStyle w:val="Hyperlink"/>
          </w:rPr>
          <w:t>AS 46.03</w:t>
        </w:r>
      </w:hyperlink>
      <w:r w:rsidR="00EC3D36">
        <w:t xml:space="preserve">, </w:t>
      </w:r>
      <w:hyperlink r:id="rId73" w:anchor="46.14" w:history="1">
        <w:r w:rsidR="00A13CA1">
          <w:rPr>
            <w:rStyle w:val="Hyperlink"/>
          </w:rPr>
          <w:t>AS 46.14</w:t>
        </w:r>
      </w:hyperlink>
      <w:r w:rsidR="00A13CA1">
        <w:t xml:space="preserve">, </w:t>
      </w:r>
      <w:r>
        <w:t xml:space="preserve">or </w:t>
      </w:r>
      <w:hyperlink r:id="rId74" w:history="1">
        <w:r w:rsidRPr="00C72534">
          <w:rPr>
            <w:rStyle w:val="Hyperlink"/>
          </w:rPr>
          <w:t>18</w:t>
        </w:r>
        <w:r w:rsidR="00AF2B9D" w:rsidRPr="00C72534">
          <w:rPr>
            <w:rStyle w:val="Hyperlink"/>
          </w:rPr>
          <w:t> </w:t>
        </w:r>
        <w:r w:rsidRPr="00C72534">
          <w:rPr>
            <w:rStyle w:val="Hyperlink"/>
          </w:rPr>
          <w:t>AAC</w:t>
        </w:r>
        <w:r w:rsidR="00AF2B9D" w:rsidRPr="00C72534">
          <w:rPr>
            <w:rStyle w:val="Hyperlink"/>
          </w:rPr>
          <w:t> </w:t>
        </w:r>
        <w:r w:rsidRPr="00C72534">
          <w:rPr>
            <w:rStyle w:val="Hyperlink"/>
          </w:rPr>
          <w:t>50.215</w:t>
        </w:r>
      </w:hyperlink>
      <w:r>
        <w:t>(a)(3) shall obtain the data in accordance with</w:t>
      </w:r>
      <w:r>
        <w:rPr>
          <w:snapToGrid w:val="0"/>
        </w:rPr>
        <w:t xml:space="preserve"> </w:t>
      </w:r>
      <w:r>
        <w:t xml:space="preserve">EPA's </w:t>
      </w:r>
      <w:r>
        <w:rPr>
          <w:i/>
          <w:iCs/>
        </w:rPr>
        <w:t>Meteorological Monitoring Guidance for Regulatory Modeling Applications</w:t>
      </w:r>
      <w:r>
        <w:t>.</w:t>
      </w:r>
      <w:r w:rsidR="00774029" w:rsidRPr="00774029">
        <w:rPr>
          <w:vertAlign w:val="superscript"/>
        </w:rPr>
        <w:fldChar w:fldCharType="begin"/>
      </w:r>
      <w:r w:rsidR="00774029" w:rsidRPr="00066711">
        <w:rPr>
          <w:vertAlign w:val="superscript"/>
        </w:rPr>
        <w:instrText xml:space="preserve"> NOTEREF _Ref489604893 \h </w:instrText>
      </w:r>
      <w:r w:rsidR="00774029">
        <w:rPr>
          <w:vertAlign w:val="superscript"/>
        </w:rPr>
        <w:instrText xml:space="preserve"> \* MERGEFORMAT </w:instrText>
      </w:r>
      <w:r w:rsidR="00774029" w:rsidRPr="00774029">
        <w:rPr>
          <w:vertAlign w:val="superscript"/>
        </w:rPr>
      </w:r>
      <w:r w:rsidR="00774029" w:rsidRPr="00774029">
        <w:rPr>
          <w:vertAlign w:val="superscript"/>
        </w:rPr>
        <w:fldChar w:fldCharType="separate"/>
      </w:r>
      <w:r w:rsidR="00135FFD">
        <w:rPr>
          <w:vertAlign w:val="superscript"/>
        </w:rPr>
        <w:t>38</w:t>
      </w:r>
      <w:r w:rsidR="00774029" w:rsidRPr="00774029">
        <w:rPr>
          <w:vertAlign w:val="superscript"/>
        </w:rPr>
        <w:fldChar w:fldCharType="end"/>
      </w:r>
      <w:r>
        <w:t xml:space="preserve">  The guidance </w:t>
      </w:r>
      <w:r>
        <w:rPr>
          <w:snapToGrid w:val="0"/>
        </w:rPr>
        <w:t xml:space="preserve">requires a minimum of 90 percent valid data capture per quarter, on a joint recovery basis for wind speed, direction, and other relevant parameters.  These data capture requirements apply to raw data and do not allow for missing data substitution to achieve the 90 percent requirement (except </w:t>
      </w:r>
      <w:proofErr w:type="gramStart"/>
      <w:r>
        <w:rPr>
          <w:snapToGrid w:val="0"/>
        </w:rPr>
        <w:t>from</w:t>
      </w:r>
      <w:proofErr w:type="gramEnd"/>
      <w:r>
        <w:rPr>
          <w:snapToGrid w:val="0"/>
        </w:rPr>
        <w:t xml:space="preserve"> equivalent backup sensors at the monitoring station).</w:t>
      </w:r>
    </w:p>
    <w:p w14:paraId="700733A6" w14:textId="77777777" w:rsidR="00F93421" w:rsidRPr="00136A3D" w:rsidRDefault="00F93421" w:rsidP="00F93421">
      <w:pPr>
        <w:pStyle w:val="Heading4"/>
        <w:rPr>
          <w:snapToGrid w:val="0"/>
        </w:rPr>
      </w:pPr>
      <w:bookmarkStart w:id="128" w:name="_Ref482000547"/>
      <w:bookmarkStart w:id="129" w:name="_Toc526778252"/>
      <w:r w:rsidRPr="00136A3D">
        <w:rPr>
          <w:snapToGrid w:val="0"/>
        </w:rPr>
        <w:t>Site-Specific Meteorological Data</w:t>
      </w:r>
      <w:bookmarkEnd w:id="128"/>
      <w:bookmarkEnd w:id="129"/>
      <w:r w:rsidRPr="00136A3D">
        <w:rPr>
          <w:snapToGrid w:val="0"/>
        </w:rPr>
        <w:t xml:space="preserve"> </w:t>
      </w:r>
      <w:bookmarkEnd w:id="126"/>
    </w:p>
    <w:p w14:paraId="5F556ABA" w14:textId="0D7F88FE" w:rsidR="00F93421" w:rsidRDefault="00F93421" w:rsidP="00F93421">
      <w:pPr>
        <w:rPr>
          <w:snapToGrid w:val="0"/>
        </w:rPr>
      </w:pPr>
      <w:r>
        <w:rPr>
          <w:snapToGrid w:val="0"/>
        </w:rPr>
        <w:t>Site</w:t>
      </w:r>
      <w:r w:rsidR="00536A99">
        <w:rPr>
          <w:snapToGrid w:val="0"/>
        </w:rPr>
        <w:t>-</w:t>
      </w:r>
      <w:r>
        <w:rPr>
          <w:snapToGrid w:val="0"/>
        </w:rPr>
        <w:t xml:space="preserve">specific data must </w:t>
      </w:r>
      <w:r w:rsidR="006F523E">
        <w:rPr>
          <w:snapToGrid w:val="0"/>
        </w:rPr>
        <w:t xml:space="preserve">meet minimum EPA requirements for accuracy, sensitivity, and completeness, as described in EPA’s </w:t>
      </w:r>
      <w:r w:rsidR="006F523E" w:rsidRPr="00B35524">
        <w:rPr>
          <w:i/>
          <w:snapToGrid w:val="0"/>
        </w:rPr>
        <w:t>Meteorological Monitoring Guidance for Regulatory Modeling Applications</w:t>
      </w:r>
      <w:r>
        <w:rPr>
          <w:snapToGrid w:val="0"/>
        </w:rPr>
        <w:t>.</w:t>
      </w:r>
      <w:r w:rsidR="00774029" w:rsidRPr="00774029">
        <w:rPr>
          <w:snapToGrid w:val="0"/>
          <w:vertAlign w:val="superscript"/>
        </w:rPr>
        <w:fldChar w:fldCharType="begin"/>
      </w:r>
      <w:r w:rsidR="00774029" w:rsidRPr="00066711">
        <w:rPr>
          <w:snapToGrid w:val="0"/>
          <w:vertAlign w:val="superscript"/>
        </w:rPr>
        <w:instrText xml:space="preserve"> NOTEREF _Ref489604893 \h </w:instrText>
      </w:r>
      <w:r w:rsidR="00774029">
        <w:rPr>
          <w:snapToGrid w:val="0"/>
          <w:vertAlign w:val="superscript"/>
        </w:rPr>
        <w:instrText xml:space="preserve"> \* MERGEFORMAT </w:instrText>
      </w:r>
      <w:r w:rsidR="00774029" w:rsidRPr="00774029">
        <w:rPr>
          <w:snapToGrid w:val="0"/>
          <w:vertAlign w:val="superscript"/>
        </w:rPr>
      </w:r>
      <w:r w:rsidR="00774029" w:rsidRPr="00774029">
        <w:rPr>
          <w:snapToGrid w:val="0"/>
          <w:vertAlign w:val="superscript"/>
        </w:rPr>
        <w:fldChar w:fldCharType="separate"/>
      </w:r>
      <w:r w:rsidR="00135FFD">
        <w:rPr>
          <w:snapToGrid w:val="0"/>
          <w:vertAlign w:val="superscript"/>
        </w:rPr>
        <w:t>38</w:t>
      </w:r>
      <w:r w:rsidR="00774029" w:rsidRPr="00774029">
        <w:rPr>
          <w:snapToGrid w:val="0"/>
          <w:vertAlign w:val="superscript"/>
        </w:rPr>
        <w:fldChar w:fldCharType="end"/>
      </w:r>
      <w:r>
        <w:rPr>
          <w:snapToGrid w:val="0"/>
        </w:rPr>
        <w:t xml:space="preserve">  Typically, a </w:t>
      </w:r>
      <w:r w:rsidR="006F523E">
        <w:rPr>
          <w:snapToGrid w:val="0"/>
        </w:rPr>
        <w:t>site-specific</w:t>
      </w:r>
      <w:r>
        <w:rPr>
          <w:snapToGrid w:val="0"/>
        </w:rPr>
        <w:t xml:space="preserve"> monitoring program requires the submittal and approval of a </w:t>
      </w:r>
      <w:r w:rsidR="0043594F">
        <w:rPr>
          <w:snapToGrid w:val="0"/>
        </w:rPr>
        <w:t>Quality Assurance Project Plan (</w:t>
      </w:r>
      <w:r>
        <w:rPr>
          <w:snapToGrid w:val="0"/>
        </w:rPr>
        <w:t>QAPP</w:t>
      </w:r>
      <w:r w:rsidR="0043594F">
        <w:rPr>
          <w:snapToGrid w:val="0"/>
        </w:rPr>
        <w:t>)</w:t>
      </w:r>
      <w:r>
        <w:rPr>
          <w:snapToGrid w:val="0"/>
        </w:rPr>
        <w:t xml:space="preserve">, regular audit and calibration reports that document system accuracy and sensitivity, passing those audits and calibrations, and a data report that presents all data collected and compiles data recovery rates and audit /calibration results or “completeness” information.  </w:t>
      </w:r>
    </w:p>
    <w:p w14:paraId="072554FD" w14:textId="6E1A561B" w:rsidR="00F93421" w:rsidRPr="00BA1B3A" w:rsidRDefault="002062A0" w:rsidP="00F93421">
      <w:pPr>
        <w:rPr>
          <w:snapToGrid w:val="0"/>
        </w:rPr>
      </w:pPr>
      <w:r>
        <w:rPr>
          <w:snapToGrid w:val="0"/>
        </w:rPr>
        <w:t>EPA’s</w:t>
      </w:r>
      <w:r w:rsidR="00F93421">
        <w:rPr>
          <w:snapToGrid w:val="0"/>
        </w:rPr>
        <w:t xml:space="preserve"> 90 percent recovery</w:t>
      </w:r>
      <w:r w:rsidR="00F93421" w:rsidRPr="00BA1B3A">
        <w:rPr>
          <w:snapToGrid w:val="0"/>
        </w:rPr>
        <w:t xml:space="preserve"> </w:t>
      </w:r>
      <w:r>
        <w:rPr>
          <w:snapToGrid w:val="0"/>
        </w:rPr>
        <w:t xml:space="preserve">requirement applies to the meteorological </w:t>
      </w:r>
      <w:r w:rsidR="00F93421" w:rsidRPr="00BA1B3A">
        <w:rPr>
          <w:snapToGrid w:val="0"/>
        </w:rPr>
        <w:t>parameters</w:t>
      </w:r>
      <w:r w:rsidR="00F93421">
        <w:rPr>
          <w:snapToGrid w:val="0"/>
        </w:rPr>
        <w:t xml:space="preserve"> required </w:t>
      </w:r>
      <w:r w:rsidR="0034106C">
        <w:rPr>
          <w:snapToGrid w:val="0"/>
        </w:rPr>
        <w:t xml:space="preserve">to run the given air quality dispersion model.  However, </w:t>
      </w:r>
      <w:r w:rsidR="00F93421">
        <w:rPr>
          <w:snapToGrid w:val="0"/>
        </w:rPr>
        <w:t>ADEC</w:t>
      </w:r>
      <w:r w:rsidR="00F93421" w:rsidRPr="00BA1B3A">
        <w:rPr>
          <w:snapToGrid w:val="0"/>
        </w:rPr>
        <w:t xml:space="preserve"> accept</w:t>
      </w:r>
      <w:r w:rsidR="00F93421">
        <w:rPr>
          <w:snapToGrid w:val="0"/>
        </w:rPr>
        <w:t>s less than 90 percent</w:t>
      </w:r>
      <w:r w:rsidR="00F93421" w:rsidRPr="00BA1B3A">
        <w:rPr>
          <w:snapToGrid w:val="0"/>
        </w:rPr>
        <w:t xml:space="preserve"> </w:t>
      </w:r>
      <w:r w:rsidR="00F93421">
        <w:rPr>
          <w:snapToGrid w:val="0"/>
        </w:rPr>
        <w:t xml:space="preserve">recovery </w:t>
      </w:r>
      <w:r w:rsidR="00F93421" w:rsidRPr="00BA1B3A">
        <w:rPr>
          <w:snapToGrid w:val="0"/>
        </w:rPr>
        <w:t>for non-required parameters</w:t>
      </w:r>
      <w:r w:rsidR="0034106C">
        <w:rPr>
          <w:snapToGrid w:val="0"/>
        </w:rPr>
        <w:t>,</w:t>
      </w:r>
      <w:r w:rsidR="00F93421">
        <w:rPr>
          <w:snapToGrid w:val="0"/>
        </w:rPr>
        <w:t xml:space="preserve"> such as v</w:t>
      </w:r>
      <w:r w:rsidR="00F93421" w:rsidRPr="00BA1B3A">
        <w:rPr>
          <w:snapToGrid w:val="0"/>
        </w:rPr>
        <w:t xml:space="preserve">ertical </w:t>
      </w:r>
      <w:proofErr w:type="gramStart"/>
      <w:r w:rsidR="00F93421" w:rsidRPr="00BA1B3A">
        <w:rPr>
          <w:snapToGrid w:val="0"/>
        </w:rPr>
        <w:t>wind-speed</w:t>
      </w:r>
      <w:proofErr w:type="gramEnd"/>
      <w:r w:rsidR="00F93421" w:rsidRPr="00BA1B3A">
        <w:rPr>
          <w:snapToGrid w:val="0"/>
        </w:rPr>
        <w:t>.</w:t>
      </w:r>
      <w:r w:rsidR="00F93421">
        <w:rPr>
          <w:snapToGrid w:val="0"/>
        </w:rPr>
        <w:t xml:space="preserve"> </w:t>
      </w:r>
      <w:r w:rsidR="00F93421" w:rsidRPr="00BA1B3A">
        <w:rPr>
          <w:snapToGrid w:val="0"/>
        </w:rPr>
        <w:t xml:space="preserve"> </w:t>
      </w:r>
      <w:r w:rsidR="00F93421">
        <w:rPr>
          <w:snapToGrid w:val="0"/>
        </w:rPr>
        <w:t>T</w:t>
      </w:r>
      <w:r w:rsidR="00F93421" w:rsidRPr="00BA1B3A">
        <w:rPr>
          <w:snapToGrid w:val="0"/>
        </w:rPr>
        <w:t xml:space="preserve">his optional parameter </w:t>
      </w:r>
      <w:r w:rsidR="00F93421">
        <w:rPr>
          <w:snapToGrid w:val="0"/>
        </w:rPr>
        <w:t xml:space="preserve">may be collected </w:t>
      </w:r>
      <w:r w:rsidR="00F93421" w:rsidRPr="00BA1B3A">
        <w:rPr>
          <w:snapToGrid w:val="0"/>
        </w:rPr>
        <w:t>for use in AER</w:t>
      </w:r>
      <w:r w:rsidR="00F93421">
        <w:rPr>
          <w:snapToGrid w:val="0"/>
        </w:rPr>
        <w:t>MET if the</w:t>
      </w:r>
      <w:r w:rsidR="00F93421" w:rsidRPr="00BA1B3A">
        <w:rPr>
          <w:snapToGrid w:val="0"/>
        </w:rPr>
        <w:t xml:space="preserve"> standard deviation of vertical wind speed</w:t>
      </w:r>
      <w:r w:rsidR="00F93421">
        <w:rPr>
          <w:snapToGrid w:val="0"/>
        </w:rPr>
        <w:t xml:space="preserve"> </w:t>
      </w:r>
      <w:r w:rsidR="006F523E">
        <w:rPr>
          <w:snapToGrid w:val="0"/>
        </w:rPr>
        <w:t>(</w:t>
      </w:r>
      <w:r w:rsidR="006F523E">
        <w:t>sigma-</w:t>
      </w:r>
      <w:r w:rsidR="007635E3">
        <w:t>w</w:t>
      </w:r>
      <w:r w:rsidR="006F523E">
        <w:t xml:space="preserve">) </w:t>
      </w:r>
      <w:r w:rsidR="00F93421">
        <w:rPr>
          <w:snapToGrid w:val="0"/>
        </w:rPr>
        <w:t>is also calculated from the vertical wind speed measurements</w:t>
      </w:r>
      <w:r w:rsidR="00F93421" w:rsidRPr="00BA1B3A">
        <w:rPr>
          <w:snapToGrid w:val="0"/>
        </w:rPr>
        <w:t>.</w:t>
      </w:r>
      <w:r w:rsidR="006F523E">
        <w:rPr>
          <w:rStyle w:val="FootnoteReference"/>
          <w:snapToGrid w:val="0"/>
        </w:rPr>
        <w:footnoteReference w:id="41"/>
      </w:r>
      <w:r w:rsidR="00F93421" w:rsidRPr="00BA1B3A">
        <w:rPr>
          <w:snapToGrid w:val="0"/>
        </w:rPr>
        <w:t xml:space="preserve"> </w:t>
      </w:r>
      <w:r w:rsidR="00F93421">
        <w:rPr>
          <w:snapToGrid w:val="0"/>
        </w:rPr>
        <w:t xml:space="preserve"> </w:t>
      </w:r>
      <w:r w:rsidR="0034106C">
        <w:rPr>
          <w:snapToGrid w:val="0"/>
        </w:rPr>
        <w:t>I</w:t>
      </w:r>
      <w:r w:rsidR="00F93421" w:rsidRPr="00BA1B3A">
        <w:rPr>
          <w:snapToGrid w:val="0"/>
        </w:rPr>
        <w:t>t</w:t>
      </w:r>
      <w:r w:rsidR="00F93421">
        <w:rPr>
          <w:snapToGrid w:val="0"/>
        </w:rPr>
        <w:t xml:space="preserve"> i</w:t>
      </w:r>
      <w:r w:rsidR="00F93421" w:rsidRPr="00BA1B3A">
        <w:rPr>
          <w:snapToGrid w:val="0"/>
        </w:rPr>
        <w:t xml:space="preserve">s </w:t>
      </w:r>
      <w:r w:rsidR="0034106C">
        <w:rPr>
          <w:snapToGrid w:val="0"/>
        </w:rPr>
        <w:t xml:space="preserve">a </w:t>
      </w:r>
      <w:r w:rsidR="00F93421" w:rsidRPr="00BA1B3A">
        <w:rPr>
          <w:snapToGrid w:val="0"/>
        </w:rPr>
        <w:t xml:space="preserve">difficult </w:t>
      </w:r>
      <w:r w:rsidR="0034106C">
        <w:rPr>
          <w:snapToGrid w:val="0"/>
        </w:rPr>
        <w:t xml:space="preserve">parameter </w:t>
      </w:r>
      <w:r w:rsidR="00F93421" w:rsidRPr="00BA1B3A">
        <w:rPr>
          <w:snapToGrid w:val="0"/>
        </w:rPr>
        <w:t>to collect</w:t>
      </w:r>
      <w:r w:rsidR="0034106C">
        <w:rPr>
          <w:snapToGrid w:val="0"/>
        </w:rPr>
        <w:t xml:space="preserve"> however</w:t>
      </w:r>
      <w:r w:rsidR="00F93421" w:rsidRPr="00BA1B3A">
        <w:rPr>
          <w:snapToGrid w:val="0"/>
        </w:rPr>
        <w:t xml:space="preserve">, especially in freezing conditions, which means </w:t>
      </w:r>
      <w:r w:rsidR="00F93421">
        <w:rPr>
          <w:snapToGrid w:val="0"/>
        </w:rPr>
        <w:t>90 percent</w:t>
      </w:r>
      <w:r w:rsidR="00F93421" w:rsidRPr="00BA1B3A">
        <w:rPr>
          <w:snapToGrid w:val="0"/>
        </w:rPr>
        <w:t xml:space="preserve"> data </w:t>
      </w:r>
      <w:r w:rsidR="00F93421">
        <w:rPr>
          <w:snapToGrid w:val="0"/>
        </w:rPr>
        <w:t>recovery is rarely seen</w:t>
      </w:r>
      <w:r w:rsidR="00F93421" w:rsidRPr="00BA1B3A">
        <w:rPr>
          <w:snapToGrid w:val="0"/>
        </w:rPr>
        <w:t xml:space="preserve">. </w:t>
      </w:r>
      <w:r w:rsidR="00F93421">
        <w:rPr>
          <w:snapToGrid w:val="0"/>
        </w:rPr>
        <w:t xml:space="preserve"> </w:t>
      </w:r>
      <w:r w:rsidR="00F93421" w:rsidRPr="00BA1B3A">
        <w:rPr>
          <w:snapToGrid w:val="0"/>
        </w:rPr>
        <w:t>Since it</w:t>
      </w:r>
      <w:r w:rsidR="00F93421">
        <w:rPr>
          <w:snapToGrid w:val="0"/>
        </w:rPr>
        <w:t xml:space="preserve"> i</w:t>
      </w:r>
      <w:r w:rsidR="00F93421" w:rsidRPr="00BA1B3A">
        <w:rPr>
          <w:snapToGrid w:val="0"/>
        </w:rPr>
        <w:t>s</w:t>
      </w:r>
      <w:r w:rsidR="00F93421">
        <w:rPr>
          <w:snapToGrid w:val="0"/>
        </w:rPr>
        <w:t xml:space="preserve"> an optional parameter, </w:t>
      </w:r>
      <w:r w:rsidR="00F93421" w:rsidRPr="00BA1B3A">
        <w:rPr>
          <w:snapToGrid w:val="0"/>
        </w:rPr>
        <w:t xml:space="preserve">AERMET will use </w:t>
      </w:r>
      <w:r w:rsidR="00F93421">
        <w:rPr>
          <w:snapToGrid w:val="0"/>
        </w:rPr>
        <w:t>the</w:t>
      </w:r>
      <w:r w:rsidR="00F93421" w:rsidRPr="00BA1B3A">
        <w:rPr>
          <w:snapToGrid w:val="0"/>
        </w:rPr>
        <w:t xml:space="preserve"> data </w:t>
      </w:r>
      <w:r w:rsidR="00F93421">
        <w:rPr>
          <w:snapToGrid w:val="0"/>
        </w:rPr>
        <w:t>available and internal d</w:t>
      </w:r>
      <w:r w:rsidR="00F93421" w:rsidRPr="00BA1B3A">
        <w:rPr>
          <w:snapToGrid w:val="0"/>
        </w:rPr>
        <w:t>efault algorithms for when it</w:t>
      </w:r>
      <w:r w:rsidR="00F93421">
        <w:rPr>
          <w:snapToGrid w:val="0"/>
        </w:rPr>
        <w:t xml:space="preserve"> i</w:t>
      </w:r>
      <w:r w:rsidR="00F93421" w:rsidRPr="00BA1B3A">
        <w:rPr>
          <w:snapToGrid w:val="0"/>
        </w:rPr>
        <w:t>s not available.</w:t>
      </w:r>
    </w:p>
    <w:p w14:paraId="3E3A1DCA" w14:textId="5FB42521" w:rsidR="00F93421" w:rsidRDefault="00F93421" w:rsidP="00F93421">
      <w:pPr>
        <w:rPr>
          <w:snapToGrid w:val="0"/>
        </w:rPr>
      </w:pPr>
      <w:r>
        <w:rPr>
          <w:snapToGrid w:val="0"/>
        </w:rPr>
        <w:t xml:space="preserve">Site-specific meteorological data is </w:t>
      </w:r>
      <w:r w:rsidR="00EF6943">
        <w:rPr>
          <w:snapToGrid w:val="0"/>
        </w:rPr>
        <w:t>either</w:t>
      </w:r>
      <w:r w:rsidR="00286F71">
        <w:rPr>
          <w:snapToGrid w:val="0"/>
        </w:rPr>
        <w:t xml:space="preserve"> </w:t>
      </w:r>
      <w:r>
        <w:rPr>
          <w:snapToGrid w:val="0"/>
        </w:rPr>
        <w:t xml:space="preserve">reviewed by the </w:t>
      </w:r>
      <w:r w:rsidR="00286F71">
        <w:rPr>
          <w:snapToGrid w:val="0"/>
        </w:rPr>
        <w:t>AM&amp;QA program</w:t>
      </w:r>
      <w:r>
        <w:rPr>
          <w:snapToGrid w:val="0"/>
        </w:rPr>
        <w:t xml:space="preserve"> or under a term contract managed by APP.  Data reviews are summarized in an Excel spreadsheet and are kept on the Juneau server. The summary file (</w:t>
      </w:r>
      <w:hyperlink r:id="rId75" w:history="1">
        <w:r w:rsidRPr="009224AC">
          <w:rPr>
            <w:rStyle w:val="Hyperlink"/>
            <w:i/>
            <w:snapToGrid w:val="0"/>
          </w:rPr>
          <w:t>QAPP &amp; Data &amp; Site Review Project List.xlsx</w:t>
        </w:r>
      </w:hyperlink>
      <w:r>
        <w:rPr>
          <w:snapToGrid w:val="0"/>
        </w:rPr>
        <w:t xml:space="preserve">) is located under the folder </w:t>
      </w:r>
      <w:r w:rsidRPr="007B682B">
        <w:rPr>
          <w:i/>
          <w:snapToGrid w:val="0"/>
        </w:rPr>
        <w:t>G:\AQ\Permits\Monitoring\QAPP and Data Review</w:t>
      </w:r>
      <w:r>
        <w:rPr>
          <w:snapToGrid w:val="0"/>
        </w:rPr>
        <w:t>.</w:t>
      </w:r>
      <w:r>
        <w:rPr>
          <w:rStyle w:val="FootnoteReference"/>
          <w:snapToGrid w:val="0"/>
        </w:rPr>
        <w:footnoteReference w:id="42"/>
      </w:r>
      <w:r>
        <w:rPr>
          <w:snapToGrid w:val="0"/>
        </w:rPr>
        <w:t xml:space="preserve"> The detailed findings regarding the review are stored in the Juneau “</w:t>
      </w:r>
      <w:proofErr w:type="spellStart"/>
      <w:r>
        <w:rPr>
          <w:snapToGrid w:val="0"/>
        </w:rPr>
        <w:t>AirFacs</w:t>
      </w:r>
      <w:proofErr w:type="spellEnd"/>
      <w:r>
        <w:rPr>
          <w:snapToGrid w:val="0"/>
        </w:rPr>
        <w:t xml:space="preserve">” directory, under the “Monitoring” sub-folder for the given data owner and monitoring site.  </w:t>
      </w:r>
    </w:p>
    <w:p w14:paraId="579D7DDD" w14:textId="28FB11F1" w:rsidR="002963B8" w:rsidRPr="00CA6054" w:rsidRDefault="0082259C" w:rsidP="00571D7A">
      <w:pPr>
        <w:spacing w:after="0"/>
        <w:rPr>
          <w:snapToGrid w:val="0"/>
          <w:sz w:val="2"/>
          <w:szCs w:val="2"/>
        </w:rPr>
      </w:pPr>
      <w:r w:rsidRPr="002963B8">
        <w:rPr>
          <w:noProof/>
          <w:snapToGrid w:val="0"/>
        </w:rPr>
        <w:lastRenderedPageBreak/>
        <mc:AlternateContent>
          <mc:Choice Requires="wps">
            <w:drawing>
              <wp:anchor distT="45720" distB="45720" distL="114300" distR="114300" simplePos="0" relativeHeight="251711488" behindDoc="0" locked="0" layoutInCell="1" allowOverlap="1" wp14:anchorId="4D00D7DB" wp14:editId="4C685D34">
                <wp:simplePos x="0" y="0"/>
                <wp:positionH relativeFrom="margin">
                  <wp:align>center</wp:align>
                </wp:positionH>
                <wp:positionV relativeFrom="paragraph">
                  <wp:posOffset>50800</wp:posOffset>
                </wp:positionV>
                <wp:extent cx="4562475" cy="1371600"/>
                <wp:effectExtent l="0" t="0" r="28575" b="19050"/>
                <wp:wrapTopAndBottom/>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475" cy="1371600"/>
                        </a:xfrm>
                        <a:prstGeom prst="rect">
                          <a:avLst/>
                        </a:prstGeom>
                        <a:solidFill>
                          <a:srgbClr val="FFFFFF"/>
                        </a:solidFill>
                        <a:ln w="9525">
                          <a:solidFill>
                            <a:srgbClr val="000000"/>
                          </a:solidFill>
                          <a:miter lim="800000"/>
                          <a:headEnd/>
                          <a:tailEnd/>
                        </a:ln>
                      </wps:spPr>
                      <wps:txbx>
                        <w:txbxContent>
                          <w:p w14:paraId="03D3447B" w14:textId="77777777" w:rsidR="004830EA" w:rsidRDefault="004830EA" w:rsidP="0082259C">
                            <w:r w:rsidRPr="002963B8">
                              <w:rPr>
                                <w:u w:val="single"/>
                              </w:rPr>
                              <w:t>Sidebar Discussion</w:t>
                            </w:r>
                            <w:r>
                              <w:t xml:space="preserve">: Applicants who plan to use their meteorological data for estimating their wind-blown dust emissions should design their data logging system so that it keeps the 2-minute wind speed data, rather than dumping it once the hourly wind speed is calculated.  You may need to point this issue out to the applicant when discussing their meteorological monitoring plans.  See the </w:t>
                            </w:r>
                            <w:r w:rsidRPr="002963B8">
                              <w:rPr>
                                <w:i/>
                              </w:rPr>
                              <w:t>Wind-Blown Emissions</w:t>
                            </w:r>
                            <w:r>
                              <w:t xml:space="preserve"> discussion of Section </w:t>
                            </w:r>
                            <w:r>
                              <w:fldChar w:fldCharType="begin"/>
                            </w:r>
                            <w:r>
                              <w:instrText xml:space="preserve"> REF _Ref439919706 \w \h </w:instrText>
                            </w:r>
                            <w:r>
                              <w:fldChar w:fldCharType="separate"/>
                            </w:r>
                            <w:r>
                              <w:t>2.7.1</w:t>
                            </w:r>
                            <w:r>
                              <w:fldChar w:fldCharType="end"/>
                            </w:r>
                            <w:r>
                              <w:t xml:space="preserve"> for more details.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00D7DB" id="Text Box 2" o:spid="_x0000_s1043" type="#_x0000_t202" style="position:absolute;margin-left:0;margin-top:4pt;width:359.25pt;height:108pt;z-index:2517114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">
                <v:textbox>
                  <w:txbxContent>
                    <w:p w14:paraId="03D3447B" w14:textId="77777777" w:rsidR="004830EA" w:rsidRDefault="004830EA" w:rsidP="0082259C">
                      <w:r w:rsidRPr="002963B8">
                        <w:rPr>
                          <w:u w:val="single"/>
                        </w:rPr>
                        <w:t>Sidebar Discussion</w:t>
                      </w:r>
                      <w:r>
                        <w:t xml:space="preserve">: Applicants who plan to use their meteorological data for estimating their wind-blown dust emissions should design their data logging system so that it keeps the 2-minute wind speed data, rather than dumping it once the hourly wind speed is calculated.  You may need to point this issue out to the applicant when discussing their meteorological monitoring plans.  See the </w:t>
                      </w:r>
                      <w:r w:rsidRPr="002963B8">
                        <w:rPr>
                          <w:i/>
                        </w:rPr>
                        <w:t>Wind-Blown Emissions</w:t>
                      </w:r>
                      <w:r>
                        <w:t xml:space="preserve"> discussion of Section </w:t>
                      </w:r>
                      <w:r>
                        <w:fldChar w:fldCharType="begin"/>
                      </w:r>
                      <w:r>
                        <w:instrText xml:space="preserve"> REF _Ref439919706 \w \h </w:instrText>
                      </w:r>
                      <w:r>
                        <w:fldChar w:fldCharType="separate"/>
                      </w:r>
                      <w:r>
                        <w:t>2.7.1</w:t>
                      </w:r>
                      <w:r>
                        <w:fldChar w:fldCharType="end"/>
                      </w:r>
                      <w:r>
                        <w:t xml:space="preserve"> for more details. </w:t>
                      </w:r>
                    </w:p>
                  </w:txbxContent>
                </v:textbox>
                <w10:wrap type="topAndBottom" anchorx="margin"/>
              </v:shape>
            </w:pict>
          </mc:Fallback>
        </mc:AlternateContent>
      </w:r>
    </w:p>
    <w:p w14:paraId="3CB43D9F" w14:textId="23D1C4BA" w:rsidR="00066711" w:rsidRDefault="00066711" w:rsidP="00066711">
      <w:pPr>
        <w:pStyle w:val="Heading4"/>
        <w:rPr>
          <w:snapToGrid w:val="0"/>
        </w:rPr>
      </w:pPr>
      <w:bookmarkStart w:id="130" w:name="_Meteorological_Data_Processing"/>
      <w:bookmarkStart w:id="131" w:name="_Ref489616136"/>
      <w:bookmarkStart w:id="132" w:name="_Toc526778253"/>
      <w:bookmarkStart w:id="133" w:name="_Toc43521227"/>
      <w:bookmarkEnd w:id="130"/>
      <w:r>
        <w:rPr>
          <w:snapToGrid w:val="0"/>
        </w:rPr>
        <w:t>Prognostic Meteorological Data</w:t>
      </w:r>
      <w:bookmarkEnd w:id="131"/>
      <w:bookmarkEnd w:id="132"/>
      <w:r>
        <w:rPr>
          <w:snapToGrid w:val="0"/>
        </w:rPr>
        <w:t xml:space="preserve"> </w:t>
      </w:r>
    </w:p>
    <w:p w14:paraId="608A37BB" w14:textId="07D8C411" w:rsidR="00066711" w:rsidRPr="00066711" w:rsidRDefault="00D26465" w:rsidP="002F328A">
      <w:pPr>
        <w:rPr>
          <w:snapToGrid w:val="0"/>
        </w:rPr>
      </w:pPr>
      <w:r>
        <w:rPr>
          <w:snapToGrid w:val="0"/>
        </w:rPr>
        <w:t xml:space="preserve">The quality assurance requirements for prognostic meteorological data are intertwined with the evaluation as to whether the extracted data is adequately representative of the transport conditions within the modeling domain. See Section </w:t>
      </w:r>
      <w:r>
        <w:rPr>
          <w:snapToGrid w:val="0"/>
        </w:rPr>
        <w:fldChar w:fldCharType="begin"/>
      </w:r>
      <w:r>
        <w:rPr>
          <w:snapToGrid w:val="0"/>
        </w:rPr>
        <w:instrText xml:space="preserve"> REF _Ref490039723 \w \h </w:instrText>
      </w:r>
      <w:r>
        <w:rPr>
          <w:snapToGrid w:val="0"/>
        </w:rPr>
      </w:r>
      <w:r>
        <w:rPr>
          <w:snapToGrid w:val="0"/>
        </w:rPr>
        <w:fldChar w:fldCharType="separate"/>
      </w:r>
      <w:r w:rsidR="00135FFD">
        <w:rPr>
          <w:snapToGrid w:val="0"/>
        </w:rPr>
        <w:t>2.6.1.2</w:t>
      </w:r>
      <w:r>
        <w:rPr>
          <w:snapToGrid w:val="0"/>
        </w:rPr>
        <w:fldChar w:fldCharType="end"/>
      </w:r>
      <w:r>
        <w:rPr>
          <w:snapToGrid w:val="0"/>
        </w:rPr>
        <w:t xml:space="preserve"> of this manual</w:t>
      </w:r>
      <w:r w:rsidR="00106A90">
        <w:rPr>
          <w:snapToGrid w:val="0"/>
        </w:rPr>
        <w:t>.</w:t>
      </w:r>
    </w:p>
    <w:p w14:paraId="5695AAD8" w14:textId="3188D9BA" w:rsidR="00F93421" w:rsidRDefault="00F93421" w:rsidP="00F93421">
      <w:pPr>
        <w:pStyle w:val="Heading3"/>
        <w:rPr>
          <w:snapToGrid w:val="0"/>
        </w:rPr>
      </w:pPr>
      <w:bookmarkStart w:id="134" w:name="_Toc526778254"/>
      <w:r>
        <w:rPr>
          <w:snapToGrid w:val="0"/>
        </w:rPr>
        <w:t>Meteorological Data Processing</w:t>
      </w:r>
      <w:bookmarkEnd w:id="133"/>
      <w:r>
        <w:rPr>
          <w:snapToGrid w:val="0"/>
        </w:rPr>
        <w:t xml:space="preserve"> </w:t>
      </w:r>
      <w:r w:rsidR="003D0B54">
        <w:rPr>
          <w:snapToGrid w:val="0"/>
        </w:rPr>
        <w:t>and Use w/in the</w:t>
      </w:r>
      <w:r w:rsidR="00251EC8">
        <w:rPr>
          <w:snapToGrid w:val="0"/>
        </w:rPr>
        <w:t xml:space="preserve"> AERMOD</w:t>
      </w:r>
      <w:r w:rsidR="003D0B54">
        <w:rPr>
          <w:snapToGrid w:val="0"/>
        </w:rPr>
        <w:t xml:space="preserve"> System</w:t>
      </w:r>
      <w:bookmarkEnd w:id="134"/>
    </w:p>
    <w:p w14:paraId="46C7FFDA" w14:textId="1888A3D1" w:rsidR="00F93421" w:rsidRDefault="000D5AA8" w:rsidP="004372EF">
      <w:pPr>
        <w:rPr>
          <w:snapToGrid w:val="0"/>
        </w:rPr>
      </w:pPr>
      <w:r>
        <w:rPr>
          <w:snapToGrid w:val="0"/>
        </w:rPr>
        <w:t>This section discusses various aspects of processing and using meteorological data within the AERMOD Modeling System.  The meteorological data processor for AERMOD is AERMET.  The meteorological data generator for AERSCREEN is MAKEMET.</w:t>
      </w:r>
      <w:r w:rsidR="007A2275">
        <w:rPr>
          <w:rStyle w:val="FootnoteReference"/>
          <w:snapToGrid w:val="0"/>
        </w:rPr>
        <w:footnoteReference w:id="43"/>
      </w:r>
      <w:r>
        <w:rPr>
          <w:snapToGrid w:val="0"/>
        </w:rPr>
        <w:t xml:space="preserve"> </w:t>
      </w:r>
      <w:r w:rsidR="00EC6424">
        <w:rPr>
          <w:snapToGrid w:val="0"/>
        </w:rPr>
        <w:t xml:space="preserve"> </w:t>
      </w:r>
      <w:r>
        <w:rPr>
          <w:snapToGrid w:val="0"/>
        </w:rPr>
        <w:t>Both programs require data that characterizes the local surface conditions</w:t>
      </w:r>
      <w:r w:rsidR="00EC6424">
        <w:rPr>
          <w:snapToGrid w:val="0"/>
        </w:rPr>
        <w:t>, which is also discussed below</w:t>
      </w:r>
      <w:r>
        <w:rPr>
          <w:snapToGrid w:val="0"/>
        </w:rPr>
        <w:t xml:space="preserve">.  </w:t>
      </w:r>
      <w:r w:rsidR="00EC6424">
        <w:rPr>
          <w:snapToGrid w:val="0"/>
        </w:rPr>
        <w:t xml:space="preserve">There is also a sub-section that discusses </w:t>
      </w:r>
      <w:r>
        <w:rPr>
          <w:snapToGrid w:val="0"/>
        </w:rPr>
        <w:t xml:space="preserve">previously processed AERMOD-ready meteorological data </w:t>
      </w:r>
      <w:r w:rsidR="00EC6424">
        <w:rPr>
          <w:snapToGrid w:val="0"/>
        </w:rPr>
        <w:t xml:space="preserve">that has or should be posted on our </w:t>
      </w:r>
      <w:proofErr w:type="gramStart"/>
      <w:r>
        <w:rPr>
          <w:snapToGrid w:val="0"/>
        </w:rPr>
        <w:t>web-site</w:t>
      </w:r>
      <w:proofErr w:type="gramEnd"/>
      <w:r>
        <w:rPr>
          <w:snapToGrid w:val="0"/>
        </w:rPr>
        <w:t xml:space="preserve"> so that </w:t>
      </w:r>
      <w:r w:rsidR="00EC6424">
        <w:rPr>
          <w:snapToGrid w:val="0"/>
        </w:rPr>
        <w:t xml:space="preserve">it can be used by future applicants.  The applicants would still need to show to your satisfaction that the </w:t>
      </w:r>
      <w:r w:rsidR="00AB446A">
        <w:rPr>
          <w:snapToGrid w:val="0"/>
        </w:rPr>
        <w:t>dataset</w:t>
      </w:r>
      <w:r w:rsidR="00EC6424">
        <w:rPr>
          <w:snapToGrid w:val="0"/>
        </w:rPr>
        <w:t xml:space="preserve"> represents the plume transport conditions at their stationary source, but using posted data can expedite one aspect of the analysis and your review.  </w:t>
      </w:r>
      <w:r w:rsidR="00F93421">
        <w:rPr>
          <w:snapToGrid w:val="0"/>
        </w:rPr>
        <w:t xml:space="preserve">  </w:t>
      </w:r>
    </w:p>
    <w:p w14:paraId="01AF30CE" w14:textId="77777777" w:rsidR="00F93421" w:rsidRPr="003B16F2" w:rsidRDefault="00F93421" w:rsidP="004372EF">
      <w:pPr>
        <w:pStyle w:val="Heading4"/>
        <w:rPr>
          <w:snapToGrid w:val="0"/>
        </w:rPr>
      </w:pPr>
      <w:bookmarkStart w:id="135" w:name="_Toc526778255"/>
      <w:r w:rsidRPr="003B16F2">
        <w:rPr>
          <w:snapToGrid w:val="0"/>
        </w:rPr>
        <w:t>AERMET Data Processing</w:t>
      </w:r>
      <w:bookmarkEnd w:id="135"/>
      <w:r w:rsidRPr="003B16F2">
        <w:rPr>
          <w:snapToGrid w:val="0"/>
        </w:rPr>
        <w:t xml:space="preserve"> </w:t>
      </w:r>
    </w:p>
    <w:p w14:paraId="390BA25C" w14:textId="19CB2890" w:rsidR="008646FF" w:rsidRDefault="00F93421" w:rsidP="00F93421">
      <w:pPr>
        <w:rPr>
          <w:snapToGrid w:val="0"/>
        </w:rPr>
      </w:pPr>
      <w:r>
        <w:rPr>
          <w:snapToGrid w:val="0"/>
          <w:lang w:val="it-IT"/>
        </w:rPr>
        <w:t xml:space="preserve">AERMET develops hourly boundary layer parameters and profiles for AERMOD using representative hourly meteorological observations and land use data. </w:t>
      </w:r>
      <w:r w:rsidR="00E24EAF">
        <w:rPr>
          <w:snapToGrid w:val="0"/>
        </w:rPr>
        <w:t xml:space="preserve"> </w:t>
      </w:r>
      <w:r w:rsidR="00DE6DDE">
        <w:rPr>
          <w:snapToGrid w:val="0"/>
        </w:rPr>
        <w:t>It is the required meteorological preprocessor for all regulatory applications of AERMOD, per Section</w:t>
      </w:r>
      <w:r w:rsidR="00DE6DDE">
        <w:t> </w:t>
      </w:r>
      <w:r w:rsidR="00DE6DDE">
        <w:rPr>
          <w:snapToGrid w:val="0"/>
        </w:rPr>
        <w:t xml:space="preserve">8.4.2(a) of the Guideline.  </w:t>
      </w:r>
      <w:r w:rsidR="00E24EAF">
        <w:rPr>
          <w:snapToGrid w:val="0"/>
        </w:rPr>
        <w:t>It will accept</w:t>
      </w:r>
      <w:r>
        <w:rPr>
          <w:snapToGrid w:val="0"/>
        </w:rPr>
        <w:t xml:space="preserve"> NWS hourly surface observations</w:t>
      </w:r>
      <w:r w:rsidR="00655E5F">
        <w:rPr>
          <w:rStyle w:val="FootnoteReference"/>
          <w:snapToGrid w:val="0"/>
        </w:rPr>
        <w:footnoteReference w:id="44"/>
      </w:r>
      <w:r w:rsidR="00E24EAF">
        <w:rPr>
          <w:snapToGrid w:val="0"/>
        </w:rPr>
        <w:t xml:space="preserve"> and/or data collected from a</w:t>
      </w:r>
      <w:r w:rsidR="00557568">
        <w:rPr>
          <w:snapToGrid w:val="0"/>
        </w:rPr>
        <w:t xml:space="preserve"> site-specific</w:t>
      </w:r>
      <w:r w:rsidR="00E24EAF">
        <w:rPr>
          <w:snapToGrid w:val="0"/>
        </w:rPr>
        <w:t xml:space="preserve"> measurement program</w:t>
      </w:r>
      <w:r>
        <w:rPr>
          <w:snapToGrid w:val="0"/>
        </w:rPr>
        <w:t xml:space="preserve">, </w:t>
      </w:r>
      <w:r w:rsidR="00E24EAF">
        <w:rPr>
          <w:snapToGrid w:val="0"/>
        </w:rPr>
        <w:t xml:space="preserve">and </w:t>
      </w:r>
      <w:r>
        <w:rPr>
          <w:snapToGrid w:val="0"/>
        </w:rPr>
        <w:t xml:space="preserve">NWS twice-daily upper air soundings.  </w:t>
      </w:r>
      <w:r w:rsidR="008646FF">
        <w:rPr>
          <w:snapToGrid w:val="0"/>
        </w:rPr>
        <w:t xml:space="preserve">AERMET should also be used for processing prognostic meteorological data </w:t>
      </w:r>
      <w:r w:rsidR="00DE6DDE">
        <w:rPr>
          <w:snapToGrid w:val="0"/>
        </w:rPr>
        <w:t xml:space="preserve">for purposes of </w:t>
      </w:r>
      <w:r w:rsidR="008646FF">
        <w:rPr>
          <w:snapToGrid w:val="0"/>
        </w:rPr>
        <w:t>a regulatory AERMOD analysis</w:t>
      </w:r>
      <w:r w:rsidR="00DE6DDE">
        <w:rPr>
          <w:snapToGrid w:val="0"/>
        </w:rPr>
        <w:t xml:space="preserve"> (after it has been extracted with MMIF)</w:t>
      </w:r>
      <w:r w:rsidR="0082259C">
        <w:rPr>
          <w:snapToGrid w:val="0"/>
        </w:rPr>
        <w:t>, per Sections 8.4.2(a) and 8.4.5.1(b) of the Guideline</w:t>
      </w:r>
      <w:r w:rsidR="008646FF">
        <w:rPr>
          <w:snapToGrid w:val="0"/>
        </w:rPr>
        <w:t>.</w:t>
      </w:r>
      <w:r w:rsidR="008646FF">
        <w:rPr>
          <w:rStyle w:val="FootnoteReference"/>
          <w:snapToGrid w:val="0"/>
        </w:rPr>
        <w:footnoteReference w:id="45"/>
      </w:r>
      <w:r w:rsidR="00284354">
        <w:rPr>
          <w:snapToGrid w:val="0"/>
        </w:rPr>
        <w:t xml:space="preserve">  </w:t>
      </w:r>
      <w:r w:rsidR="00CE6EFE">
        <w:rPr>
          <w:snapToGrid w:val="0"/>
        </w:rPr>
        <w:t xml:space="preserve">However, </w:t>
      </w:r>
      <w:r w:rsidR="0082259C">
        <w:rPr>
          <w:snapToGrid w:val="0"/>
        </w:rPr>
        <w:t>AERMET</w:t>
      </w:r>
      <w:r w:rsidR="00CE6EFE">
        <w:rPr>
          <w:snapToGrid w:val="0"/>
        </w:rPr>
        <w:t xml:space="preserve"> should not be used to process offshore meteorological data (see Section </w:t>
      </w:r>
      <w:r w:rsidR="00CE6EFE">
        <w:rPr>
          <w:snapToGrid w:val="0"/>
        </w:rPr>
        <w:fldChar w:fldCharType="begin"/>
      </w:r>
      <w:r w:rsidR="00CE6EFE">
        <w:rPr>
          <w:snapToGrid w:val="0"/>
        </w:rPr>
        <w:instrText xml:space="preserve"> REF _Ref489611519 \w \h </w:instrText>
      </w:r>
      <w:r w:rsidR="00CE6EFE">
        <w:rPr>
          <w:snapToGrid w:val="0"/>
        </w:rPr>
      </w:r>
      <w:r w:rsidR="00CE6EFE">
        <w:rPr>
          <w:snapToGrid w:val="0"/>
        </w:rPr>
        <w:fldChar w:fldCharType="separate"/>
      </w:r>
      <w:r w:rsidR="00135FFD">
        <w:rPr>
          <w:snapToGrid w:val="0"/>
        </w:rPr>
        <w:t>2.1.6.2</w:t>
      </w:r>
      <w:r w:rsidR="00CE6EFE">
        <w:rPr>
          <w:snapToGrid w:val="0"/>
        </w:rPr>
        <w:fldChar w:fldCharType="end"/>
      </w:r>
      <w:r w:rsidR="00CE6EFE">
        <w:rPr>
          <w:snapToGrid w:val="0"/>
        </w:rPr>
        <w:t xml:space="preserve"> if you are reviewing a modeling analysis for an offshore stationary source).</w:t>
      </w:r>
      <w:r w:rsidR="008646FF">
        <w:rPr>
          <w:snapToGrid w:val="0"/>
        </w:rPr>
        <w:t xml:space="preserve">  </w:t>
      </w:r>
    </w:p>
    <w:p w14:paraId="38F003D0" w14:textId="0E606D9B" w:rsidR="00F93421" w:rsidRDefault="008646FF" w:rsidP="00F93421">
      <w:pPr>
        <w:rPr>
          <w:snapToGrid w:val="0"/>
        </w:rPr>
      </w:pPr>
      <w:r>
        <w:rPr>
          <w:snapToGrid w:val="0"/>
        </w:rPr>
        <w:lastRenderedPageBreak/>
        <w:t xml:space="preserve">AERMET is designed to be run as a three-stage process (with a single executable).  </w:t>
      </w:r>
      <w:r w:rsidR="00F93421">
        <w:rPr>
          <w:snapToGrid w:val="0"/>
        </w:rPr>
        <w:t>The first stage extracts (retrieves) data and assess</w:t>
      </w:r>
      <w:r w:rsidR="00D01491">
        <w:rPr>
          <w:snapToGrid w:val="0"/>
        </w:rPr>
        <w:t>es</w:t>
      </w:r>
      <w:r w:rsidR="00F93421">
        <w:rPr>
          <w:snapToGrid w:val="0"/>
        </w:rPr>
        <w:t xml:space="preserve"> data quality.  The second stage combines (merges) the available data for 24-hour periods and writes </w:t>
      </w:r>
      <w:proofErr w:type="gramStart"/>
      <w:r w:rsidR="00F93421">
        <w:rPr>
          <w:snapToGrid w:val="0"/>
        </w:rPr>
        <w:t>these</w:t>
      </w:r>
      <w:proofErr w:type="gramEnd"/>
      <w:r w:rsidR="00F93421">
        <w:rPr>
          <w:snapToGrid w:val="0"/>
        </w:rPr>
        <w:t xml:space="preserve"> data to an intermediate file.  The third and final stage reads the merged data file and develops the necessary boundary layer parameters for dispersion calculations by AERMOD.</w:t>
      </w:r>
    </w:p>
    <w:p w14:paraId="6ACF0626" w14:textId="5952CD76" w:rsidR="004372EF" w:rsidRDefault="00F93421" w:rsidP="004372EF">
      <w:pPr>
        <w:rPr>
          <w:snapToGrid w:val="0"/>
        </w:rPr>
      </w:pPr>
      <w:r w:rsidRPr="00EC5BF6">
        <w:rPr>
          <w:snapToGrid w:val="0"/>
        </w:rPr>
        <w:t xml:space="preserve">It is beyond the scope of this manual to describe the details of how to use AERMET, the expected data files, and formats.  Refer to the </w:t>
      </w:r>
      <w:hyperlink r:id="rId76" w:history="1">
        <w:r w:rsidRPr="00C72534">
          <w:rPr>
            <w:rStyle w:val="Hyperlink"/>
            <w:snapToGrid w:val="0"/>
          </w:rPr>
          <w:t>AERMET User’s Guide</w:t>
        </w:r>
        <w:bookmarkStart w:id="136" w:name="_Ref360028979"/>
      </w:hyperlink>
      <w:r w:rsidRPr="00EC5BF6">
        <w:rPr>
          <w:snapToGrid w:val="0"/>
          <w:vertAlign w:val="superscript"/>
        </w:rPr>
        <w:footnoteReference w:id="46"/>
      </w:r>
      <w:bookmarkEnd w:id="136"/>
      <w:r w:rsidRPr="00EC5BF6">
        <w:rPr>
          <w:snapToGrid w:val="0"/>
        </w:rPr>
        <w:t xml:space="preserve"> for a complete description of these programs and data requirements.</w:t>
      </w:r>
    </w:p>
    <w:p w14:paraId="232BCA81" w14:textId="75A273E3" w:rsidR="004372EF" w:rsidRPr="006A2939" w:rsidRDefault="00655E5F" w:rsidP="002515EC">
      <w:pPr>
        <w:keepNext/>
        <w:spacing w:after="60"/>
        <w:rPr>
          <w:b/>
          <w:snapToGrid w:val="0"/>
        </w:rPr>
      </w:pPr>
      <w:r w:rsidRPr="006A2939">
        <w:rPr>
          <w:b/>
          <w:snapToGrid w:val="0"/>
          <w:u w:val="single"/>
        </w:rPr>
        <w:t>NWS Surface Data</w:t>
      </w:r>
    </w:p>
    <w:p w14:paraId="62048383" w14:textId="0CD21A0B" w:rsidR="00F93421" w:rsidRPr="004372EF" w:rsidRDefault="00F93421" w:rsidP="004372EF">
      <w:pPr>
        <w:rPr>
          <w:snapToGrid w:val="0"/>
        </w:rPr>
      </w:pPr>
      <w:r w:rsidRPr="0025122A">
        <w:rPr>
          <w:snapToGrid w:val="0"/>
        </w:rPr>
        <w:t xml:space="preserve">Although most NWS measurements </w:t>
      </w:r>
      <w:r w:rsidR="00E24EAF">
        <w:rPr>
          <w:snapToGrid w:val="0"/>
        </w:rPr>
        <w:t xml:space="preserve">are </w:t>
      </w:r>
      <w:r>
        <w:rPr>
          <w:snapToGrid w:val="0"/>
        </w:rPr>
        <w:t xml:space="preserve">typically </w:t>
      </w:r>
      <w:r w:rsidRPr="0025122A">
        <w:rPr>
          <w:snapToGrid w:val="0"/>
        </w:rPr>
        <w:t xml:space="preserve">made at a standard height of 10 meters, the actual anemometer height should be used as input to the preferred model.  </w:t>
      </w:r>
      <w:r w:rsidR="00E24EAF">
        <w:rPr>
          <w:snapToGrid w:val="0"/>
        </w:rPr>
        <w:t xml:space="preserve">Hourly </w:t>
      </w:r>
      <w:r w:rsidRPr="0025122A">
        <w:rPr>
          <w:snapToGrid w:val="0"/>
        </w:rPr>
        <w:t>NWS wind direction data are reported to the nearest 10 degrees</w:t>
      </w:r>
      <w:r>
        <w:rPr>
          <w:snapToGrid w:val="0"/>
        </w:rPr>
        <w:t xml:space="preserve"> (e.</w:t>
      </w:r>
      <w:r w:rsidR="00D97715">
        <w:rPr>
          <w:snapToGrid w:val="0"/>
        </w:rPr>
        <w:t>g.</w:t>
      </w:r>
      <w:r>
        <w:rPr>
          <w:snapToGrid w:val="0"/>
        </w:rPr>
        <w:t>, 23 for 230, 08 for 80)</w:t>
      </w:r>
      <w:r w:rsidR="007B3481">
        <w:rPr>
          <w:snapToGrid w:val="0"/>
        </w:rPr>
        <w:t xml:space="preserve">, while the </w:t>
      </w:r>
      <w:r w:rsidR="001C3BD5">
        <w:rPr>
          <w:snapToGrid w:val="0"/>
        </w:rPr>
        <w:t>1</w:t>
      </w:r>
      <w:r w:rsidR="007B3481">
        <w:rPr>
          <w:snapToGrid w:val="0"/>
        </w:rPr>
        <w:t xml:space="preserve">-minute </w:t>
      </w:r>
      <w:r w:rsidR="001C3BD5">
        <w:rPr>
          <w:snapToGrid w:val="0"/>
        </w:rPr>
        <w:t>ASOS</w:t>
      </w:r>
      <w:r w:rsidR="007B3481">
        <w:rPr>
          <w:snapToGrid w:val="0"/>
        </w:rPr>
        <w:t xml:space="preserve"> data are reported to the nearest degree</w:t>
      </w:r>
      <w:r w:rsidRPr="0025122A">
        <w:rPr>
          <w:snapToGrid w:val="0"/>
        </w:rPr>
        <w:t xml:space="preserve">. </w:t>
      </w:r>
      <w:r w:rsidR="007B3481">
        <w:rPr>
          <w:snapToGrid w:val="0"/>
        </w:rPr>
        <w:t xml:space="preserve"> The use of wind direction data reported to the nearest 10 degrees could lead to a bias in the modeling results.  EPA has, therefore, developed an algorithm in AERMET to adjust the wind direction by ± 5-degrees using a</w:t>
      </w:r>
      <w:r w:rsidRPr="0025122A">
        <w:rPr>
          <w:snapToGrid w:val="0"/>
        </w:rPr>
        <w:t xml:space="preserve"> specific set of randomly generated numbers.</w:t>
      </w:r>
      <w:r w:rsidR="007B3481">
        <w:rPr>
          <w:snapToGrid w:val="0"/>
        </w:rPr>
        <w:t xml:space="preserve">  The randomization option should be used </w:t>
      </w:r>
      <w:r w:rsidR="00896C1C">
        <w:rPr>
          <w:snapToGrid w:val="0"/>
        </w:rPr>
        <w:t>for</w:t>
      </w:r>
      <w:r w:rsidR="007B3481">
        <w:rPr>
          <w:snapToGrid w:val="0"/>
        </w:rPr>
        <w:t xml:space="preserve"> </w:t>
      </w:r>
      <w:r w:rsidR="00896C1C">
        <w:rPr>
          <w:snapToGrid w:val="0"/>
        </w:rPr>
        <w:t xml:space="preserve">processing </w:t>
      </w:r>
      <w:r w:rsidR="007B3481">
        <w:rPr>
          <w:snapToGrid w:val="0"/>
        </w:rPr>
        <w:t xml:space="preserve">hourly NWS </w:t>
      </w:r>
      <w:r w:rsidR="00896C1C">
        <w:rPr>
          <w:snapToGrid w:val="0"/>
        </w:rPr>
        <w:t xml:space="preserve">(or equivalent) </w:t>
      </w:r>
      <w:r w:rsidR="007B3481">
        <w:rPr>
          <w:snapToGrid w:val="0"/>
        </w:rPr>
        <w:t xml:space="preserve">data, but </w:t>
      </w:r>
      <w:r w:rsidR="00896C1C">
        <w:rPr>
          <w:snapToGrid w:val="0"/>
        </w:rPr>
        <w:t xml:space="preserve">it should </w:t>
      </w:r>
      <w:r w:rsidR="00896C1C" w:rsidRPr="00896C1C">
        <w:rPr>
          <w:snapToGrid w:val="0"/>
          <w:u w:val="single"/>
        </w:rPr>
        <w:t>not</w:t>
      </w:r>
      <w:r w:rsidR="00896C1C">
        <w:rPr>
          <w:snapToGrid w:val="0"/>
        </w:rPr>
        <w:t xml:space="preserve"> be used for processing </w:t>
      </w:r>
      <w:r w:rsidR="001C3BD5">
        <w:rPr>
          <w:snapToGrid w:val="0"/>
        </w:rPr>
        <w:t>1</w:t>
      </w:r>
      <w:r w:rsidR="007B3481">
        <w:rPr>
          <w:snapToGrid w:val="0"/>
        </w:rPr>
        <w:t xml:space="preserve">-minute </w:t>
      </w:r>
      <w:r w:rsidR="001C3BD5">
        <w:rPr>
          <w:snapToGrid w:val="0"/>
        </w:rPr>
        <w:t>ASOS</w:t>
      </w:r>
      <w:r w:rsidR="007B3481">
        <w:rPr>
          <w:snapToGrid w:val="0"/>
        </w:rPr>
        <w:t xml:space="preserve"> data. </w:t>
      </w:r>
      <w:r w:rsidR="00696117">
        <w:rPr>
          <w:snapToGrid w:val="0"/>
        </w:rPr>
        <w:t xml:space="preserve"> (See Section 3.1 of EPA’s March 8, 2013 memorandum, </w:t>
      </w:r>
      <w:hyperlink r:id="rId77" w:history="1">
        <w:r w:rsidR="00696117">
          <w:rPr>
            <w:rStyle w:val="Hyperlink"/>
            <w:i/>
            <w:snapToGrid w:val="0"/>
          </w:rPr>
          <w:t>Use of ASOS meteorological data in AERMOD dispersion modeling</w:t>
        </w:r>
      </w:hyperlink>
      <w:r w:rsidR="00696117">
        <w:rPr>
          <w:snapToGrid w:val="0"/>
        </w:rPr>
        <w:t>.)</w:t>
      </w:r>
    </w:p>
    <w:p w14:paraId="54224172" w14:textId="6F5CA377" w:rsidR="00F93421" w:rsidRPr="00940D3D" w:rsidRDefault="00F93421" w:rsidP="00F93421">
      <w:pPr>
        <w:numPr>
          <w:ilvl w:val="0"/>
          <w:numId w:val="32"/>
        </w:numPr>
        <w:spacing w:before="120" w:after="120"/>
        <w:rPr>
          <w:snapToGrid w:val="0"/>
        </w:rPr>
      </w:pPr>
      <w:r>
        <w:rPr>
          <w:snapToGrid w:val="0"/>
        </w:rPr>
        <w:t xml:space="preserve">The option to randomize the wind direction </w:t>
      </w:r>
      <w:r w:rsidR="004B7264">
        <w:rPr>
          <w:snapToGrid w:val="0"/>
        </w:rPr>
        <w:t xml:space="preserve">may be found </w:t>
      </w:r>
      <w:r>
        <w:rPr>
          <w:snapToGrid w:val="0"/>
        </w:rPr>
        <w:t>in the stage 3 input control file (i.e., METHOD WIND_DIR RANDOM).</w:t>
      </w:r>
      <w:r w:rsidR="004B7264">
        <w:rPr>
          <w:snapToGrid w:val="0"/>
        </w:rPr>
        <w:t xml:space="preserve"> </w:t>
      </w:r>
      <w:r w:rsidR="00940D3D">
        <w:rPr>
          <w:snapToGrid w:val="0"/>
        </w:rPr>
        <w:t xml:space="preserve"> </w:t>
      </w:r>
      <w:r w:rsidR="004B7264">
        <w:rPr>
          <w:snapToGrid w:val="0"/>
        </w:rPr>
        <w:t xml:space="preserve">EPA changed the default setting from “no randomization” to “randomization” beginning with AERMET version 16216. </w:t>
      </w:r>
    </w:p>
    <w:p w14:paraId="41358B6E" w14:textId="0B97F552" w:rsidR="00F93421" w:rsidRDefault="00F93421" w:rsidP="00F93421">
      <w:pPr>
        <w:rPr>
          <w:snapToGrid w:val="0"/>
        </w:rPr>
      </w:pPr>
      <w:r>
        <w:rPr>
          <w:snapToGrid w:val="0"/>
        </w:rPr>
        <w:t xml:space="preserve">A file of upper air soundings is also required to estimate the mixing height on an hourly basis.  </w:t>
      </w:r>
      <w:proofErr w:type="gramStart"/>
      <w:r>
        <w:rPr>
          <w:snapToGrid w:val="0"/>
        </w:rPr>
        <w:t>These</w:t>
      </w:r>
      <w:proofErr w:type="gramEnd"/>
      <w:r>
        <w:rPr>
          <w:snapToGrid w:val="0"/>
        </w:rPr>
        <w:t xml:space="preserve"> data can be obtained for free from the National Climatic Data Center (NCDC) website at </w:t>
      </w:r>
      <w:hyperlink r:id="rId78" w:history="1">
        <w:r w:rsidR="00175D8D" w:rsidRPr="00552180">
          <w:rPr>
            <w:rStyle w:val="Hyperlink"/>
            <w:snapToGrid w:val="0"/>
          </w:rPr>
          <w:t>http://www.esrl.noaa.gov/raobs/</w:t>
        </w:r>
      </w:hyperlink>
      <w:r>
        <w:rPr>
          <w:snapToGrid w:val="0"/>
        </w:rPr>
        <w:t>.</w:t>
      </w:r>
    </w:p>
    <w:p w14:paraId="3E32CCB5" w14:textId="77777777" w:rsidR="00F93421" w:rsidRDefault="00F93421" w:rsidP="00F93421">
      <w:pPr>
        <w:rPr>
          <w:snapToGrid w:val="0"/>
        </w:rPr>
      </w:pPr>
      <w:r w:rsidRPr="00220756">
        <w:rPr>
          <w:snapToGrid w:val="0"/>
        </w:rPr>
        <w:t xml:space="preserve">If the applicant is using representative NWS data, the modeling submittal should describe the data processing performed with </w:t>
      </w:r>
      <w:r>
        <w:rPr>
          <w:snapToGrid w:val="0"/>
        </w:rPr>
        <w:t>AERMET</w:t>
      </w:r>
      <w:r w:rsidRPr="00220756">
        <w:rPr>
          <w:snapToGrid w:val="0"/>
        </w:rPr>
        <w:t xml:space="preserve">.  </w:t>
      </w:r>
    </w:p>
    <w:p w14:paraId="3DE41C1D" w14:textId="77777777" w:rsidR="00F93421" w:rsidRPr="006A2939" w:rsidRDefault="00F93421" w:rsidP="00B10CF3">
      <w:pPr>
        <w:pStyle w:val="Level5"/>
        <w:rPr>
          <w:rStyle w:val="Emphasis"/>
          <w:i/>
        </w:rPr>
      </w:pPr>
      <w:r w:rsidRPr="006A2939">
        <w:rPr>
          <w:rStyle w:val="Emphasis"/>
          <w:i/>
        </w:rPr>
        <w:t>AERMINUTE</w:t>
      </w:r>
    </w:p>
    <w:p w14:paraId="73174EA3" w14:textId="5F8E380B" w:rsidR="00F93421" w:rsidRDefault="00EF6943" w:rsidP="00F93421">
      <w:pPr>
        <w:keepNext/>
        <w:autoSpaceDE w:val="0"/>
        <w:autoSpaceDN w:val="0"/>
        <w:adjustRightInd w:val="0"/>
        <w:rPr>
          <w:snapToGrid w:val="0"/>
          <w:lang w:val="it-IT"/>
        </w:rPr>
      </w:pPr>
      <w:r w:rsidRPr="0059694A">
        <w:t xml:space="preserve">EPA developed a preprocessor to AERMET in February 2011, called </w:t>
      </w:r>
      <w:hyperlink r:id="rId79" w:history="1">
        <w:r w:rsidR="00195D6F" w:rsidRPr="00C72534">
          <w:rPr>
            <w:rStyle w:val="Hyperlink"/>
            <w:snapToGrid w:val="0"/>
            <w:lang w:val="it-IT"/>
          </w:rPr>
          <w:t>AERMINUTE</w:t>
        </w:r>
      </w:hyperlink>
      <w:r w:rsidRPr="0059694A">
        <w:t>, which ca</w:t>
      </w:r>
      <w:r>
        <w:rPr>
          <w:snapToGrid w:val="0"/>
          <w:lang w:val="it-IT"/>
        </w:rPr>
        <w:t xml:space="preserve">n read 1-minute ASOS data and calculate hourly average wind speeds and directions.  It is an established fact that the hourly weather observations observed with ASOS produce more calm winds, and resulting gaps in the data, than when human observers took the measurements.  </w:t>
      </w:r>
      <w:r w:rsidR="00F93421">
        <w:rPr>
          <w:snapToGrid w:val="0"/>
          <w:lang w:val="it-IT"/>
        </w:rPr>
        <w:t xml:space="preserve">The AERMINUTE program was developed “to </w:t>
      </w:r>
      <w:r w:rsidR="00F93421">
        <w:t>address concerns regarding the impact of large data gaps on the adequacy and representativeness of ASOS wind data for regulatory dispersion modeling”.</w:t>
      </w:r>
      <w:r w:rsidR="00F93421">
        <w:rPr>
          <w:rStyle w:val="FootnoteReference"/>
        </w:rPr>
        <w:footnoteReference w:id="47"/>
      </w:r>
      <w:r w:rsidR="00F93421">
        <w:t xml:space="preserve">  </w:t>
      </w:r>
      <w:r w:rsidR="00F93421">
        <w:lastRenderedPageBreak/>
        <w:t>AERMINUTE</w:t>
      </w:r>
      <w:r w:rsidR="00F93421" w:rsidRPr="00A07100">
        <w:t xml:space="preserve"> read</w:t>
      </w:r>
      <w:r w:rsidR="00F93421">
        <w:t>s</w:t>
      </w:r>
      <w:r w:rsidR="00F93421" w:rsidRPr="00A07100">
        <w:t xml:space="preserve"> 2-minute average ASOS winds (reported every minute) </w:t>
      </w:r>
      <w:r w:rsidR="00F93421">
        <w:t xml:space="preserve">that are available from </w:t>
      </w:r>
      <w:r w:rsidR="00F93421" w:rsidRPr="00A07100">
        <w:t>the</w:t>
      </w:r>
      <w:r w:rsidR="00F93421">
        <w:t xml:space="preserve"> </w:t>
      </w:r>
      <w:r w:rsidR="00F93421" w:rsidRPr="00A07100">
        <w:t xml:space="preserve">NCDC </w:t>
      </w:r>
      <w:r w:rsidR="00F93421">
        <w:t>in the T</w:t>
      </w:r>
      <w:r w:rsidR="00F93421" w:rsidRPr="00A07100">
        <w:t xml:space="preserve">D-6405 </w:t>
      </w:r>
      <w:r w:rsidR="00F93421">
        <w:t>format</w:t>
      </w:r>
      <w:r w:rsidR="002515EC">
        <w:t>.</w:t>
      </w:r>
      <w:r w:rsidR="00F93421">
        <w:rPr>
          <w:rStyle w:val="FootnoteReference"/>
          <w:snapToGrid w:val="0"/>
          <w:lang w:val="it-IT"/>
        </w:rPr>
        <w:footnoteReference w:id="48"/>
      </w:r>
      <w:r w:rsidR="00F93421">
        <w:rPr>
          <w:snapToGrid w:val="0"/>
          <w:lang w:val="it-IT"/>
        </w:rPr>
        <w:t xml:space="preserve">  </w:t>
      </w:r>
      <w:r w:rsidR="005E16E0">
        <w:rPr>
          <w:snapToGrid w:val="0"/>
          <w:lang w:val="it-IT"/>
        </w:rPr>
        <w:t xml:space="preserve">The use of </w:t>
      </w:r>
      <w:r w:rsidR="00F93421">
        <w:rPr>
          <w:snapToGrid w:val="0"/>
          <w:lang w:val="it-IT"/>
        </w:rPr>
        <w:t>AERMINUTE</w:t>
      </w:r>
      <w:r w:rsidR="00F93421" w:rsidRPr="00A07100">
        <w:t xml:space="preserve"> </w:t>
      </w:r>
      <w:r w:rsidR="005E16E0">
        <w:t xml:space="preserve">for processing ASOS data should reduce </w:t>
      </w:r>
      <w:r w:rsidR="00F93421">
        <w:rPr>
          <w:snapToGrid w:val="0"/>
          <w:lang w:val="it-IT"/>
        </w:rPr>
        <w:t>the number of calm winds provided to AERMOD.  The AERMINUTE User’s Guide provides more information on how to obtain the 1-minute data from NCDC.</w:t>
      </w:r>
    </w:p>
    <w:p w14:paraId="6030B5B4" w14:textId="77777777" w:rsidR="00F93421" w:rsidRDefault="00F93421" w:rsidP="00B10CF3">
      <w:pPr>
        <w:pStyle w:val="CheckReminder"/>
      </w:pPr>
      <w:r w:rsidRPr="005F7E18">
        <w:t>EPA recommends that data processed with AERMINUTE be routinely used to supplement the standard ASOS data with hourly-averaged wind speed and direction to support AERMOD dispersion modeling</w:t>
      </w:r>
      <w:r w:rsidRPr="00A07100">
        <w:t>.</w:t>
      </w:r>
    </w:p>
    <w:p w14:paraId="5AFF6C9B" w14:textId="18F57910" w:rsidR="00884332" w:rsidRPr="009172C8" w:rsidRDefault="00234452" w:rsidP="00234452">
      <w:pPr>
        <w:pStyle w:val="CheckReminder"/>
        <w:numPr>
          <w:ilvl w:val="0"/>
          <w:numId w:val="0"/>
        </w:numPr>
      </w:pPr>
      <w:r w:rsidRPr="009172C8">
        <w:t xml:space="preserve">When reviewing an AERMINUTE analysis, check whether the applicant used the correct setting/start-up date for the </w:t>
      </w:r>
      <w:proofErr w:type="gramStart"/>
      <w:r w:rsidRPr="009172C8">
        <w:t>Ice Free</w:t>
      </w:r>
      <w:proofErr w:type="gramEnd"/>
      <w:r w:rsidRPr="009172C8">
        <w:t xml:space="preserve"> Winds (IFW) setting (the date the NWS </w:t>
      </w:r>
      <w:r w:rsidR="00C8790B" w:rsidRPr="009172C8">
        <w:t>started using</w:t>
      </w:r>
      <w:r w:rsidRPr="009172C8">
        <w:t xml:space="preserve"> a sonic anemometer to measure wind speed and direction).  APP has found </w:t>
      </w:r>
      <w:r w:rsidR="00C8790B" w:rsidRPr="009172C8">
        <w:t xml:space="preserve">user </w:t>
      </w:r>
      <w:r w:rsidRPr="009172C8">
        <w:t xml:space="preserve">errors with respect to this setting, which affected the number of alleged </w:t>
      </w:r>
      <w:proofErr w:type="gramStart"/>
      <w:r w:rsidRPr="009172C8">
        <w:t>calms</w:t>
      </w:r>
      <w:proofErr w:type="gramEnd"/>
      <w:r w:rsidRPr="009172C8">
        <w:t>.  See Section</w:t>
      </w:r>
      <w:r w:rsidR="00E368E8" w:rsidRPr="009172C8">
        <w:t xml:space="preserve"> </w:t>
      </w:r>
      <w:r w:rsidR="00884332" w:rsidRPr="009172C8">
        <w:t>4</w:t>
      </w:r>
      <w:r w:rsidRPr="009172C8">
        <w:t xml:space="preserve">.1.2 of the </w:t>
      </w:r>
      <w:hyperlink r:id="rId80" w:history="1">
        <w:r w:rsidRPr="00752FC9">
          <w:rPr>
            <w:rStyle w:val="Hyperlink"/>
          </w:rPr>
          <w:t>AERMINUTE User’s Guide</w:t>
        </w:r>
      </w:hyperlink>
      <w:r w:rsidR="00884332" w:rsidRPr="009172C8">
        <w:rPr>
          <w:rStyle w:val="FootnoteReference"/>
        </w:rPr>
        <w:footnoteReference w:id="49"/>
      </w:r>
      <w:r w:rsidRPr="009172C8">
        <w:t xml:space="preserve"> </w:t>
      </w:r>
      <w:r w:rsidR="00884332" w:rsidRPr="009172C8">
        <w:t>for additional information regarding the IFW setting.</w:t>
      </w:r>
    </w:p>
    <w:p w14:paraId="63445217" w14:textId="6E08F548" w:rsidR="00234452" w:rsidRPr="005F7E18" w:rsidRDefault="00234452" w:rsidP="00E368E8">
      <w:pPr>
        <w:pStyle w:val="CheckReminder"/>
        <w:numPr>
          <w:ilvl w:val="0"/>
          <w:numId w:val="0"/>
        </w:numPr>
        <w:ind w:left="360" w:right="270"/>
      </w:pPr>
      <w:r w:rsidRPr="00234452">
        <w:rPr>
          <w:u w:val="single"/>
        </w:rPr>
        <w:t>Note</w:t>
      </w:r>
      <w:proofErr w:type="gramStart"/>
      <w:r>
        <w:t xml:space="preserve">:  </w:t>
      </w:r>
      <w:r w:rsidRPr="00E368E8">
        <w:rPr>
          <w:i/>
        </w:rPr>
        <w:t>FAA</w:t>
      </w:r>
      <w:proofErr w:type="gramEnd"/>
      <w:r w:rsidRPr="00E368E8">
        <w:rPr>
          <w:i/>
        </w:rPr>
        <w:t xml:space="preserve"> Automated Weather Observing Station (AWOS) data is adequately equivalent to hour</w:t>
      </w:r>
      <w:r w:rsidR="00EF6943">
        <w:rPr>
          <w:i/>
        </w:rPr>
        <w:t>ly</w:t>
      </w:r>
      <w:r w:rsidRPr="00E368E8">
        <w:rPr>
          <w:i/>
        </w:rPr>
        <w:t xml:space="preserve"> NWS data for quality modeling purposes, but it cannot currently be preprocessed with AERMINUTE</w:t>
      </w:r>
      <w:r>
        <w:t xml:space="preserve">. </w:t>
      </w:r>
    </w:p>
    <w:p w14:paraId="47B7A936" w14:textId="77777777" w:rsidR="00F93421" w:rsidRPr="006A2939" w:rsidRDefault="00F93421" w:rsidP="00B10CF3">
      <w:pPr>
        <w:keepNext/>
        <w:spacing w:after="60"/>
        <w:rPr>
          <w:b/>
          <w:snapToGrid w:val="0"/>
          <w:u w:val="single"/>
        </w:rPr>
      </w:pPr>
      <w:r w:rsidRPr="006A2939">
        <w:rPr>
          <w:b/>
          <w:snapToGrid w:val="0"/>
          <w:u w:val="single"/>
        </w:rPr>
        <w:t>Site-specific Meteorology</w:t>
      </w:r>
    </w:p>
    <w:p w14:paraId="6BE348E4" w14:textId="6BC9F48E" w:rsidR="00F93421" w:rsidRDefault="00EF6943" w:rsidP="00D93182">
      <w:pPr>
        <w:keepNext/>
        <w:rPr>
          <w:snapToGrid w:val="0"/>
        </w:rPr>
      </w:pPr>
      <w:r w:rsidRPr="0059694A">
        <w:t xml:space="preserve">The minimum hourly near-surface data requirements to run AERMET with site-specific data are (with some typical heights for each measurement): wind speed and wind direction (10 meters), ambient temperature (2 meters), temperature difference (10 meter – </w:t>
      </w:r>
      <w:proofErr w:type="gramStart"/>
      <w:r w:rsidRPr="0059694A">
        <w:t>2 meter</w:t>
      </w:r>
      <w:proofErr w:type="gramEnd"/>
      <w:r w:rsidRPr="0059694A">
        <w:t xml:space="preserve"> temperatures), and solar radiation</w:t>
      </w:r>
      <w:r>
        <w:rPr>
          <w:snapToGrid w:val="0"/>
        </w:rPr>
        <w:t xml:space="preserve"> (at or near the ground).  </w:t>
      </w:r>
      <w:r w:rsidR="00F93421">
        <w:rPr>
          <w:snapToGrid w:val="0"/>
        </w:rPr>
        <w:t xml:space="preserve">As with </w:t>
      </w:r>
      <w:r w:rsidR="008E3038">
        <w:rPr>
          <w:snapToGrid w:val="0"/>
        </w:rPr>
        <w:t xml:space="preserve">processing </w:t>
      </w:r>
      <w:r w:rsidR="00F93421">
        <w:rPr>
          <w:snapToGrid w:val="0"/>
        </w:rPr>
        <w:t>NWS data</w:t>
      </w:r>
      <w:r w:rsidR="008E3038">
        <w:rPr>
          <w:snapToGrid w:val="0"/>
        </w:rPr>
        <w:t xml:space="preserve"> only</w:t>
      </w:r>
      <w:r w:rsidR="00F93421">
        <w:rPr>
          <w:snapToGrid w:val="0"/>
        </w:rPr>
        <w:t>, a file of upper air sounding is also required to estimate the mixing height on an hourly basis.  Although AERMET can accommodate a site-specific estimate of the mixing height for each hour, the only time such data might be encountered is with a short-term scientific field experiment and likely only for short periods of time over the course of a day.</w:t>
      </w:r>
    </w:p>
    <w:p w14:paraId="09704F96" w14:textId="49214D8F" w:rsidR="00F93421" w:rsidRDefault="00F93421" w:rsidP="00F93421">
      <w:pPr>
        <w:rPr>
          <w:snapToGrid w:val="0"/>
        </w:rPr>
      </w:pPr>
      <w:r>
        <w:rPr>
          <w:snapToGrid w:val="0"/>
        </w:rPr>
        <w:t xml:space="preserve">One of the advancements in the AERMOD Modeling System is the use of the solar radiation/delta-T (SRDT) method to estimate atmospheric stability.  This method makes it unnecessary to </w:t>
      </w:r>
      <w:r w:rsidR="00EB0909">
        <w:rPr>
          <w:snapToGrid w:val="0"/>
        </w:rPr>
        <w:t>observe</w:t>
      </w:r>
      <w:r>
        <w:rPr>
          <w:snapToGrid w:val="0"/>
        </w:rPr>
        <w:t xml:space="preserve"> cloud cover and ceiling height</w:t>
      </w:r>
      <w:r w:rsidR="00EB0909">
        <w:rPr>
          <w:snapToGrid w:val="0"/>
        </w:rPr>
        <w:t xml:space="preserve"> in a site-specific monitoring program</w:t>
      </w:r>
      <w:r>
        <w:rPr>
          <w:snapToGrid w:val="0"/>
        </w:rPr>
        <w:t xml:space="preserve">.  AERMET </w:t>
      </w:r>
      <w:r w:rsidR="00E1347B">
        <w:rPr>
          <w:snapToGrid w:val="0"/>
        </w:rPr>
        <w:t>includes</w:t>
      </w:r>
      <w:r>
        <w:rPr>
          <w:snapToGrid w:val="0"/>
        </w:rPr>
        <w:t xml:space="preserve"> a </w:t>
      </w:r>
      <w:r w:rsidR="00E1347B">
        <w:rPr>
          <w:snapToGrid w:val="0"/>
        </w:rPr>
        <w:t>“</w:t>
      </w:r>
      <w:r>
        <w:rPr>
          <w:snapToGrid w:val="0"/>
        </w:rPr>
        <w:t>bulk Richardson</w:t>
      </w:r>
      <w:r w:rsidR="00E1347B">
        <w:rPr>
          <w:snapToGrid w:val="0"/>
        </w:rPr>
        <w:t>”</w:t>
      </w:r>
      <w:r>
        <w:rPr>
          <w:snapToGrid w:val="0"/>
        </w:rPr>
        <w:t xml:space="preserve"> method which utilizes the temperature difference</w:t>
      </w:r>
      <w:r w:rsidR="00E1347B">
        <w:rPr>
          <w:snapToGrid w:val="0"/>
        </w:rPr>
        <w:t xml:space="preserve"> data</w:t>
      </w:r>
      <w:r>
        <w:rPr>
          <w:snapToGrid w:val="0"/>
        </w:rPr>
        <w:t xml:space="preserve"> to estimate atmospheric stability at night and solar radiation </w:t>
      </w:r>
      <w:r w:rsidR="00E1347B">
        <w:rPr>
          <w:snapToGrid w:val="0"/>
        </w:rPr>
        <w:t xml:space="preserve">data </w:t>
      </w:r>
      <w:r>
        <w:rPr>
          <w:snapToGrid w:val="0"/>
        </w:rPr>
        <w:t xml:space="preserve">to estimate stability during the daytime.  Since cloud cover is generally not observed with an on-site measurement program, the bulk Richardson method is the preferred means available in AERMET to determine atmospheric stability </w:t>
      </w:r>
      <w:r w:rsidR="00E1347B">
        <w:rPr>
          <w:snapToGrid w:val="0"/>
        </w:rPr>
        <w:t xml:space="preserve">when using </w:t>
      </w:r>
      <w:r w:rsidR="006F523E">
        <w:rPr>
          <w:snapToGrid w:val="0"/>
        </w:rPr>
        <w:t>site-specific</w:t>
      </w:r>
      <w:r w:rsidR="00E1347B">
        <w:rPr>
          <w:snapToGrid w:val="0"/>
        </w:rPr>
        <w:t xml:space="preserve"> data</w:t>
      </w:r>
      <w:r>
        <w:rPr>
          <w:snapToGrid w:val="0"/>
        </w:rPr>
        <w:t>.  To use this option in stage 3, include METHOD STABLEBL BULKRN.</w:t>
      </w:r>
    </w:p>
    <w:p w14:paraId="735A8091" w14:textId="415A201F" w:rsidR="00601BD8" w:rsidRDefault="00F93421" w:rsidP="00F93421">
      <w:pPr>
        <w:rPr>
          <w:snapToGrid w:val="0"/>
        </w:rPr>
      </w:pPr>
      <w:r>
        <w:rPr>
          <w:snapToGrid w:val="0"/>
        </w:rPr>
        <w:lastRenderedPageBreak/>
        <w:t>An important keyword that is mandatory in stage 1 is the wind speed threshold value</w:t>
      </w:r>
      <w:r w:rsidR="003837F8">
        <w:rPr>
          <w:snapToGrid w:val="0"/>
        </w:rPr>
        <w:t xml:space="preserve"> (THRESHOLD)</w:t>
      </w:r>
      <w:r>
        <w:rPr>
          <w:snapToGrid w:val="0"/>
        </w:rPr>
        <w:t xml:space="preserve">.  </w:t>
      </w:r>
      <w:r w:rsidR="003837F8">
        <w:rPr>
          <w:snapToGrid w:val="0"/>
        </w:rPr>
        <w:t xml:space="preserve">This value informs AERMET of the minimum wind speed that the anemometer can detect.  However, the larger of the “wind speed starting threshold” and the “wind direction starting threshold” should </w:t>
      </w:r>
      <w:proofErr w:type="gramStart"/>
      <w:r w:rsidR="003837F8">
        <w:rPr>
          <w:snapToGrid w:val="0"/>
        </w:rPr>
        <w:t>actually be</w:t>
      </w:r>
      <w:proofErr w:type="gramEnd"/>
      <w:r w:rsidR="003837F8">
        <w:rPr>
          <w:snapToGrid w:val="0"/>
        </w:rPr>
        <w:t xml:space="preserve"> used</w:t>
      </w:r>
      <w:r w:rsidR="001A43F4">
        <w:rPr>
          <w:snapToGrid w:val="0"/>
        </w:rPr>
        <w:t>, per Section</w:t>
      </w:r>
      <w:r w:rsidR="00C8790B" w:rsidRPr="008E3429">
        <w:t> </w:t>
      </w:r>
      <w:r w:rsidR="001A43F4">
        <w:rPr>
          <w:snapToGrid w:val="0"/>
        </w:rPr>
        <w:t>8.4.6.1</w:t>
      </w:r>
      <w:r w:rsidR="008F461C">
        <w:rPr>
          <w:snapToGrid w:val="0"/>
        </w:rPr>
        <w:t>(</w:t>
      </w:r>
      <w:r w:rsidR="001A43F4">
        <w:rPr>
          <w:snapToGrid w:val="0"/>
        </w:rPr>
        <w:t>b</w:t>
      </w:r>
      <w:r w:rsidR="008F461C">
        <w:rPr>
          <w:snapToGrid w:val="0"/>
        </w:rPr>
        <w:t>)</w:t>
      </w:r>
      <w:r w:rsidR="001A43F4">
        <w:rPr>
          <w:snapToGrid w:val="0"/>
        </w:rPr>
        <w:t xml:space="preserve"> of the </w:t>
      </w:r>
      <w:r w:rsidR="001A43F4" w:rsidRPr="00196955">
        <w:rPr>
          <w:snapToGrid w:val="0"/>
        </w:rPr>
        <w:t>Guideline</w:t>
      </w:r>
      <w:r w:rsidR="003837F8">
        <w:rPr>
          <w:snapToGrid w:val="0"/>
        </w:rPr>
        <w:t xml:space="preserve">. </w:t>
      </w:r>
      <w:r w:rsidR="000638E9">
        <w:rPr>
          <w:snapToGrid w:val="0"/>
        </w:rPr>
        <w:t xml:space="preserve"> (</w:t>
      </w:r>
      <w:r w:rsidR="001A43F4">
        <w:rPr>
          <w:snapToGrid w:val="0"/>
        </w:rPr>
        <w:t>When using a mechanical anemometer, t</w:t>
      </w:r>
      <w:r w:rsidR="000638E9">
        <w:rPr>
          <w:snapToGrid w:val="0"/>
        </w:rPr>
        <w:t xml:space="preserve">he anemometer will not correctly measure the wind speed if it has not fully turned into the wind.)  </w:t>
      </w:r>
      <w:r w:rsidR="002A7804">
        <w:rPr>
          <w:snapToGrid w:val="0"/>
        </w:rPr>
        <w:t xml:space="preserve">AERMET treats site-specific wind speeds below the threshold value as </w:t>
      </w:r>
      <w:proofErr w:type="gramStart"/>
      <w:r w:rsidR="002A7804">
        <w:rPr>
          <w:snapToGrid w:val="0"/>
        </w:rPr>
        <w:t>calms</w:t>
      </w:r>
      <w:proofErr w:type="gramEnd"/>
      <w:r w:rsidR="002A7804">
        <w:rPr>
          <w:snapToGrid w:val="0"/>
        </w:rPr>
        <w:t xml:space="preserve">.  </w:t>
      </w:r>
      <w:r>
        <w:rPr>
          <w:snapToGrid w:val="0"/>
        </w:rPr>
        <w:t xml:space="preserve">There is no default </w:t>
      </w:r>
      <w:proofErr w:type="gramStart"/>
      <w:r>
        <w:rPr>
          <w:snapToGrid w:val="0"/>
        </w:rPr>
        <w:t>value</w:t>
      </w:r>
      <w:proofErr w:type="gramEnd"/>
      <w:r>
        <w:rPr>
          <w:snapToGrid w:val="0"/>
        </w:rPr>
        <w:t xml:space="preserve"> </w:t>
      </w:r>
      <w:r w:rsidR="003837F8">
        <w:rPr>
          <w:snapToGrid w:val="0"/>
        </w:rPr>
        <w:t xml:space="preserve">but </w:t>
      </w:r>
      <w:r>
        <w:rPr>
          <w:snapToGrid w:val="0"/>
        </w:rPr>
        <w:t xml:space="preserve">the value cannot exceed 1.0 </w:t>
      </w:r>
      <w:r w:rsidR="00071A81">
        <w:rPr>
          <w:snapToGrid w:val="0"/>
        </w:rPr>
        <w:t>meters per second (</w:t>
      </w:r>
      <w:r>
        <w:rPr>
          <w:snapToGrid w:val="0"/>
        </w:rPr>
        <w:t>m/s</w:t>
      </w:r>
      <w:r w:rsidR="00071A81">
        <w:rPr>
          <w:snapToGrid w:val="0"/>
        </w:rPr>
        <w:t>)</w:t>
      </w:r>
      <w:r>
        <w:rPr>
          <w:snapToGrid w:val="0"/>
        </w:rPr>
        <w:t>, otherwise AERMET generates an error condition.  If the threshold value is greater than 0.5</w:t>
      </w:r>
      <w:r w:rsidR="00C8790B" w:rsidRPr="008E3429">
        <w:t> </w:t>
      </w:r>
      <w:r>
        <w:rPr>
          <w:snapToGrid w:val="0"/>
        </w:rPr>
        <w:t xml:space="preserve">m/s, AERMET will use the </w:t>
      </w:r>
      <w:proofErr w:type="gramStart"/>
      <w:r>
        <w:rPr>
          <w:snapToGrid w:val="0"/>
        </w:rPr>
        <w:t>value</w:t>
      </w:r>
      <w:proofErr w:type="gramEnd"/>
      <w:r>
        <w:rPr>
          <w:snapToGrid w:val="0"/>
        </w:rPr>
        <w:t xml:space="preserve"> but a warning message is generated.  </w:t>
      </w:r>
    </w:p>
    <w:p w14:paraId="34A9F19A" w14:textId="78EB49ED" w:rsidR="00F93421" w:rsidRDefault="00601BD8" w:rsidP="00F93421">
      <w:pPr>
        <w:rPr>
          <w:snapToGrid w:val="0"/>
        </w:rPr>
      </w:pPr>
      <w:r>
        <w:rPr>
          <w:snapToGrid w:val="0"/>
        </w:rPr>
        <w:t xml:space="preserve">You should check the applicant’s </w:t>
      </w:r>
      <w:r w:rsidR="007226DF">
        <w:rPr>
          <w:snapToGrid w:val="0"/>
        </w:rPr>
        <w:t xml:space="preserve">threshold </w:t>
      </w:r>
      <w:r>
        <w:rPr>
          <w:snapToGrid w:val="0"/>
        </w:rPr>
        <w:t xml:space="preserve">value </w:t>
      </w:r>
      <w:r w:rsidR="00F93421">
        <w:rPr>
          <w:snapToGrid w:val="0"/>
        </w:rPr>
        <w:t>in the AERMET input control file.</w:t>
      </w:r>
      <w:r>
        <w:rPr>
          <w:snapToGrid w:val="0"/>
        </w:rPr>
        <w:t xml:space="preserve">  ADEC’s findings report/memorandum regarding the meteorological data, or the report generated by ADEC’s contractor, should have the correct threshold value. </w:t>
      </w:r>
      <w:r w:rsidR="0031243F">
        <w:rPr>
          <w:snapToGrid w:val="0"/>
        </w:rPr>
        <w:t xml:space="preserve"> </w:t>
      </w:r>
      <w:r>
        <w:rPr>
          <w:snapToGrid w:val="0"/>
        </w:rPr>
        <w:t xml:space="preserve">If not, the threshold wind speeds should be provided </w:t>
      </w:r>
      <w:proofErr w:type="gramStart"/>
      <w:r>
        <w:rPr>
          <w:snapToGrid w:val="0"/>
        </w:rPr>
        <w:t>in</w:t>
      </w:r>
      <w:proofErr w:type="gramEnd"/>
      <w:r>
        <w:rPr>
          <w:snapToGrid w:val="0"/>
        </w:rPr>
        <w:t xml:space="preserve"> the vendor information </w:t>
      </w:r>
      <w:r w:rsidR="00D26D5C">
        <w:rPr>
          <w:snapToGrid w:val="0"/>
        </w:rPr>
        <w:t xml:space="preserve">that </w:t>
      </w:r>
      <w:r w:rsidR="0031243F">
        <w:rPr>
          <w:snapToGrid w:val="0"/>
        </w:rPr>
        <w:t>the applicant</w:t>
      </w:r>
      <w:r w:rsidR="00D26D5C">
        <w:rPr>
          <w:snapToGrid w:val="0"/>
        </w:rPr>
        <w:t xml:space="preserve"> provided as part of the QAPP for the site-specific monitoring effort. </w:t>
      </w:r>
      <w:r w:rsidR="0031243F">
        <w:rPr>
          <w:snapToGrid w:val="0"/>
        </w:rPr>
        <w:t xml:space="preserve"> </w:t>
      </w:r>
      <w:r w:rsidR="00D26D5C">
        <w:rPr>
          <w:snapToGrid w:val="0"/>
        </w:rPr>
        <w:t xml:space="preserve">The reviews and QAPPs are kept in the Juneau </w:t>
      </w:r>
      <w:proofErr w:type="spellStart"/>
      <w:r w:rsidR="00D26D5C">
        <w:rPr>
          <w:snapToGrid w:val="0"/>
        </w:rPr>
        <w:t>AirFacs</w:t>
      </w:r>
      <w:proofErr w:type="spellEnd"/>
      <w:r w:rsidR="00D26D5C">
        <w:rPr>
          <w:snapToGrid w:val="0"/>
        </w:rPr>
        <w:t xml:space="preserve"> directory, under a “Monitoring” sub-folder for the given applicant/stationary source. </w:t>
      </w:r>
    </w:p>
    <w:p w14:paraId="76A67F0D" w14:textId="54F1C9A7" w:rsidR="007723B7" w:rsidRDefault="00F93421" w:rsidP="00F93421">
      <w:pPr>
        <w:rPr>
          <w:snapToGrid w:val="0"/>
        </w:rPr>
      </w:pPr>
      <w:r>
        <w:rPr>
          <w:snapToGrid w:val="0"/>
        </w:rPr>
        <w:t xml:space="preserve">Another area to check is the definition used by the applicant for temperature difference.  When temperature differences are processed in AERMET, the assumption is made that the difference is the temperature at the upper height minus the temperature at the lower height (e.g., 10m – 2m).  If these </w:t>
      </w:r>
      <w:r w:rsidR="002515EC">
        <w:rPr>
          <w:snapToGrid w:val="0"/>
        </w:rPr>
        <w:t xml:space="preserve">temperatures </w:t>
      </w:r>
      <w:r>
        <w:rPr>
          <w:snapToGrid w:val="0"/>
        </w:rPr>
        <w:t>are reversed, the stability of the atmosphere will be incorrect, which will lead to errors in the modeling analysis. This should be easily detected in the surface output file since the direction of the sensible heat flux at the surface would be reversed from normal, which is upward (positive) during the day and downward (negative) at night</w:t>
      </w:r>
      <w:r w:rsidR="0077345E">
        <w:rPr>
          <w:snapToGrid w:val="0"/>
        </w:rPr>
        <w:t xml:space="preserve"> (see example in </w:t>
      </w:r>
      <w:r w:rsidR="000D7D76">
        <w:rPr>
          <w:snapToGrid w:val="0"/>
        </w:rPr>
        <w:fldChar w:fldCharType="begin"/>
      </w:r>
      <w:r w:rsidR="000D7D76">
        <w:rPr>
          <w:snapToGrid w:val="0"/>
        </w:rPr>
        <w:instrText xml:space="preserve"> REF _Ref371085549 \h </w:instrText>
      </w:r>
      <w:r w:rsidR="000D7D76">
        <w:rPr>
          <w:snapToGrid w:val="0"/>
        </w:rPr>
      </w:r>
      <w:r w:rsidR="000D7D76">
        <w:rPr>
          <w:snapToGrid w:val="0"/>
        </w:rPr>
        <w:fldChar w:fldCharType="separate"/>
      </w:r>
      <w:r w:rsidR="008F4A3B">
        <w:t xml:space="preserve">Figure </w:t>
      </w:r>
      <w:r w:rsidR="008F4A3B">
        <w:rPr>
          <w:noProof/>
        </w:rPr>
        <w:t>7</w:t>
      </w:r>
      <w:r w:rsidR="000D7D76">
        <w:rPr>
          <w:snapToGrid w:val="0"/>
        </w:rPr>
        <w:fldChar w:fldCharType="end"/>
      </w:r>
      <w:r w:rsidR="0077345E">
        <w:rPr>
          <w:snapToGrid w:val="0"/>
        </w:rPr>
        <w:t>)</w:t>
      </w:r>
      <w:r>
        <w:rPr>
          <w:snapToGrid w:val="0"/>
        </w:rPr>
        <w:t>.</w:t>
      </w:r>
      <w:r w:rsidR="0077345E">
        <w:rPr>
          <w:snapToGrid w:val="0"/>
        </w:rPr>
        <w:t xml:space="preserve">  </w:t>
      </w:r>
      <w:r w:rsidR="00ED29D2">
        <w:rPr>
          <w:snapToGrid w:val="0"/>
        </w:rPr>
        <w:t>However, check the value during summer months, since the winter “</w:t>
      </w:r>
      <w:proofErr w:type="gramStart"/>
      <w:r w:rsidR="00ED29D2">
        <w:rPr>
          <w:snapToGrid w:val="0"/>
        </w:rPr>
        <w:t>day time</w:t>
      </w:r>
      <w:proofErr w:type="gramEnd"/>
      <w:r w:rsidR="00ED29D2">
        <w:rPr>
          <w:snapToGrid w:val="0"/>
        </w:rPr>
        <w:t xml:space="preserve">” hours in much of Alaska can have negative numbers due to arctic conditions. </w:t>
      </w:r>
    </w:p>
    <w:p w14:paraId="26320177" w14:textId="77777777" w:rsidR="00AB012A" w:rsidRDefault="00AB012A" w:rsidP="00F93421">
      <w:pPr>
        <w:rPr>
          <w:snapToGrid w:val="0"/>
        </w:rPr>
      </w:pPr>
    </w:p>
    <w:p w14:paraId="6C651B51" w14:textId="0BF6CBDE" w:rsidR="0077345E" w:rsidRPr="008C48BD" w:rsidRDefault="00FD7D8B" w:rsidP="0077345E">
      <w:pPr>
        <w:rPr>
          <w:snapToGrid w:val="0"/>
          <w:sz w:val="2"/>
          <w:szCs w:val="2"/>
        </w:rPr>
      </w:pPr>
      <w:r>
        <w:rPr>
          <w:noProof/>
        </w:rPr>
        <w:lastRenderedPageBreak/>
        <mc:AlternateContent>
          <mc:Choice Requires="wps">
            <w:drawing>
              <wp:anchor distT="0" distB="0" distL="114300" distR="114300" simplePos="0" relativeHeight="251704320" behindDoc="0" locked="0" layoutInCell="1" allowOverlap="1" wp14:anchorId="398E4322" wp14:editId="34571614">
                <wp:simplePos x="0" y="0"/>
                <wp:positionH relativeFrom="column">
                  <wp:posOffset>677545</wp:posOffset>
                </wp:positionH>
                <wp:positionV relativeFrom="paragraph">
                  <wp:posOffset>3674745</wp:posOffset>
                </wp:positionV>
                <wp:extent cx="4063365" cy="502920"/>
                <wp:effectExtent l="1270" t="0" r="2540" b="1905"/>
                <wp:wrapTopAndBottom/>
                <wp:docPr id="53"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3365" cy="502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660E7E" w14:textId="329BDFA3" w:rsidR="004830EA" w:rsidRPr="007A0C51" w:rsidRDefault="004830EA" w:rsidP="00365546">
                            <w:pPr>
                              <w:pStyle w:val="Caption"/>
                              <w:rPr>
                                <w:noProof/>
                              </w:rPr>
                            </w:pPr>
                            <w:bookmarkStart w:id="137" w:name="_Ref371085549"/>
                            <w:bookmarkStart w:id="138" w:name="_Toc526778350"/>
                            <w: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bookmarkEnd w:id="137"/>
                            <w:r>
                              <w:t>. Negative and positive sensible heat flux values in an AERMET surface file.</w:t>
                            </w:r>
                            <w:bookmarkEnd w:id="13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98E4322" id="Text Box 224" o:spid="_x0000_s1044" type="#_x0000_t202" style="position:absolute;margin-left:53.35pt;margin-top:289.35pt;width:319.95pt;height:39.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" stroked="f">
                <v:textbox style="mso-fit-shape-to-text:t" inset="0,0,0,0">
                  <w:txbxContent>
                    <w:p w14:paraId="26660E7E" w14:textId="329BDFA3" w:rsidR="004830EA" w:rsidRPr="007A0C51" w:rsidRDefault="004830EA" w:rsidP="00365546">
                      <w:pPr>
                        <w:pStyle w:val="Caption"/>
                        <w:rPr>
                          <w:noProof/>
                        </w:rPr>
                      </w:pPr>
                      <w:bookmarkStart w:id="139" w:name="_Ref371085549"/>
                      <w:bookmarkStart w:id="140" w:name="_Toc526778350"/>
                      <w: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bookmarkEnd w:id="139"/>
                      <w:r>
                        <w:t>. Negative and positive sensible heat flux values in an AERMET surface file.</w:t>
                      </w:r>
                      <w:bookmarkEnd w:id="140"/>
                    </w:p>
                  </w:txbxContent>
                </v:textbox>
                <w10:wrap type="topAndBottom"/>
              </v:shape>
            </w:pict>
          </mc:Fallback>
        </mc:AlternateContent>
      </w:r>
      <w:r w:rsidR="00BE3560">
        <w:rPr>
          <w:noProof/>
        </w:rPr>
        <w:drawing>
          <wp:anchor distT="0" distB="0" distL="114300" distR="114300" simplePos="0" relativeHeight="251702272" behindDoc="0" locked="0" layoutInCell="1" allowOverlap="1" wp14:anchorId="21B244FF" wp14:editId="0E306132">
            <wp:simplePos x="1164038" y="858741"/>
            <wp:positionH relativeFrom="column">
              <wp:align>center</wp:align>
            </wp:positionH>
            <wp:positionV relativeFrom="paragraph">
              <wp:posOffset>0</wp:posOffset>
            </wp:positionV>
            <wp:extent cx="2819565" cy="3617843"/>
            <wp:effectExtent l="19050" t="19050" r="18885" b="20707"/>
            <wp:wrapTopAndBottom/>
            <wp:docPr id="7" name="Picture 6" descr="Sensible Heat Flux 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Sensible Heat Flux Check"/>
                    <pic:cNvPicPr/>
                  </pic:nvPicPr>
                  <pic:blipFill>
                    <a:blip r:embed="rId81" cstate="print"/>
                    <a:stretch>
                      <a:fillRect/>
                    </a:stretch>
                  </pic:blipFill>
                  <pic:spPr>
                    <a:xfrm>
                      <a:off x="0" y="0"/>
                      <a:ext cx="2819565" cy="3617843"/>
                    </a:xfrm>
                    <a:prstGeom prst="rect">
                      <a:avLst/>
                    </a:prstGeom>
                    <a:ln>
                      <a:solidFill>
                        <a:schemeClr val="accent1"/>
                      </a:solidFill>
                    </a:ln>
                  </pic:spPr>
                </pic:pic>
              </a:graphicData>
            </a:graphic>
          </wp:anchor>
        </w:drawing>
      </w:r>
    </w:p>
    <w:p w14:paraId="7DD5ED88" w14:textId="6AD3618D" w:rsidR="0077345E" w:rsidRDefault="0077345E" w:rsidP="0077345E">
      <w:pPr>
        <w:pStyle w:val="CheckReminder"/>
      </w:pPr>
      <w:r>
        <w:t xml:space="preserve">Check the sensible heat flux sign </w:t>
      </w:r>
      <w:r w:rsidR="007723B7">
        <w:t>during a</w:t>
      </w:r>
      <w:r>
        <w:t xml:space="preserve"> </w:t>
      </w:r>
      <w:r w:rsidRPr="0077345E">
        <w:rPr>
          <w:i/>
          <w:u w:val="single"/>
        </w:rPr>
        <w:t>summer</w:t>
      </w:r>
      <w:r>
        <w:t xml:space="preserve"> </w:t>
      </w:r>
      <w:r w:rsidR="007723B7">
        <w:t>day</w:t>
      </w:r>
      <w:r>
        <w:t xml:space="preserve">. </w:t>
      </w:r>
      <w:r w:rsidR="00593676">
        <w:t xml:space="preserve"> </w:t>
      </w:r>
      <w:r>
        <w:t>The sensible heat flux during winter “</w:t>
      </w:r>
      <w:proofErr w:type="gramStart"/>
      <w:r>
        <w:t>day time</w:t>
      </w:r>
      <w:proofErr w:type="gramEnd"/>
      <w:r>
        <w:t>” hours can be negative in Alaska</w:t>
      </w:r>
      <w:r w:rsidRPr="00D7599D">
        <w:t>.</w:t>
      </w:r>
    </w:p>
    <w:p w14:paraId="13066508" w14:textId="71CBE24C" w:rsidR="0077345E" w:rsidRDefault="007723B7" w:rsidP="00E368E8">
      <w:pPr>
        <w:pStyle w:val="CheckReminder"/>
        <w:numPr>
          <w:ilvl w:val="0"/>
          <w:numId w:val="0"/>
        </w:numPr>
        <w:ind w:left="180" w:right="90"/>
      </w:pPr>
      <w:r w:rsidRPr="00365546">
        <w:rPr>
          <w:u w:val="single"/>
        </w:rPr>
        <w:t>Note</w:t>
      </w:r>
      <w:proofErr w:type="gramStart"/>
      <w:r>
        <w:t xml:space="preserve">:  </w:t>
      </w:r>
      <w:r w:rsidRPr="00E368E8">
        <w:rPr>
          <w:i/>
        </w:rPr>
        <w:t>The</w:t>
      </w:r>
      <w:proofErr w:type="gramEnd"/>
      <w:r w:rsidRPr="00E368E8">
        <w:rPr>
          <w:i/>
        </w:rPr>
        <w:t xml:space="preserve"> columns in the surface files are unlabeled.  However, the columns are described in Section</w:t>
      </w:r>
      <w:r w:rsidR="005C59FF" w:rsidRPr="00E368E8">
        <w:rPr>
          <w:i/>
        </w:rPr>
        <w:t> </w:t>
      </w:r>
      <w:r w:rsidRPr="00E368E8">
        <w:rPr>
          <w:i/>
        </w:rPr>
        <w:t xml:space="preserve">3.5.1 of the </w:t>
      </w:r>
      <w:hyperlink r:id="rId82" w:history="1">
        <w:r w:rsidRPr="00E368E8">
          <w:rPr>
            <w:rStyle w:val="Hyperlink"/>
            <w:i/>
          </w:rPr>
          <w:t>AERMOD User’s Guide</w:t>
        </w:r>
      </w:hyperlink>
      <w:r w:rsidRPr="00E368E8">
        <w:rPr>
          <w:i/>
        </w:rPr>
        <w:t>.  The surface heat flux is in the sixth column. The year, month and day of month are in the first, second and third columns</w:t>
      </w:r>
      <w:r>
        <w:t xml:space="preserve">. </w:t>
      </w:r>
    </w:p>
    <w:p w14:paraId="775EA9A9" w14:textId="0271E830" w:rsidR="00F93421" w:rsidRDefault="00F93421" w:rsidP="00F93421">
      <w:pPr>
        <w:rPr>
          <w:snapToGrid w:val="0"/>
        </w:rPr>
      </w:pPr>
      <w:r>
        <w:rPr>
          <w:snapToGrid w:val="0"/>
        </w:rPr>
        <w:t xml:space="preserve">If an applicant utilizes custom data processing programs for </w:t>
      </w:r>
      <w:r w:rsidR="006F523E">
        <w:rPr>
          <w:snapToGrid w:val="0"/>
        </w:rPr>
        <w:t>site-specific</w:t>
      </w:r>
      <w:r>
        <w:rPr>
          <w:snapToGrid w:val="0"/>
        </w:rPr>
        <w:t xml:space="preserve"> data, then the modeling submittal must include a description and demonstration of how the custom programs meet the requirements in Section 6 of the EPA Meteorological Monitoring Guidance.</w:t>
      </w:r>
    </w:p>
    <w:p w14:paraId="059FBCB9" w14:textId="06255D7C" w:rsidR="00F93421" w:rsidRDefault="009E3035" w:rsidP="00E368E8">
      <w:pPr>
        <w:ind w:left="180" w:right="180"/>
        <w:rPr>
          <w:snapToGrid w:val="0"/>
        </w:rPr>
      </w:pPr>
      <w:r w:rsidRPr="0013719A">
        <w:rPr>
          <w:snapToGrid w:val="0"/>
          <w:u w:val="single"/>
        </w:rPr>
        <w:t>N</w:t>
      </w:r>
      <w:r>
        <w:rPr>
          <w:snapToGrid w:val="0"/>
          <w:u w:val="single"/>
        </w:rPr>
        <w:t>ote</w:t>
      </w:r>
      <w:proofErr w:type="gramStart"/>
      <w:r w:rsidR="00F93421">
        <w:rPr>
          <w:snapToGrid w:val="0"/>
        </w:rPr>
        <w:t xml:space="preserve">: </w:t>
      </w:r>
      <w:r w:rsidR="0013719A">
        <w:rPr>
          <w:snapToGrid w:val="0"/>
        </w:rPr>
        <w:t xml:space="preserve"> </w:t>
      </w:r>
      <w:r w:rsidR="00F93421" w:rsidRPr="00E368E8">
        <w:rPr>
          <w:i/>
          <w:snapToGrid w:val="0"/>
        </w:rPr>
        <w:t>In</w:t>
      </w:r>
      <w:proofErr w:type="gramEnd"/>
      <w:r w:rsidR="00F93421" w:rsidRPr="00E368E8">
        <w:rPr>
          <w:i/>
          <w:snapToGrid w:val="0"/>
        </w:rPr>
        <w:t xml:space="preserve"> Alaska, </w:t>
      </w:r>
      <w:r w:rsidR="00B04032" w:rsidRPr="00E368E8">
        <w:rPr>
          <w:i/>
          <w:snapToGrid w:val="0"/>
        </w:rPr>
        <w:t>it i</w:t>
      </w:r>
      <w:r w:rsidR="008871D4" w:rsidRPr="00E368E8">
        <w:rPr>
          <w:i/>
          <w:snapToGrid w:val="0"/>
        </w:rPr>
        <w:t>s common</w:t>
      </w:r>
      <w:r w:rsidR="00F93421" w:rsidRPr="00E368E8">
        <w:rPr>
          <w:i/>
          <w:snapToGrid w:val="0"/>
        </w:rPr>
        <w:t xml:space="preserve"> to only have surface observations from a site-specific data collection program, i.e., no NWS hourly weather observation.  If this is your case, AERMOD still requires that a (fictitious) NWS station identifier be entered on the ME path for the SURFDATA keyword (se</w:t>
      </w:r>
      <w:r w:rsidR="002515EC" w:rsidRPr="00E368E8">
        <w:rPr>
          <w:i/>
          <w:snapToGrid w:val="0"/>
        </w:rPr>
        <w:t>e the AERMOD User’s Guide for a</w:t>
      </w:r>
      <w:r w:rsidR="00F93421" w:rsidRPr="00E368E8">
        <w:rPr>
          <w:i/>
          <w:snapToGrid w:val="0"/>
        </w:rPr>
        <w:t xml:space="preserve"> complete discussion of the path and keyword concept).  Another option is to specify a blank station ID on the SURFDATA keyword using double quotes to delimit the missing station ID field.  The SURFDATA keyword </w:t>
      </w:r>
      <w:r w:rsidR="00F83A86" w:rsidRPr="00E368E8">
        <w:rPr>
          <w:i/>
          <w:snapToGrid w:val="0"/>
        </w:rPr>
        <w:t>also requires a year entry for “the year of data being processed.”</w:t>
      </w:r>
      <w:r w:rsidR="00F93421" w:rsidRPr="00E368E8">
        <w:rPr>
          <w:i/>
          <w:snapToGrid w:val="0"/>
        </w:rPr>
        <w:t xml:space="preserve">  The date is used by AERMOD for various internal processing decisions.</w:t>
      </w:r>
      <w:r w:rsidR="00F83A86" w:rsidRPr="00E368E8">
        <w:rPr>
          <w:i/>
          <w:snapToGrid w:val="0"/>
        </w:rPr>
        <w:t xml:space="preserve">  Therefore, use the starting year of the site-specific data</w:t>
      </w:r>
      <w:r w:rsidR="00F83A86">
        <w:rPr>
          <w:snapToGrid w:val="0"/>
        </w:rPr>
        <w:t xml:space="preserve">. </w:t>
      </w:r>
    </w:p>
    <w:p w14:paraId="08C41318" w14:textId="3304A3FF" w:rsidR="003927AA" w:rsidRDefault="003927AA" w:rsidP="00F93421">
      <w:pPr>
        <w:rPr>
          <w:snapToGrid w:val="0"/>
        </w:rPr>
      </w:pPr>
      <w:r w:rsidRPr="003927AA">
        <w:rPr>
          <w:snapToGrid w:val="0"/>
          <w:u w:val="single"/>
        </w:rPr>
        <w:lastRenderedPageBreak/>
        <w:t>Vertical Wind Speed Note</w:t>
      </w:r>
      <w:proofErr w:type="gramStart"/>
      <w:r>
        <w:rPr>
          <w:snapToGrid w:val="0"/>
        </w:rPr>
        <w:t>:  ADEC</w:t>
      </w:r>
      <w:proofErr w:type="gramEnd"/>
      <w:r>
        <w:rPr>
          <w:snapToGrid w:val="0"/>
        </w:rPr>
        <w:t xml:space="preserve"> received a copy of a 2005 email exchange between EPA’s AERMOD consultant and an applicant’s consultant regarding the use of vertical wind speed standard deviation (sigma-w) measurements.  Anomalous results were found when using wind speed values that were below the instrument’s measurement threshold.  </w:t>
      </w:r>
      <w:r w:rsidR="00110F32">
        <w:rPr>
          <w:snapToGrid w:val="0"/>
        </w:rPr>
        <w:t>EPA’s consultant recommended resetting the low values to missing.</w:t>
      </w:r>
      <w:r w:rsidR="007F5A68">
        <w:rPr>
          <w:rStyle w:val="FootnoteReference"/>
          <w:snapToGrid w:val="0"/>
        </w:rPr>
        <w:footnoteReference w:id="50"/>
      </w:r>
      <w:r w:rsidR="00110F32">
        <w:rPr>
          <w:snapToGrid w:val="0"/>
        </w:rPr>
        <w:t xml:space="preserve"> </w:t>
      </w:r>
    </w:p>
    <w:p w14:paraId="009F443E" w14:textId="742DF229" w:rsidR="003927AA" w:rsidRDefault="00110F32" w:rsidP="00110F32">
      <w:pPr>
        <w:rPr>
          <w:snapToGrid w:val="0"/>
        </w:rPr>
      </w:pPr>
      <w:r>
        <w:rPr>
          <w:snapToGrid w:val="0"/>
        </w:rPr>
        <w:t xml:space="preserve">Resetting sigma-w values that are less than 0.1 </w:t>
      </w:r>
      <w:r w:rsidR="00593676">
        <w:rPr>
          <w:snapToGrid w:val="0"/>
        </w:rPr>
        <w:t xml:space="preserve">m/s </w:t>
      </w:r>
      <w:r>
        <w:rPr>
          <w:snapToGrid w:val="0"/>
        </w:rPr>
        <w:t>to missing is consistent with EPA guidance.</w:t>
      </w:r>
      <w:r>
        <w:rPr>
          <w:rStyle w:val="FootnoteReference"/>
          <w:snapToGrid w:val="0"/>
        </w:rPr>
        <w:footnoteReference w:id="51"/>
      </w:r>
      <w:r>
        <w:rPr>
          <w:snapToGrid w:val="0"/>
        </w:rPr>
        <w:t xml:space="preserve">  </w:t>
      </w:r>
      <w:r w:rsidR="003927AA" w:rsidRPr="004C7E5C">
        <w:rPr>
          <w:snapToGrid w:val="0"/>
        </w:rPr>
        <w:t>Section</w:t>
      </w:r>
      <w:r w:rsidR="00593676" w:rsidRPr="005C59FF">
        <w:t> </w:t>
      </w:r>
      <w:r w:rsidR="003927AA" w:rsidRPr="004C7E5C">
        <w:rPr>
          <w:snapToGrid w:val="0"/>
        </w:rPr>
        <w:t>4.5.5</w:t>
      </w:r>
      <w:r w:rsidR="003927AA">
        <w:rPr>
          <w:snapToGrid w:val="0"/>
        </w:rPr>
        <w:t xml:space="preserve"> of the </w:t>
      </w:r>
      <w:hyperlink r:id="rId83" w:history="1">
        <w:r w:rsidR="003927AA" w:rsidRPr="00315BC1">
          <w:rPr>
            <w:rStyle w:val="Hyperlink"/>
            <w:snapToGrid w:val="0"/>
          </w:rPr>
          <w:t>AERMET User’s Guide</w:t>
        </w:r>
      </w:hyperlink>
      <w:r w:rsidR="00593676">
        <w:rPr>
          <w:snapToGrid w:val="0"/>
        </w:rPr>
        <w:t xml:space="preserve"> states:</w:t>
      </w:r>
    </w:p>
    <w:p w14:paraId="04859599" w14:textId="6CCBAFD1" w:rsidR="003927AA" w:rsidRDefault="004C7E5C" w:rsidP="00110F32">
      <w:pPr>
        <w:ind w:left="720" w:right="720"/>
        <w:rPr>
          <w:snapToGrid w:val="0"/>
        </w:rPr>
      </w:pPr>
      <w:r>
        <w:rPr>
          <w:i/>
          <w:snapToGrid w:val="0"/>
        </w:rPr>
        <w:t>T</w:t>
      </w:r>
      <w:r w:rsidR="003927AA" w:rsidRPr="00110F32">
        <w:rPr>
          <w:i/>
          <w:snapToGrid w:val="0"/>
        </w:rPr>
        <w:t xml:space="preserve">here are no provisions for automatically replacing missing </w:t>
      </w:r>
      <w:r>
        <w:rPr>
          <w:i/>
          <w:snapToGrid w:val="0"/>
        </w:rPr>
        <w:t xml:space="preserve">site-specific </w:t>
      </w:r>
      <w:r w:rsidR="003927AA" w:rsidRPr="00110F32">
        <w:rPr>
          <w:i/>
          <w:snapToGrid w:val="0"/>
        </w:rPr>
        <w:t xml:space="preserve">values </w:t>
      </w:r>
      <w:r>
        <w:rPr>
          <w:i/>
          <w:snapToGrid w:val="0"/>
        </w:rPr>
        <w:t xml:space="preserve">in </w:t>
      </w:r>
      <w:proofErr w:type="gramStart"/>
      <w:r>
        <w:rPr>
          <w:i/>
          <w:snapToGrid w:val="0"/>
        </w:rPr>
        <w:t xml:space="preserve">AERMET, </w:t>
      </w:r>
      <w:r w:rsidR="003927AA" w:rsidRPr="00110F32">
        <w:rPr>
          <w:i/>
          <w:snapToGrid w:val="0"/>
        </w:rPr>
        <w:t>or</w:t>
      </w:r>
      <w:proofErr w:type="gramEnd"/>
      <w:r w:rsidR="003927AA" w:rsidRPr="00110F32">
        <w:rPr>
          <w:i/>
          <w:snapToGrid w:val="0"/>
        </w:rPr>
        <w:t xml:space="preserve"> adjusting values that are outside the range of acceptable values.  It is up to the user to review the QA summary information and, using sound meteorological principles and any regulatory guidance, either replace the value in question or leave it alone</w:t>
      </w:r>
      <w:r w:rsidR="003927AA">
        <w:rPr>
          <w:snapToGrid w:val="0"/>
        </w:rPr>
        <w:t xml:space="preserve">. </w:t>
      </w:r>
    </w:p>
    <w:p w14:paraId="66523257" w14:textId="30990BCE" w:rsidR="00145B07" w:rsidRDefault="00110F32" w:rsidP="00F93421">
      <w:pPr>
        <w:rPr>
          <w:snapToGrid w:val="0"/>
        </w:rPr>
      </w:pPr>
      <w:r>
        <w:rPr>
          <w:snapToGrid w:val="0"/>
        </w:rPr>
        <w:t xml:space="preserve">However, applicants should clearly </w:t>
      </w:r>
      <w:r w:rsidR="00DF0C2F">
        <w:rPr>
          <w:snapToGrid w:val="0"/>
        </w:rPr>
        <w:t xml:space="preserve">disclose and </w:t>
      </w:r>
      <w:r>
        <w:rPr>
          <w:snapToGrid w:val="0"/>
        </w:rPr>
        <w:t xml:space="preserve">discuss these adjustments in their modeling report. </w:t>
      </w:r>
      <w:r w:rsidR="00DF0C2F">
        <w:rPr>
          <w:snapToGrid w:val="0"/>
        </w:rPr>
        <w:t xml:space="preserve"> These types of adjustments may be legitimate, but they should be noted and understood.  </w:t>
      </w:r>
    </w:p>
    <w:p w14:paraId="5C17B04A" w14:textId="77777777" w:rsidR="00F93421" w:rsidRPr="006A2939" w:rsidRDefault="00F93421" w:rsidP="0006114E">
      <w:pPr>
        <w:keepNext/>
        <w:spacing w:after="60"/>
        <w:rPr>
          <w:i/>
          <w:snapToGrid w:val="0"/>
          <w:u w:val="single"/>
        </w:rPr>
      </w:pPr>
      <w:r w:rsidRPr="006A2939">
        <w:rPr>
          <w:i/>
          <w:snapToGrid w:val="0"/>
          <w:u w:val="single"/>
        </w:rPr>
        <w:t>Output Review</w:t>
      </w:r>
    </w:p>
    <w:p w14:paraId="13D2F1BC" w14:textId="77777777" w:rsidR="00F93421" w:rsidRDefault="000D7D76" w:rsidP="00F93421">
      <w:pPr>
        <w:rPr>
          <w:snapToGrid w:val="0"/>
        </w:rPr>
      </w:pPr>
      <w:r>
        <w:rPr>
          <w:snapToGrid w:val="0"/>
        </w:rPr>
        <w:fldChar w:fldCharType="begin"/>
      </w:r>
      <w:r>
        <w:rPr>
          <w:snapToGrid w:val="0"/>
        </w:rPr>
        <w:instrText xml:space="preserve"> REF _Ref371085617 \h </w:instrText>
      </w:r>
      <w:r>
        <w:rPr>
          <w:snapToGrid w:val="0"/>
        </w:rPr>
      </w:r>
      <w:r>
        <w:rPr>
          <w:snapToGrid w:val="0"/>
        </w:rPr>
        <w:fldChar w:fldCharType="separate"/>
      </w:r>
      <w:r w:rsidR="00135FFD">
        <w:t xml:space="preserve">Figure </w:t>
      </w:r>
      <w:r w:rsidR="00135FFD">
        <w:rPr>
          <w:noProof/>
        </w:rPr>
        <w:t>8</w:t>
      </w:r>
      <w:r>
        <w:rPr>
          <w:snapToGrid w:val="0"/>
        </w:rPr>
        <w:fldChar w:fldCharType="end"/>
      </w:r>
      <w:r w:rsidR="00F93421">
        <w:rPr>
          <w:snapToGrid w:val="0"/>
        </w:rPr>
        <w:t xml:space="preserve"> presents the first few lines of the message output file created in Stage 1 processing of a surface observation file.  </w:t>
      </w:r>
    </w:p>
    <w:p w14:paraId="1E906D86" w14:textId="77777777" w:rsidR="00F93421" w:rsidRDefault="00F93421" w:rsidP="00407F48">
      <w:pPr>
        <w:numPr>
          <w:ilvl w:val="0"/>
          <w:numId w:val="32"/>
        </w:numPr>
        <w:spacing w:before="120" w:after="120"/>
        <w:rPr>
          <w:snapToGrid w:val="0"/>
        </w:rPr>
      </w:pPr>
      <w:r>
        <w:rPr>
          <w:snapToGrid w:val="0"/>
        </w:rPr>
        <w:t xml:space="preserve">Notice the summary statements to ensure the correct data was extracted, that an end of file was encountered, and the number of expected observations was extracted, 8760 hours in this case.  </w:t>
      </w:r>
    </w:p>
    <w:p w14:paraId="247DD974" w14:textId="024642FF" w:rsidR="004C24D0" w:rsidRDefault="00F93421" w:rsidP="00F93421">
      <w:pPr>
        <w:rPr>
          <w:snapToGrid w:val="0"/>
        </w:rPr>
      </w:pPr>
      <w:r>
        <w:rPr>
          <w:snapToGrid w:val="0"/>
        </w:rPr>
        <w:t xml:space="preserve">The next few lines warn the user that several parameters that were expected are missing.  These include PRCP (precipitation amount) and HZVS (horizontal visibility), and calm winds. </w:t>
      </w:r>
      <w:r w:rsidR="00593676">
        <w:rPr>
          <w:snapToGrid w:val="0"/>
        </w:rPr>
        <w:t xml:space="preserve"> </w:t>
      </w:r>
      <w:r>
        <w:rPr>
          <w:snapToGrid w:val="0"/>
        </w:rPr>
        <w:t>Since the neither precipitation amoun</w:t>
      </w:r>
      <w:r w:rsidR="00E975A0">
        <w:rPr>
          <w:snapToGrid w:val="0"/>
        </w:rPr>
        <w:t>t, nor horizontal visibility is</w:t>
      </w:r>
      <w:r>
        <w:rPr>
          <w:snapToGrid w:val="0"/>
        </w:rPr>
        <w:t xml:space="preserve"> required to run AERMET, these optional parameters create unnecessary warning </w:t>
      </w:r>
      <w:proofErr w:type="gramStart"/>
      <w:r>
        <w:rPr>
          <w:snapToGrid w:val="0"/>
        </w:rPr>
        <w:t>messages, and</w:t>
      </w:r>
      <w:proofErr w:type="gramEnd"/>
      <w:r>
        <w:rPr>
          <w:snapToGrid w:val="0"/>
        </w:rPr>
        <w:t xml:space="preserve"> could have been avoided by using the non-defaul</w:t>
      </w:r>
      <w:r w:rsidR="00593676">
        <w:rPr>
          <w:snapToGrid w:val="0"/>
        </w:rPr>
        <w:t xml:space="preserve">t QA specification parameters. </w:t>
      </w:r>
    </w:p>
    <w:p w14:paraId="7BB1C14F" w14:textId="77777777" w:rsidR="004C24D0" w:rsidRDefault="004C24D0">
      <w:pPr>
        <w:spacing w:after="0"/>
        <w:rPr>
          <w:snapToGrid w:val="0"/>
        </w:rPr>
      </w:pPr>
      <w:r>
        <w:rPr>
          <w:snapToGrid w:val="0"/>
        </w:rPr>
        <w:br w:type="page"/>
      </w:r>
    </w:p>
    <w:p w14:paraId="4A02453E" w14:textId="02EFEFD4" w:rsidR="00F93421" w:rsidRDefault="00FD7D8B" w:rsidP="00F93421">
      <w:pPr>
        <w:rPr>
          <w:snapToGrid w:val="0"/>
        </w:rPr>
      </w:pPr>
      <w:r>
        <w:rPr>
          <w:noProof/>
          <w:snapToGrid w:val="0"/>
        </w:rPr>
        <w:lastRenderedPageBreak/>
        <mc:AlternateContent>
          <mc:Choice Requires="wps">
            <w:drawing>
              <wp:anchor distT="0" distB="0" distL="114300" distR="114300" simplePos="0" relativeHeight="251658240" behindDoc="0" locked="0" layoutInCell="1" allowOverlap="1" wp14:anchorId="5C010778" wp14:editId="5DB1A410">
                <wp:simplePos x="0" y="0"/>
                <wp:positionH relativeFrom="column">
                  <wp:posOffset>99695</wp:posOffset>
                </wp:positionH>
                <wp:positionV relativeFrom="paragraph">
                  <wp:posOffset>34925</wp:posOffset>
                </wp:positionV>
                <wp:extent cx="5339715" cy="1828800"/>
                <wp:effectExtent l="13970" t="12065" r="8890" b="6985"/>
                <wp:wrapNone/>
                <wp:docPr id="52"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9715" cy="1828800"/>
                        </a:xfrm>
                        <a:prstGeom prst="rect">
                          <a:avLst/>
                        </a:prstGeom>
                        <a:solidFill>
                          <a:srgbClr val="FFFFFF"/>
                        </a:solidFill>
                        <a:ln w="9525">
                          <a:solidFill>
                            <a:srgbClr val="000000"/>
                          </a:solidFill>
                          <a:miter lim="800000"/>
                          <a:headEnd/>
                          <a:tailEnd/>
                        </a:ln>
                      </wps:spPr>
                      <wps:txbx>
                        <w:txbxContent>
                          <w:p w14:paraId="189A0B9A" w14:textId="77777777" w:rsidR="004830EA" w:rsidRDefault="004830EA" w:rsidP="00987511">
                            <w:pPr>
                              <w:spacing w:after="0"/>
                              <w:ind w:left="720"/>
                              <w:rPr>
                                <w:snapToGrid w:val="0"/>
                                <w:sz w:val="20"/>
                              </w:rPr>
                            </w:pPr>
                            <w:r>
                              <w:rPr>
                                <w:snapToGrid w:val="0"/>
                                <w:sz w:val="20"/>
                              </w:rPr>
                              <w:t>JOB        I</w:t>
                            </w:r>
                            <w:proofErr w:type="gramStart"/>
                            <w:r>
                              <w:rPr>
                                <w:snapToGrid w:val="0"/>
                                <w:sz w:val="20"/>
                              </w:rPr>
                              <w:t>19  SETUP</w:t>
                            </w:r>
                            <w:proofErr w:type="gramEnd"/>
                            <w:r>
                              <w:rPr>
                                <w:snapToGrid w:val="0"/>
                                <w:sz w:val="20"/>
                              </w:rPr>
                              <w:t xml:space="preserve">: "END OF FILE" ON UNIT  5 AFTER RECORD </w:t>
                            </w:r>
                            <w:proofErr w:type="gramStart"/>
                            <w:r>
                              <w:rPr>
                                <w:snapToGrid w:val="0"/>
                                <w:sz w:val="20"/>
                              </w:rPr>
                              <w:t>#  14</w:t>
                            </w:r>
                            <w:proofErr w:type="gramEnd"/>
                          </w:p>
                          <w:p w14:paraId="68BBD82D" w14:textId="77777777" w:rsidR="004830EA" w:rsidRDefault="004830EA" w:rsidP="00987511">
                            <w:pPr>
                              <w:spacing w:after="0"/>
                              <w:ind w:left="720"/>
                              <w:rPr>
                                <w:snapToGrid w:val="0"/>
                                <w:sz w:val="20"/>
                              </w:rPr>
                            </w:pPr>
                            <w:r>
                              <w:rPr>
                                <w:snapToGrid w:val="0"/>
                                <w:sz w:val="20"/>
                              </w:rPr>
                              <w:t>JOB        I25   TEST: SUMMARY: NO DATA EXTRACTION FOR UPPERAIR</w:t>
                            </w:r>
                          </w:p>
                          <w:p w14:paraId="09613042" w14:textId="77777777" w:rsidR="004830EA" w:rsidRDefault="004830EA" w:rsidP="00987511">
                            <w:pPr>
                              <w:spacing w:after="0"/>
                              <w:ind w:left="720"/>
                              <w:rPr>
                                <w:snapToGrid w:val="0"/>
                                <w:sz w:val="20"/>
                              </w:rPr>
                            </w:pPr>
                            <w:r>
                              <w:rPr>
                                <w:snapToGrid w:val="0"/>
                                <w:sz w:val="20"/>
                              </w:rPr>
                              <w:t>JOB        I25   TEST: SUMMARY: NO DATA QA FOR UPPERAIR</w:t>
                            </w:r>
                          </w:p>
                          <w:p w14:paraId="70851BC1" w14:textId="77777777" w:rsidR="004830EA" w:rsidRDefault="004830EA" w:rsidP="00987511">
                            <w:pPr>
                              <w:spacing w:after="0"/>
                              <w:ind w:left="720"/>
                              <w:rPr>
                                <w:snapToGrid w:val="0"/>
                                <w:sz w:val="20"/>
                              </w:rPr>
                            </w:pPr>
                            <w:r>
                              <w:rPr>
                                <w:snapToGrid w:val="0"/>
                                <w:sz w:val="20"/>
                              </w:rPr>
                              <w:t>JOB        I27   TEST: SUMMARY: NO DATA QA FOR ONSITE</w:t>
                            </w:r>
                          </w:p>
                          <w:p w14:paraId="3D86BBC4" w14:textId="77777777" w:rsidR="004830EA" w:rsidRDefault="004830EA" w:rsidP="00987511">
                            <w:pPr>
                              <w:spacing w:after="0"/>
                              <w:ind w:left="720"/>
                              <w:rPr>
                                <w:snapToGrid w:val="0"/>
                                <w:sz w:val="20"/>
                              </w:rPr>
                            </w:pPr>
                            <w:r>
                              <w:rPr>
                                <w:snapToGrid w:val="0"/>
                                <w:sz w:val="20"/>
                              </w:rPr>
                              <w:t>SURFACE    I</w:t>
                            </w:r>
                            <w:proofErr w:type="gramStart"/>
                            <w:r>
                              <w:rPr>
                                <w:snapToGrid w:val="0"/>
                                <w:sz w:val="20"/>
                              </w:rPr>
                              <w:t>40  SFEXT</w:t>
                            </w:r>
                            <w:proofErr w:type="gramEnd"/>
                            <w:r>
                              <w:rPr>
                                <w:snapToGrid w:val="0"/>
                                <w:sz w:val="20"/>
                              </w:rPr>
                              <w:t>: *** SURFACE OBSERVATION EXTRACTION ***</w:t>
                            </w:r>
                          </w:p>
                          <w:p w14:paraId="74DE2365" w14:textId="77777777" w:rsidR="004830EA" w:rsidRDefault="004830EA" w:rsidP="00987511">
                            <w:pPr>
                              <w:spacing w:after="0"/>
                              <w:ind w:left="720"/>
                              <w:rPr>
                                <w:snapToGrid w:val="0"/>
                                <w:sz w:val="20"/>
                              </w:rPr>
                            </w:pPr>
                            <w:r>
                              <w:rPr>
                                <w:snapToGrid w:val="0"/>
                                <w:sz w:val="20"/>
                              </w:rPr>
                              <w:t>SURFACE    I49 GETSFC: END-OF-FILE ENCOUNTERED</w:t>
                            </w:r>
                          </w:p>
                          <w:p w14:paraId="0900C7B1" w14:textId="77777777" w:rsidR="004830EA" w:rsidRDefault="004830EA" w:rsidP="00987511">
                            <w:pPr>
                              <w:spacing w:after="0"/>
                              <w:ind w:left="720"/>
                              <w:rPr>
                                <w:snapToGrid w:val="0"/>
                                <w:sz w:val="20"/>
                              </w:rPr>
                            </w:pPr>
                            <w:r>
                              <w:rPr>
                                <w:snapToGrid w:val="0"/>
                                <w:sz w:val="20"/>
                              </w:rPr>
                              <w:t>SURFACE    I</w:t>
                            </w:r>
                            <w:proofErr w:type="gramStart"/>
                            <w:r>
                              <w:rPr>
                                <w:snapToGrid w:val="0"/>
                                <w:sz w:val="20"/>
                              </w:rPr>
                              <w:t>49  SFEXT</w:t>
                            </w:r>
                            <w:proofErr w:type="gramEnd"/>
                            <w:r>
                              <w:rPr>
                                <w:snapToGrid w:val="0"/>
                                <w:sz w:val="20"/>
                              </w:rPr>
                              <w:t>: 8760 SURFACE RECORDS EXTRACTED</w:t>
                            </w:r>
                          </w:p>
                          <w:p w14:paraId="7DF97749" w14:textId="77777777" w:rsidR="004830EA" w:rsidRDefault="004830EA" w:rsidP="00987511">
                            <w:pPr>
                              <w:spacing w:after="0"/>
                              <w:ind w:left="720"/>
                              <w:rPr>
                                <w:snapToGrid w:val="0"/>
                                <w:sz w:val="20"/>
                              </w:rPr>
                            </w:pPr>
                            <w:r>
                              <w:rPr>
                                <w:snapToGrid w:val="0"/>
                                <w:sz w:val="20"/>
                              </w:rPr>
                              <w:t>930101 SURFACE    Q49 SFQASM: PRCP MISSING FOR HR 00</w:t>
                            </w:r>
                          </w:p>
                          <w:p w14:paraId="66622F3E" w14:textId="77777777" w:rsidR="004830EA" w:rsidRDefault="004830EA" w:rsidP="00987511">
                            <w:pPr>
                              <w:spacing w:after="0"/>
                              <w:ind w:left="720"/>
                              <w:rPr>
                                <w:snapToGrid w:val="0"/>
                                <w:sz w:val="20"/>
                              </w:rPr>
                            </w:pPr>
                            <w:r>
                              <w:rPr>
                                <w:snapToGrid w:val="0"/>
                                <w:sz w:val="20"/>
                              </w:rPr>
                              <w:t>930101 SURFACE    Q49 SFQASM: HZVS MISSING FOR HR 00</w:t>
                            </w:r>
                          </w:p>
                          <w:p w14:paraId="5FBB43F3" w14:textId="77777777" w:rsidR="004830EA" w:rsidRDefault="004830EA" w:rsidP="00987511">
                            <w:pPr>
                              <w:spacing w:after="0"/>
                              <w:ind w:left="720"/>
                              <w:rPr>
                                <w:snapToGrid w:val="0"/>
                                <w:sz w:val="20"/>
                              </w:rPr>
                            </w:pPr>
                            <w:r>
                              <w:rPr>
                                <w:snapToGrid w:val="0"/>
                                <w:sz w:val="20"/>
                              </w:rPr>
                              <w:t>930101 SURFACE    Q49 SFQASM: PRCP MISSING FOR HR 01</w:t>
                            </w:r>
                          </w:p>
                          <w:p w14:paraId="2E2AA6BB" w14:textId="77777777" w:rsidR="004830EA" w:rsidRDefault="004830EA" w:rsidP="00987511">
                            <w:pPr>
                              <w:spacing w:after="0"/>
                              <w:ind w:left="720"/>
                              <w:rPr>
                                <w:snapToGrid w:val="0"/>
                                <w:sz w:val="20"/>
                              </w:rPr>
                            </w:pPr>
                            <w:r>
                              <w:rPr>
                                <w:snapToGrid w:val="0"/>
                                <w:sz w:val="20"/>
                              </w:rPr>
                              <w:t>930101 SURFACE    Q49 SFQASM: HZVS MISSING FOR HR 01</w:t>
                            </w:r>
                          </w:p>
                          <w:p w14:paraId="354B2B87" w14:textId="77777777" w:rsidR="004830EA" w:rsidRDefault="004830EA">
                            <w:pPr>
                              <w:ind w:left="720"/>
                            </w:pPr>
                            <w:r>
                              <w:rPr>
                                <w:snapToGrid w:val="0"/>
                                <w:sz w:val="20"/>
                              </w:rPr>
                              <w:t xml:space="preserve">930101 SURFACE    CLM SFQASM: CALM WINDS FOR HR 01            </w:t>
                            </w:r>
                            <w:r>
                              <w:rPr>
                                <w:noProof/>
                              </w:rPr>
                              <w:drawing>
                                <wp:inline distT="0" distB="0" distL="0" distR="0" wp14:anchorId="69E4B003" wp14:editId="710D650C">
                                  <wp:extent cx="635819" cy="45719"/>
                                  <wp:effectExtent l="0" t="0" r="0" b="0"/>
                                  <wp:docPr id="28"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6">
                                            <a:extLst>
                                              <a:ext uri="{C183D7F6-B498-43B3-948B-1728B52AA6E4}">
                                                <adec:decorative xmlns:adec="http://schemas.microsoft.com/office/drawing/2017/decorative" val="1"/>
                                              </a:ext>
                                            </a:extLst>
                                          </pic:cNvPr>
                                          <pic:cNvPicPr/>
                                        </pic:nvPicPr>
                                        <pic:blipFill>
                                          <a:blip r:embed="rId56" cstate="print"/>
                                          <a:stretch>
                                            <a:fillRect/>
                                          </a:stretch>
                                        </pic:blipFill>
                                        <pic:spPr>
                                          <a:xfrm>
                                            <a:off x="0" y="0"/>
                                            <a:ext cx="685655" cy="49302"/>
                                          </a:xfrm>
                                          <a:prstGeom prst="rect">
                                            <a:avLst/>
                                          </a:prstGeom>
                                          <a:ln>
                                            <a:noFill/>
                                          </a:ln>
                                          <a:effectLst>
                                            <a:softEdge rad="112500"/>
                                          </a:effectLst>
                                        </pic:spPr>
                                      </pic:pic>
                                    </a:graphicData>
                                  </a:graphic>
                                </wp:inline>
                              </w:drawing>
                            </w:r>
                            <w:r>
                              <w:rPr>
                                <w:noProof/>
                              </w:rPr>
                              <w:drawing>
                                <wp:inline distT="0" distB="0" distL="0" distR="0" wp14:anchorId="347794DD" wp14:editId="29EA6BCE">
                                  <wp:extent cx="1589580" cy="114300"/>
                                  <wp:effectExtent l="0" t="0" r="0" b="0"/>
                                  <wp:docPr id="29"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6">
                                            <a:extLst>
                                              <a:ext uri="{C183D7F6-B498-43B3-948B-1728B52AA6E4}">
                                                <adec:decorative xmlns:adec="http://schemas.microsoft.com/office/drawing/2017/decorative" val="1"/>
                                              </a:ext>
                                            </a:extLst>
                                          </pic:cNvPr>
                                          <pic:cNvPicPr/>
                                        </pic:nvPicPr>
                                        <pic:blipFill>
                                          <a:blip r:embed="rId56" cstate="print"/>
                                          <a:stretch>
                                            <a:fillRect/>
                                          </a:stretch>
                                        </pic:blipFill>
                                        <pic:spPr>
                                          <a:xfrm>
                                            <a:off x="0" y="0"/>
                                            <a:ext cx="1589580" cy="114300"/>
                                          </a:xfrm>
                                          <a:prstGeom prst="rect">
                                            <a:avLst/>
                                          </a:prstGeom>
                                          <a:ln>
                                            <a:noFill/>
                                          </a:ln>
                                          <a:effectLst>
                                            <a:softEdge rad="112500"/>
                                          </a:effec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010778" id="Text Box 143" o:spid="_x0000_s1045" type="#_x0000_t202" style="position:absolute;margin-left:7.85pt;margin-top:2.75pt;width:420.45pt;height:2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">
                <v:textbox>
                  <w:txbxContent>
                    <w:p w14:paraId="189A0B9A" w14:textId="77777777" w:rsidR="004830EA" w:rsidRDefault="004830EA" w:rsidP="00987511">
                      <w:pPr>
                        <w:spacing w:after="0"/>
                        <w:ind w:left="720"/>
                        <w:rPr>
                          <w:snapToGrid w:val="0"/>
                          <w:sz w:val="20"/>
                        </w:rPr>
                      </w:pPr>
                      <w:r>
                        <w:rPr>
                          <w:snapToGrid w:val="0"/>
                          <w:sz w:val="20"/>
                        </w:rPr>
                        <w:t>JOB        I</w:t>
                      </w:r>
                      <w:proofErr w:type="gramStart"/>
                      <w:r>
                        <w:rPr>
                          <w:snapToGrid w:val="0"/>
                          <w:sz w:val="20"/>
                        </w:rPr>
                        <w:t>19  SETUP</w:t>
                      </w:r>
                      <w:proofErr w:type="gramEnd"/>
                      <w:r>
                        <w:rPr>
                          <w:snapToGrid w:val="0"/>
                          <w:sz w:val="20"/>
                        </w:rPr>
                        <w:t xml:space="preserve">: "END OF FILE" ON UNIT  5 AFTER RECORD </w:t>
                      </w:r>
                      <w:proofErr w:type="gramStart"/>
                      <w:r>
                        <w:rPr>
                          <w:snapToGrid w:val="0"/>
                          <w:sz w:val="20"/>
                        </w:rPr>
                        <w:t>#  14</w:t>
                      </w:r>
                      <w:proofErr w:type="gramEnd"/>
                    </w:p>
                    <w:p w14:paraId="68BBD82D" w14:textId="77777777" w:rsidR="004830EA" w:rsidRDefault="004830EA" w:rsidP="00987511">
                      <w:pPr>
                        <w:spacing w:after="0"/>
                        <w:ind w:left="720"/>
                        <w:rPr>
                          <w:snapToGrid w:val="0"/>
                          <w:sz w:val="20"/>
                        </w:rPr>
                      </w:pPr>
                      <w:r>
                        <w:rPr>
                          <w:snapToGrid w:val="0"/>
                          <w:sz w:val="20"/>
                        </w:rPr>
                        <w:t>JOB        I25   TEST: SUMMARY: NO DATA EXTRACTION FOR UPPERAIR</w:t>
                      </w:r>
                    </w:p>
                    <w:p w14:paraId="09613042" w14:textId="77777777" w:rsidR="004830EA" w:rsidRDefault="004830EA" w:rsidP="00987511">
                      <w:pPr>
                        <w:spacing w:after="0"/>
                        <w:ind w:left="720"/>
                        <w:rPr>
                          <w:snapToGrid w:val="0"/>
                          <w:sz w:val="20"/>
                        </w:rPr>
                      </w:pPr>
                      <w:r>
                        <w:rPr>
                          <w:snapToGrid w:val="0"/>
                          <w:sz w:val="20"/>
                        </w:rPr>
                        <w:t>JOB        I25   TEST: SUMMARY: NO DATA QA FOR UPPERAIR</w:t>
                      </w:r>
                    </w:p>
                    <w:p w14:paraId="70851BC1" w14:textId="77777777" w:rsidR="004830EA" w:rsidRDefault="004830EA" w:rsidP="00987511">
                      <w:pPr>
                        <w:spacing w:after="0"/>
                        <w:ind w:left="720"/>
                        <w:rPr>
                          <w:snapToGrid w:val="0"/>
                          <w:sz w:val="20"/>
                        </w:rPr>
                      </w:pPr>
                      <w:r>
                        <w:rPr>
                          <w:snapToGrid w:val="0"/>
                          <w:sz w:val="20"/>
                        </w:rPr>
                        <w:t>JOB        I27   TEST: SUMMARY: NO DATA QA FOR ONSITE</w:t>
                      </w:r>
                    </w:p>
                    <w:p w14:paraId="3D86BBC4" w14:textId="77777777" w:rsidR="004830EA" w:rsidRDefault="004830EA" w:rsidP="00987511">
                      <w:pPr>
                        <w:spacing w:after="0"/>
                        <w:ind w:left="720"/>
                        <w:rPr>
                          <w:snapToGrid w:val="0"/>
                          <w:sz w:val="20"/>
                        </w:rPr>
                      </w:pPr>
                      <w:r>
                        <w:rPr>
                          <w:snapToGrid w:val="0"/>
                          <w:sz w:val="20"/>
                        </w:rPr>
                        <w:t>SURFACE    I</w:t>
                      </w:r>
                      <w:proofErr w:type="gramStart"/>
                      <w:r>
                        <w:rPr>
                          <w:snapToGrid w:val="0"/>
                          <w:sz w:val="20"/>
                        </w:rPr>
                        <w:t>40  SFEXT</w:t>
                      </w:r>
                      <w:proofErr w:type="gramEnd"/>
                      <w:r>
                        <w:rPr>
                          <w:snapToGrid w:val="0"/>
                          <w:sz w:val="20"/>
                        </w:rPr>
                        <w:t>: *** SURFACE OBSERVATION EXTRACTION ***</w:t>
                      </w:r>
                    </w:p>
                    <w:p w14:paraId="74DE2365" w14:textId="77777777" w:rsidR="004830EA" w:rsidRDefault="004830EA" w:rsidP="00987511">
                      <w:pPr>
                        <w:spacing w:after="0"/>
                        <w:ind w:left="720"/>
                        <w:rPr>
                          <w:snapToGrid w:val="0"/>
                          <w:sz w:val="20"/>
                        </w:rPr>
                      </w:pPr>
                      <w:r>
                        <w:rPr>
                          <w:snapToGrid w:val="0"/>
                          <w:sz w:val="20"/>
                        </w:rPr>
                        <w:t>SURFACE    I49 GETSFC: END-OF-FILE ENCOUNTERED</w:t>
                      </w:r>
                    </w:p>
                    <w:p w14:paraId="0900C7B1" w14:textId="77777777" w:rsidR="004830EA" w:rsidRDefault="004830EA" w:rsidP="00987511">
                      <w:pPr>
                        <w:spacing w:after="0"/>
                        <w:ind w:left="720"/>
                        <w:rPr>
                          <w:snapToGrid w:val="0"/>
                          <w:sz w:val="20"/>
                        </w:rPr>
                      </w:pPr>
                      <w:r>
                        <w:rPr>
                          <w:snapToGrid w:val="0"/>
                          <w:sz w:val="20"/>
                        </w:rPr>
                        <w:t>SURFACE    I</w:t>
                      </w:r>
                      <w:proofErr w:type="gramStart"/>
                      <w:r>
                        <w:rPr>
                          <w:snapToGrid w:val="0"/>
                          <w:sz w:val="20"/>
                        </w:rPr>
                        <w:t>49  SFEXT</w:t>
                      </w:r>
                      <w:proofErr w:type="gramEnd"/>
                      <w:r>
                        <w:rPr>
                          <w:snapToGrid w:val="0"/>
                          <w:sz w:val="20"/>
                        </w:rPr>
                        <w:t>: 8760 SURFACE RECORDS EXTRACTED</w:t>
                      </w:r>
                    </w:p>
                    <w:p w14:paraId="7DF97749" w14:textId="77777777" w:rsidR="004830EA" w:rsidRDefault="004830EA" w:rsidP="00987511">
                      <w:pPr>
                        <w:spacing w:after="0"/>
                        <w:ind w:left="720"/>
                        <w:rPr>
                          <w:snapToGrid w:val="0"/>
                          <w:sz w:val="20"/>
                        </w:rPr>
                      </w:pPr>
                      <w:r>
                        <w:rPr>
                          <w:snapToGrid w:val="0"/>
                          <w:sz w:val="20"/>
                        </w:rPr>
                        <w:t>930101 SURFACE    Q49 SFQASM: PRCP MISSING FOR HR 00</w:t>
                      </w:r>
                    </w:p>
                    <w:p w14:paraId="66622F3E" w14:textId="77777777" w:rsidR="004830EA" w:rsidRDefault="004830EA" w:rsidP="00987511">
                      <w:pPr>
                        <w:spacing w:after="0"/>
                        <w:ind w:left="720"/>
                        <w:rPr>
                          <w:snapToGrid w:val="0"/>
                          <w:sz w:val="20"/>
                        </w:rPr>
                      </w:pPr>
                      <w:r>
                        <w:rPr>
                          <w:snapToGrid w:val="0"/>
                          <w:sz w:val="20"/>
                        </w:rPr>
                        <w:t>930101 SURFACE    Q49 SFQASM: HZVS MISSING FOR HR 00</w:t>
                      </w:r>
                    </w:p>
                    <w:p w14:paraId="5FBB43F3" w14:textId="77777777" w:rsidR="004830EA" w:rsidRDefault="004830EA" w:rsidP="00987511">
                      <w:pPr>
                        <w:spacing w:after="0"/>
                        <w:ind w:left="720"/>
                        <w:rPr>
                          <w:snapToGrid w:val="0"/>
                          <w:sz w:val="20"/>
                        </w:rPr>
                      </w:pPr>
                      <w:r>
                        <w:rPr>
                          <w:snapToGrid w:val="0"/>
                          <w:sz w:val="20"/>
                        </w:rPr>
                        <w:t>930101 SURFACE    Q49 SFQASM: PRCP MISSING FOR HR 01</w:t>
                      </w:r>
                    </w:p>
                    <w:p w14:paraId="2E2AA6BB" w14:textId="77777777" w:rsidR="004830EA" w:rsidRDefault="004830EA" w:rsidP="00987511">
                      <w:pPr>
                        <w:spacing w:after="0"/>
                        <w:ind w:left="720"/>
                        <w:rPr>
                          <w:snapToGrid w:val="0"/>
                          <w:sz w:val="20"/>
                        </w:rPr>
                      </w:pPr>
                      <w:r>
                        <w:rPr>
                          <w:snapToGrid w:val="0"/>
                          <w:sz w:val="20"/>
                        </w:rPr>
                        <w:t>930101 SURFACE    Q49 SFQASM: HZVS MISSING FOR HR 01</w:t>
                      </w:r>
                    </w:p>
                    <w:p w14:paraId="354B2B87" w14:textId="77777777" w:rsidR="004830EA" w:rsidRDefault="004830EA">
                      <w:pPr>
                        <w:ind w:left="720"/>
                      </w:pPr>
                      <w:r>
                        <w:rPr>
                          <w:snapToGrid w:val="0"/>
                          <w:sz w:val="20"/>
                        </w:rPr>
                        <w:t xml:space="preserve">930101 SURFACE    CLM SFQASM: CALM WINDS FOR HR 01            </w:t>
                      </w:r>
                      <w:r>
                        <w:rPr>
                          <w:noProof/>
                        </w:rPr>
                        <w:drawing>
                          <wp:inline distT="0" distB="0" distL="0" distR="0" wp14:anchorId="69E4B003" wp14:editId="710D650C">
                            <wp:extent cx="635819" cy="45719"/>
                            <wp:effectExtent l="0" t="0" r="0" b="0"/>
                            <wp:docPr id="28"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6">
                                      <a:extLst>
                                        <a:ext uri="{C183D7F6-B498-43B3-948B-1728B52AA6E4}">
                                          <adec:decorative xmlns:adec="http://schemas.microsoft.com/office/drawing/2017/decorative" val="1"/>
                                        </a:ext>
                                      </a:extLst>
                                    </pic:cNvPr>
                                    <pic:cNvPicPr/>
                                  </pic:nvPicPr>
                                  <pic:blipFill>
                                    <a:blip r:embed="rId56" cstate="print"/>
                                    <a:stretch>
                                      <a:fillRect/>
                                    </a:stretch>
                                  </pic:blipFill>
                                  <pic:spPr>
                                    <a:xfrm>
                                      <a:off x="0" y="0"/>
                                      <a:ext cx="685655" cy="49302"/>
                                    </a:xfrm>
                                    <a:prstGeom prst="rect">
                                      <a:avLst/>
                                    </a:prstGeom>
                                    <a:ln>
                                      <a:noFill/>
                                    </a:ln>
                                    <a:effectLst>
                                      <a:softEdge rad="112500"/>
                                    </a:effectLst>
                                  </pic:spPr>
                                </pic:pic>
                              </a:graphicData>
                            </a:graphic>
                          </wp:inline>
                        </w:drawing>
                      </w:r>
                      <w:r>
                        <w:rPr>
                          <w:noProof/>
                        </w:rPr>
                        <w:drawing>
                          <wp:inline distT="0" distB="0" distL="0" distR="0" wp14:anchorId="347794DD" wp14:editId="29EA6BCE">
                            <wp:extent cx="1589580" cy="114300"/>
                            <wp:effectExtent l="0" t="0" r="0" b="0"/>
                            <wp:docPr id="29"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6">
                                      <a:extLst>
                                        <a:ext uri="{C183D7F6-B498-43B3-948B-1728B52AA6E4}">
                                          <adec:decorative xmlns:adec="http://schemas.microsoft.com/office/drawing/2017/decorative" val="1"/>
                                        </a:ext>
                                      </a:extLst>
                                    </pic:cNvPr>
                                    <pic:cNvPicPr/>
                                  </pic:nvPicPr>
                                  <pic:blipFill>
                                    <a:blip r:embed="rId56" cstate="print"/>
                                    <a:stretch>
                                      <a:fillRect/>
                                    </a:stretch>
                                  </pic:blipFill>
                                  <pic:spPr>
                                    <a:xfrm>
                                      <a:off x="0" y="0"/>
                                      <a:ext cx="1589580" cy="114300"/>
                                    </a:xfrm>
                                    <a:prstGeom prst="rect">
                                      <a:avLst/>
                                    </a:prstGeom>
                                    <a:ln>
                                      <a:noFill/>
                                    </a:ln>
                                    <a:effectLst>
                                      <a:softEdge rad="112500"/>
                                    </a:effectLst>
                                  </pic:spPr>
                                </pic:pic>
                              </a:graphicData>
                            </a:graphic>
                          </wp:inline>
                        </w:drawing>
                      </w:r>
                    </w:p>
                  </w:txbxContent>
                </v:textbox>
              </v:shape>
            </w:pict>
          </mc:Fallback>
        </mc:AlternateContent>
      </w:r>
    </w:p>
    <w:p w14:paraId="54272D7E" w14:textId="77777777" w:rsidR="00F93421" w:rsidRDefault="00F93421" w:rsidP="00F93421">
      <w:pPr>
        <w:pStyle w:val="Date"/>
        <w:rPr>
          <w:snapToGrid w:val="0"/>
        </w:rPr>
      </w:pPr>
    </w:p>
    <w:p w14:paraId="7E093008" w14:textId="77777777" w:rsidR="00F93421" w:rsidRDefault="00F93421" w:rsidP="00F93421"/>
    <w:p w14:paraId="4184AD60" w14:textId="77777777" w:rsidR="00F93421" w:rsidRDefault="00F93421" w:rsidP="00F93421"/>
    <w:p w14:paraId="19FC0921" w14:textId="77777777" w:rsidR="00F93421" w:rsidRDefault="00F93421" w:rsidP="00F93421"/>
    <w:p w14:paraId="74F6F4E0" w14:textId="77777777" w:rsidR="00776F05" w:rsidRDefault="00776F05" w:rsidP="00F93421"/>
    <w:p w14:paraId="411D36ED" w14:textId="6F0CFC6D" w:rsidR="00F93421" w:rsidRDefault="00173E9E" w:rsidP="00987511">
      <w:pPr>
        <w:pStyle w:val="Caption"/>
        <w:spacing w:after="240"/>
      </w:pPr>
      <w:bookmarkStart w:id="141" w:name="_Ref371085617"/>
      <w:bookmarkStart w:id="142" w:name="_Toc360016190"/>
      <w:bookmarkStart w:id="143" w:name="_Toc526778351"/>
      <w:r>
        <w:t xml:space="preserve">Figure </w:t>
      </w:r>
      <w:r w:rsidR="00B560B0">
        <w:rPr>
          <w:noProof/>
        </w:rPr>
        <w:fldChar w:fldCharType="begin"/>
      </w:r>
      <w:r w:rsidR="00B560B0">
        <w:rPr>
          <w:noProof/>
        </w:rPr>
        <w:instrText xml:space="preserve"> SEQ Figure \* ARABIC </w:instrText>
      </w:r>
      <w:r w:rsidR="00B560B0">
        <w:rPr>
          <w:noProof/>
        </w:rPr>
        <w:fldChar w:fldCharType="separate"/>
      </w:r>
      <w:r w:rsidR="00135FFD">
        <w:rPr>
          <w:noProof/>
        </w:rPr>
        <w:t>8</w:t>
      </w:r>
      <w:r w:rsidR="00B560B0">
        <w:rPr>
          <w:noProof/>
        </w:rPr>
        <w:fldChar w:fldCharType="end"/>
      </w:r>
      <w:bookmarkEnd w:id="141"/>
      <w:r>
        <w:t xml:space="preserve">.  </w:t>
      </w:r>
      <w:r w:rsidRPr="00121ABA">
        <w:t xml:space="preserve">Example of Messages Generated </w:t>
      </w:r>
      <w:proofErr w:type="gramStart"/>
      <w:r w:rsidRPr="00121ABA">
        <w:t>From</w:t>
      </w:r>
      <w:proofErr w:type="gramEnd"/>
      <w:r w:rsidRPr="00121ABA">
        <w:t xml:space="preserve"> Stage 1 Processing of Surface Data</w:t>
      </w:r>
      <w:bookmarkEnd w:id="142"/>
      <w:bookmarkEnd w:id="143"/>
    </w:p>
    <w:p w14:paraId="18D0FE30" w14:textId="7CDCB87B" w:rsidR="00F93421" w:rsidRDefault="00F93421" w:rsidP="00B10CF3">
      <w:pPr>
        <w:rPr>
          <w:snapToGrid w:val="0"/>
        </w:rPr>
      </w:pPr>
      <w:r>
        <w:rPr>
          <w:snapToGrid w:val="0"/>
        </w:rPr>
        <w:t xml:space="preserve">The example output above only shows a portion of the message file.  Depending on the data being processed and with updates to AERMET, many more and different types of messages may appear.  Due to the thousands of error messages generated in AERMET, a difficult situation arises. </w:t>
      </w:r>
    </w:p>
    <w:p w14:paraId="24B433FB" w14:textId="77777777" w:rsidR="00F93421" w:rsidRDefault="00F93421" w:rsidP="00B10CF3">
      <w:pPr>
        <w:pStyle w:val="CheckReminder"/>
      </w:pPr>
      <w:r>
        <w:t>While many of the error messages are not significant, you must make certain that you are not missing a significant error message that offers insight into possible modeling errors.</w:t>
      </w:r>
    </w:p>
    <w:p w14:paraId="303AF508" w14:textId="77777777" w:rsidR="00F93421" w:rsidRDefault="00F93421" w:rsidP="00F93421">
      <w:pPr>
        <w:rPr>
          <w:snapToGrid w:val="0"/>
        </w:rPr>
      </w:pPr>
      <w:r>
        <w:rPr>
          <w:snapToGrid w:val="0"/>
        </w:rPr>
        <w:t xml:space="preserve">It’s easy to get lulled into thinking all of them are not significant, when in fact, there may be something significant in the output file.  Fortunately, AERMET offers </w:t>
      </w:r>
      <w:proofErr w:type="gramStart"/>
      <w:r>
        <w:rPr>
          <w:snapToGrid w:val="0"/>
        </w:rPr>
        <w:t>the user</w:t>
      </w:r>
      <w:proofErr w:type="gramEnd"/>
      <w:r>
        <w:rPr>
          <w:snapToGrid w:val="0"/>
        </w:rPr>
        <w:t xml:space="preserve"> summary QA files which provide an additional means of quickly assessing the validity of the data.  See the AERMET User’s Guide for additional details.</w:t>
      </w:r>
    </w:p>
    <w:p w14:paraId="60D70D5E" w14:textId="1E5F42E0" w:rsidR="00465CA1" w:rsidRDefault="00465CA1" w:rsidP="00465CA1">
      <w:pPr>
        <w:pStyle w:val="Heading4"/>
        <w:rPr>
          <w:snapToGrid w:val="0"/>
        </w:rPr>
      </w:pPr>
      <w:bookmarkStart w:id="144" w:name="_Ref482265396"/>
      <w:bookmarkStart w:id="145" w:name="_Toc526778256"/>
      <w:bookmarkStart w:id="146" w:name="SurfaceCharacteristics"/>
      <w:r>
        <w:rPr>
          <w:snapToGrid w:val="0"/>
        </w:rPr>
        <w:t>Surface Characteristics</w:t>
      </w:r>
      <w:bookmarkEnd w:id="144"/>
      <w:bookmarkEnd w:id="145"/>
      <w:r w:rsidR="00251EC8">
        <w:rPr>
          <w:snapToGrid w:val="0"/>
        </w:rPr>
        <w:t xml:space="preserve"> </w:t>
      </w:r>
    </w:p>
    <w:bookmarkEnd w:id="146"/>
    <w:p w14:paraId="35FFDBDC" w14:textId="4DA8FE35" w:rsidR="00C053E0" w:rsidRDefault="00C60CFC" w:rsidP="00B10CF3">
      <w:pPr>
        <w:rPr>
          <w:snapToGrid w:val="0"/>
        </w:rPr>
      </w:pPr>
      <w:r>
        <w:rPr>
          <w:snapToGrid w:val="0"/>
        </w:rPr>
        <w:t>T</w:t>
      </w:r>
      <w:r w:rsidR="00C053E0">
        <w:rPr>
          <w:snapToGrid w:val="0"/>
        </w:rPr>
        <w:t>he area surrounding the meteorological tower</w:t>
      </w:r>
      <w:r>
        <w:rPr>
          <w:snapToGrid w:val="0"/>
        </w:rPr>
        <w:t xml:space="preserve"> (or the area representing the grid cell when using prognostic meteorological data) must </w:t>
      </w:r>
      <w:r w:rsidR="00C053E0">
        <w:rPr>
          <w:snapToGrid w:val="0"/>
        </w:rPr>
        <w:t>be characterized with respect to the following three surface characteristics</w:t>
      </w:r>
      <w:r>
        <w:rPr>
          <w:snapToGrid w:val="0"/>
        </w:rPr>
        <w:t xml:space="preserve"> when using AERMET</w:t>
      </w:r>
      <w:r w:rsidR="000462BF">
        <w:rPr>
          <w:snapToGrid w:val="0"/>
        </w:rPr>
        <w:t xml:space="preserve">: </w:t>
      </w:r>
      <w:r w:rsidR="00F93421">
        <w:rPr>
          <w:snapToGrid w:val="0"/>
        </w:rPr>
        <w:t xml:space="preserve">surface roughness length, Bowen Ratio, and </w:t>
      </w:r>
      <w:r w:rsidR="000462BF">
        <w:rPr>
          <w:snapToGrid w:val="0"/>
        </w:rPr>
        <w:t xml:space="preserve">noontime </w:t>
      </w:r>
      <w:r w:rsidR="00F93421">
        <w:rPr>
          <w:snapToGrid w:val="0"/>
        </w:rPr>
        <w:t xml:space="preserve">surface albedo.  </w:t>
      </w:r>
      <w:r w:rsidR="005E44C5">
        <w:rPr>
          <w:snapToGrid w:val="0"/>
        </w:rPr>
        <w:t xml:space="preserve">MAKEMET requires the same information for the area surrounding the </w:t>
      </w:r>
      <w:proofErr w:type="gramStart"/>
      <w:r w:rsidR="005E44C5">
        <w:rPr>
          <w:snapToGrid w:val="0"/>
        </w:rPr>
        <w:t>emissions release</w:t>
      </w:r>
      <w:proofErr w:type="gramEnd"/>
      <w:r w:rsidR="005E44C5">
        <w:rPr>
          <w:snapToGrid w:val="0"/>
        </w:rPr>
        <w:t xml:space="preserve">.  </w:t>
      </w:r>
      <w:r w:rsidR="000462BF">
        <w:rPr>
          <w:snapToGrid w:val="0"/>
        </w:rPr>
        <w:t xml:space="preserve">For a complete description of these characteristics, see the </w:t>
      </w:r>
      <w:hyperlink r:id="rId84" w:history="1">
        <w:r w:rsidR="000462BF" w:rsidRPr="00903F46">
          <w:rPr>
            <w:rStyle w:val="Hyperlink"/>
            <w:i/>
            <w:snapToGrid w:val="0"/>
          </w:rPr>
          <w:t>AERMOD Implementation Guide</w:t>
        </w:r>
        <w:bookmarkStart w:id="147" w:name="_Ref360000403"/>
      </w:hyperlink>
      <w:r w:rsidR="00FB4670" w:rsidRPr="005455CF">
        <w:rPr>
          <w:snapToGrid w:val="0"/>
        </w:rPr>
        <w:t>.</w:t>
      </w:r>
      <w:r w:rsidR="000462BF" w:rsidRPr="00FB4670">
        <w:rPr>
          <w:rStyle w:val="FootnoteReference"/>
          <w:snapToGrid w:val="0"/>
        </w:rPr>
        <w:footnoteReference w:id="52"/>
      </w:r>
      <w:bookmarkEnd w:id="147"/>
      <w:r w:rsidR="00FB4670">
        <w:rPr>
          <w:snapToGrid w:val="0"/>
        </w:rPr>
        <w:t xml:space="preserve">  </w:t>
      </w:r>
      <w:r w:rsidR="00C5355E">
        <w:t>EPA also states in Section</w:t>
      </w:r>
      <w:r w:rsidR="00593676" w:rsidRPr="005C59FF">
        <w:t> </w:t>
      </w:r>
      <w:r w:rsidR="00C5355E">
        <w:t>3.1.1 of the AERMOD Implementation Guide, “the determination of representativeness of site-specific data for AERMOD applications should also include an assessment of surface characteristics of the measurement and source locations and cannot be based solely on proximity.”</w:t>
      </w:r>
    </w:p>
    <w:p w14:paraId="3528CAB5" w14:textId="7ED778FA" w:rsidR="00F93421" w:rsidRDefault="00C053E0" w:rsidP="00B10CF3">
      <w:pPr>
        <w:rPr>
          <w:snapToGrid w:val="0"/>
        </w:rPr>
      </w:pPr>
      <w:r>
        <w:rPr>
          <w:snapToGrid w:val="0"/>
        </w:rPr>
        <w:t xml:space="preserve">The </w:t>
      </w:r>
      <w:r w:rsidR="004B0E43">
        <w:rPr>
          <w:snapToGrid w:val="0"/>
        </w:rPr>
        <w:t xml:space="preserve">user provides the </w:t>
      </w:r>
      <w:r>
        <w:rPr>
          <w:snapToGrid w:val="0"/>
        </w:rPr>
        <w:t xml:space="preserve">surface characteristics </w:t>
      </w:r>
      <w:r w:rsidR="004B0E43">
        <w:rPr>
          <w:snapToGrid w:val="0"/>
        </w:rPr>
        <w:t xml:space="preserve">during </w:t>
      </w:r>
      <w:r>
        <w:rPr>
          <w:snapToGrid w:val="0"/>
        </w:rPr>
        <w:t>Stage</w:t>
      </w:r>
      <w:r w:rsidR="00593676" w:rsidRPr="005C59FF">
        <w:t> </w:t>
      </w:r>
      <w:r>
        <w:rPr>
          <w:snapToGrid w:val="0"/>
        </w:rPr>
        <w:t xml:space="preserve">3 </w:t>
      </w:r>
      <w:r w:rsidR="004B0E43">
        <w:rPr>
          <w:snapToGrid w:val="0"/>
        </w:rPr>
        <w:t xml:space="preserve">of the </w:t>
      </w:r>
      <w:r>
        <w:rPr>
          <w:snapToGrid w:val="0"/>
        </w:rPr>
        <w:t xml:space="preserve">AERMET </w:t>
      </w:r>
      <w:r w:rsidR="004B0E43">
        <w:rPr>
          <w:snapToGrid w:val="0"/>
        </w:rPr>
        <w:t>run.  Y</w:t>
      </w:r>
      <w:r>
        <w:rPr>
          <w:snapToGrid w:val="0"/>
        </w:rPr>
        <w:t xml:space="preserve">ou should check </w:t>
      </w:r>
      <w:r w:rsidR="004B0E43">
        <w:rPr>
          <w:snapToGrid w:val="0"/>
        </w:rPr>
        <w:t xml:space="preserve">the State 3 input or output files </w:t>
      </w:r>
      <w:r>
        <w:rPr>
          <w:snapToGrid w:val="0"/>
        </w:rPr>
        <w:t>to see if the values are consistent with the</w:t>
      </w:r>
      <w:r w:rsidR="004B0E43">
        <w:rPr>
          <w:snapToGrid w:val="0"/>
        </w:rPr>
        <w:t xml:space="preserve"> values approved during the protocol phase (if applicable), or as otherwise justified in their modeling report</w:t>
      </w:r>
      <w:r>
        <w:rPr>
          <w:snapToGrid w:val="0"/>
        </w:rPr>
        <w:t xml:space="preserve">.  </w:t>
      </w:r>
      <w:r w:rsidR="006658BE">
        <w:rPr>
          <w:snapToGrid w:val="0"/>
        </w:rPr>
        <w:t xml:space="preserve">Using incorrect values can lead to unrealistic estimates of </w:t>
      </w:r>
      <w:r w:rsidR="006658BE">
        <w:rPr>
          <w:snapToGrid w:val="0"/>
        </w:rPr>
        <w:lastRenderedPageBreak/>
        <w:t>boundary layer parameters (e.g., stability parameters, mixing heights) required by AERMOD.</w:t>
      </w:r>
      <w:r w:rsidR="000D5AA8">
        <w:rPr>
          <w:snapToGrid w:val="0"/>
        </w:rPr>
        <w:t xml:space="preserve">  </w:t>
      </w:r>
    </w:p>
    <w:p w14:paraId="78F54962" w14:textId="77777777" w:rsidR="00F93421" w:rsidRPr="003F0080" w:rsidRDefault="00F93421" w:rsidP="00B10CF3">
      <w:pPr>
        <w:pStyle w:val="CheckReminder"/>
      </w:pPr>
      <w:r>
        <w:t>Since the AERMOD-predicted concentrations are very sensitive to surface roughness length, verify the correct values have been used.</w:t>
      </w:r>
    </w:p>
    <w:p w14:paraId="14AA2BDD" w14:textId="18ABD9C6" w:rsidR="00FF73D5" w:rsidRDefault="005738E3" w:rsidP="00F93421">
      <w:pPr>
        <w:rPr>
          <w:snapToGrid w:val="0"/>
        </w:rPr>
      </w:pPr>
      <w:r>
        <w:rPr>
          <w:snapToGrid w:val="0"/>
        </w:rPr>
        <w:t xml:space="preserve">AERMET will allow the user to change the surface characteristics on a “seasonal” or monthly basis.  The monthly approach should be used within Alaska since Alaskan winters are longer than the December through February period assumed under the “seasonal” keyword.  </w:t>
      </w:r>
      <w:r w:rsidR="00E146AB">
        <w:rPr>
          <w:snapToGrid w:val="0"/>
        </w:rPr>
        <w:t>There are several sources or method</w:t>
      </w:r>
      <w:r w:rsidR="00BE15D6">
        <w:rPr>
          <w:snapToGrid w:val="0"/>
        </w:rPr>
        <w:t>s</w:t>
      </w:r>
      <w:r w:rsidR="00E146AB">
        <w:rPr>
          <w:snapToGrid w:val="0"/>
        </w:rPr>
        <w:t xml:space="preserve"> </w:t>
      </w:r>
      <w:r w:rsidR="0046099E">
        <w:rPr>
          <w:snapToGrid w:val="0"/>
        </w:rPr>
        <w:t>for obtaining</w:t>
      </w:r>
      <w:r w:rsidR="00E146AB">
        <w:rPr>
          <w:snapToGrid w:val="0"/>
        </w:rPr>
        <w:t xml:space="preserve"> </w:t>
      </w:r>
      <w:r w:rsidR="0046099E">
        <w:rPr>
          <w:snapToGrid w:val="0"/>
        </w:rPr>
        <w:t>representative surface characteristics</w:t>
      </w:r>
      <w:r w:rsidR="00FF73D5">
        <w:rPr>
          <w:snapToGrid w:val="0"/>
        </w:rPr>
        <w:t>.</w:t>
      </w:r>
      <w:r w:rsidR="00FF73D5" w:rsidDel="00E146AB">
        <w:rPr>
          <w:snapToGrid w:val="0"/>
        </w:rPr>
        <w:t xml:space="preserve"> </w:t>
      </w:r>
    </w:p>
    <w:p w14:paraId="5F61843E" w14:textId="317000FB" w:rsidR="003C251D" w:rsidRPr="006A2939" w:rsidRDefault="00FF73D5" w:rsidP="00616D08">
      <w:pPr>
        <w:pStyle w:val="Level5"/>
        <w:rPr>
          <w:b/>
          <w:i w:val="0"/>
        </w:rPr>
      </w:pPr>
      <w:r w:rsidRPr="006A2939">
        <w:rPr>
          <w:b/>
          <w:i w:val="0"/>
        </w:rPr>
        <w:t>AERMET User’s Guide</w:t>
      </w:r>
      <w:r w:rsidR="000C0EF6" w:rsidRPr="006A2939">
        <w:rPr>
          <w:b/>
          <w:i w:val="0"/>
        </w:rPr>
        <w:fldChar w:fldCharType="begin"/>
      </w:r>
      <w:r w:rsidR="002515EC" w:rsidRPr="006A2939">
        <w:rPr>
          <w:b/>
          <w:i w:val="0"/>
        </w:rPr>
        <w:instrText xml:space="preserve"> NOTEREF _Ref360028979 \f \h </w:instrText>
      </w:r>
      <w:r w:rsidR="006A2939" w:rsidRPr="006A2939">
        <w:rPr>
          <w:b/>
          <w:i w:val="0"/>
        </w:rPr>
        <w:instrText xml:space="preserve"> \* MERGEFORMAT </w:instrText>
      </w:r>
      <w:r w:rsidR="000C0EF6" w:rsidRPr="006A2939">
        <w:rPr>
          <w:b/>
          <w:i w:val="0"/>
        </w:rPr>
      </w:r>
      <w:r w:rsidR="000C0EF6" w:rsidRPr="006A2939">
        <w:rPr>
          <w:b/>
          <w:i w:val="0"/>
        </w:rPr>
        <w:fldChar w:fldCharType="separate"/>
      </w:r>
      <w:r w:rsidR="00135FFD" w:rsidRPr="00135FFD">
        <w:rPr>
          <w:rStyle w:val="FootnoteReference"/>
          <w:b/>
          <w:i w:val="0"/>
        </w:rPr>
        <w:t>46</w:t>
      </w:r>
      <w:r w:rsidR="000C0EF6" w:rsidRPr="006A2939">
        <w:rPr>
          <w:b/>
          <w:i w:val="0"/>
        </w:rPr>
        <w:fldChar w:fldCharType="end"/>
      </w:r>
      <w:r w:rsidR="00AD569E" w:rsidRPr="006A2939">
        <w:rPr>
          <w:b/>
          <w:i w:val="0"/>
        </w:rPr>
        <w:t xml:space="preserve"> and Other Literature</w:t>
      </w:r>
    </w:p>
    <w:p w14:paraId="3B1B18E3" w14:textId="77777777" w:rsidR="00AD569E" w:rsidRDefault="00F93421" w:rsidP="00F93421">
      <w:pPr>
        <w:rPr>
          <w:snapToGrid w:val="0"/>
        </w:rPr>
      </w:pPr>
      <w:r>
        <w:rPr>
          <w:snapToGrid w:val="0"/>
        </w:rPr>
        <w:t xml:space="preserve">The AERMET </w:t>
      </w:r>
      <w:r w:rsidR="00FF73D5">
        <w:rPr>
          <w:snapToGrid w:val="0"/>
        </w:rPr>
        <w:t xml:space="preserve">User’s Guide </w:t>
      </w:r>
      <w:r>
        <w:rPr>
          <w:snapToGrid w:val="0"/>
        </w:rPr>
        <w:t xml:space="preserve">presents </w:t>
      </w:r>
      <w:r w:rsidR="00FF73D5">
        <w:rPr>
          <w:snapToGrid w:val="0"/>
        </w:rPr>
        <w:t xml:space="preserve">several tables with </w:t>
      </w:r>
      <w:r>
        <w:rPr>
          <w:snapToGrid w:val="0"/>
        </w:rPr>
        <w:t xml:space="preserve">appropriate values </w:t>
      </w:r>
      <w:proofErr w:type="gramStart"/>
      <w:r>
        <w:rPr>
          <w:snapToGrid w:val="0"/>
        </w:rPr>
        <w:t>of</w:t>
      </w:r>
      <w:proofErr w:type="gramEnd"/>
      <w:r>
        <w:rPr>
          <w:snapToGrid w:val="0"/>
        </w:rPr>
        <w:t xml:space="preserve"> each of these as a function of land use classification (e.g., forest, snow, grassland, etc.).  </w:t>
      </w:r>
      <w:r w:rsidR="00FF73D5">
        <w:rPr>
          <w:snapToGrid w:val="0"/>
        </w:rPr>
        <w:t>The land use classifications are not extensive and if the applicant uses those tables, a judgment on your part will have to be made to determine if the values are appropriate for the application.</w:t>
      </w:r>
    </w:p>
    <w:p w14:paraId="1996988E" w14:textId="77777777" w:rsidR="00AD569E" w:rsidRDefault="00AD569E" w:rsidP="00BE15D6">
      <w:pPr>
        <w:rPr>
          <w:snapToGrid w:val="0"/>
        </w:rPr>
      </w:pPr>
      <w:r>
        <w:rPr>
          <w:snapToGrid w:val="0"/>
        </w:rPr>
        <w:t xml:space="preserve">The applicant is not limited to the values listed in the AERMET User’s Guide.  Values also are available in the </w:t>
      </w:r>
      <w:proofErr w:type="gramStart"/>
      <w:r>
        <w:rPr>
          <w:snapToGrid w:val="0"/>
        </w:rPr>
        <w:t>literature, but</w:t>
      </w:r>
      <w:proofErr w:type="gramEnd"/>
      <w:r>
        <w:rPr>
          <w:snapToGrid w:val="0"/>
        </w:rPr>
        <w:t xml:space="preserve"> may not contain the same land use classifications.  If the user obtains values from </w:t>
      </w:r>
      <w:proofErr w:type="gramStart"/>
      <w:r>
        <w:rPr>
          <w:snapToGrid w:val="0"/>
        </w:rPr>
        <w:t>the literature</w:t>
      </w:r>
      <w:proofErr w:type="gramEnd"/>
      <w:r>
        <w:rPr>
          <w:snapToGrid w:val="0"/>
        </w:rPr>
        <w:t>, a citation to the document is required to be able to confirm the values.</w:t>
      </w:r>
      <w:r w:rsidR="003E3171">
        <w:rPr>
          <w:snapToGrid w:val="0"/>
        </w:rPr>
        <w:t xml:space="preserve">  For </w:t>
      </w:r>
      <w:proofErr w:type="gramStart"/>
      <w:r w:rsidR="003E3171">
        <w:rPr>
          <w:snapToGrid w:val="0"/>
        </w:rPr>
        <w:t>example</w:t>
      </w:r>
      <w:proofErr w:type="gramEnd"/>
      <w:r w:rsidR="003E3171">
        <w:rPr>
          <w:snapToGrid w:val="0"/>
        </w:rPr>
        <w:t xml:space="preserve"> </w:t>
      </w:r>
      <w:r w:rsidR="00D83A95">
        <w:rPr>
          <w:snapToGrid w:val="0"/>
        </w:rPr>
        <w:t xml:space="preserve">Roland </w:t>
      </w:r>
      <w:r w:rsidR="003E3171">
        <w:rPr>
          <w:snapToGrid w:val="0"/>
        </w:rPr>
        <w:t xml:space="preserve">Stull’s book </w:t>
      </w:r>
      <w:r w:rsidR="003E3171" w:rsidRPr="003E3171">
        <w:rPr>
          <w:i/>
          <w:snapToGrid w:val="0"/>
        </w:rPr>
        <w:t>An Introduction to Boundary Layer Meteorology</w:t>
      </w:r>
      <w:r w:rsidR="003E3171" w:rsidRPr="00A52B46">
        <w:rPr>
          <w:rStyle w:val="FootnoteReference"/>
          <w:snapToGrid w:val="0"/>
        </w:rPr>
        <w:footnoteReference w:id="53"/>
      </w:r>
      <w:r w:rsidR="003E3171">
        <w:rPr>
          <w:snapToGrid w:val="0"/>
        </w:rPr>
        <w:t xml:space="preserve"> contains a figure for surface roughness for typical terrain types.</w:t>
      </w:r>
    </w:p>
    <w:p w14:paraId="307A8ED6" w14:textId="77777777" w:rsidR="00803250" w:rsidRPr="006A2939" w:rsidRDefault="00F93421" w:rsidP="00616D08">
      <w:pPr>
        <w:pStyle w:val="Level5"/>
        <w:rPr>
          <w:b/>
          <w:i w:val="0"/>
        </w:rPr>
      </w:pPr>
      <w:r w:rsidRPr="006A2939">
        <w:rPr>
          <w:b/>
          <w:i w:val="0"/>
        </w:rPr>
        <w:t>AERSURFACE</w:t>
      </w:r>
    </w:p>
    <w:p w14:paraId="2257A373" w14:textId="66102BEA" w:rsidR="00F93421" w:rsidRDefault="00F93421" w:rsidP="00F93421">
      <w:pPr>
        <w:rPr>
          <w:snapToGrid w:val="0"/>
        </w:rPr>
      </w:pPr>
      <w:r>
        <w:rPr>
          <w:snapToGrid w:val="0"/>
          <w:lang w:val="it-IT"/>
        </w:rPr>
        <w:t xml:space="preserve">EPA developed a program, </w:t>
      </w:r>
      <w:r>
        <w:fldChar w:fldCharType="begin"/>
      </w:r>
      <w:r>
        <w:instrText>HYPERLINK "https://www3.epa.gov/ttn/scram/7thconf/aermod/aersurface_exe.zip"</w:instrText>
      </w:r>
      <w:r>
        <w:fldChar w:fldCharType="separate"/>
      </w:r>
      <w:r w:rsidRPr="00C72534">
        <w:rPr>
          <w:rStyle w:val="Hyperlink"/>
          <w:snapToGrid w:val="0"/>
          <w:lang w:val="it-IT"/>
        </w:rPr>
        <w:t>AERSURFACE</w:t>
      </w:r>
      <w:r>
        <w:fldChar w:fldCharType="end"/>
      </w:r>
      <w:r w:rsidR="00104708">
        <w:rPr>
          <w:rStyle w:val="Hyperlink"/>
          <w:snapToGrid w:val="0"/>
          <w:lang w:val="it-IT"/>
        </w:rPr>
        <w:t>,</w:t>
      </w:r>
      <w:r w:rsidR="00336975">
        <w:rPr>
          <w:rStyle w:val="FootnoteReference"/>
          <w:snapToGrid w:val="0"/>
          <w:lang w:val="it-IT"/>
        </w:rPr>
        <w:footnoteReference w:id="54"/>
      </w:r>
      <w:r>
        <w:rPr>
          <w:snapToGrid w:val="0"/>
          <w:lang w:val="it-IT"/>
        </w:rPr>
        <w:t xml:space="preserve"> to assist the user in </w:t>
      </w:r>
      <w:r w:rsidR="00104708">
        <w:rPr>
          <w:snapToGrid w:val="0"/>
          <w:lang w:val="it-IT"/>
        </w:rPr>
        <w:t xml:space="preserve">deriving the applicable surface characteristics </w:t>
      </w:r>
      <w:r>
        <w:rPr>
          <w:snapToGrid w:val="0"/>
          <w:lang w:val="it-IT"/>
        </w:rPr>
        <w:t>from digital land use/land cover (LULC) data.</w:t>
      </w:r>
      <w:r>
        <w:rPr>
          <w:snapToGrid w:val="0"/>
        </w:rPr>
        <w:t xml:space="preserve">  A key word here is ‘assist’.  AERSURFACE gives the user a first guess based on the LULC categories, but the user still must determine if the resulting values are appropriate, especially since the digital data could lag current </w:t>
      </w:r>
      <w:r w:rsidR="004526DB">
        <w:rPr>
          <w:snapToGrid w:val="0"/>
        </w:rPr>
        <w:t>LULC data</w:t>
      </w:r>
      <w:r>
        <w:rPr>
          <w:snapToGrid w:val="0"/>
        </w:rPr>
        <w:t xml:space="preserve"> by many years.  Adjustment or replacement of those values may be required if the user has knowledge of LULC changes.  Also, there is some judgment in defining the directional sectors for AERSURFACE/AERMET.</w:t>
      </w:r>
    </w:p>
    <w:p w14:paraId="17263A69" w14:textId="77777777" w:rsidR="003C251D" w:rsidRPr="006A2939" w:rsidRDefault="00FF73D5" w:rsidP="00616D08">
      <w:pPr>
        <w:pStyle w:val="Level5"/>
        <w:rPr>
          <w:b/>
          <w:i w:val="0"/>
        </w:rPr>
      </w:pPr>
      <w:r w:rsidRPr="006A2939">
        <w:rPr>
          <w:b/>
          <w:i w:val="0"/>
        </w:rPr>
        <w:t>Manual Calculations</w:t>
      </w:r>
    </w:p>
    <w:p w14:paraId="309B9A7F" w14:textId="162D1BFD" w:rsidR="00940A86" w:rsidRDefault="00940A86" w:rsidP="00940A86">
      <w:pPr>
        <w:rPr>
          <w:snapToGrid w:val="0"/>
          <w:lang w:val="it-IT"/>
        </w:rPr>
      </w:pPr>
      <w:r>
        <w:rPr>
          <w:snapToGrid w:val="0"/>
          <w:lang w:val="it-IT"/>
        </w:rPr>
        <w:t>Unfortunately, the version of AERSURFACE available on SCRAM can only process 1992 USGS land cover data, which does NOT include Alaska.  A</w:t>
      </w:r>
      <w:r w:rsidR="00024818">
        <w:rPr>
          <w:snapToGrid w:val="0"/>
          <w:lang w:val="it-IT"/>
        </w:rPr>
        <w:t>ccording to EPA, a</w:t>
      </w:r>
      <w:r>
        <w:rPr>
          <w:snapToGrid w:val="0"/>
          <w:lang w:val="it-IT"/>
        </w:rPr>
        <w:t xml:space="preserve"> future update to AERSURFACE will include the capability to process 2001 and 2006 USGS land cover data, which does include coverage in Alaska.  </w:t>
      </w:r>
    </w:p>
    <w:p w14:paraId="5C82D77F" w14:textId="25642A38" w:rsidR="00FF73D5" w:rsidRDefault="00FF73D5" w:rsidP="00F93421">
      <w:pPr>
        <w:rPr>
          <w:snapToGrid w:val="0"/>
        </w:rPr>
      </w:pPr>
      <w:r>
        <w:rPr>
          <w:snapToGrid w:val="0"/>
        </w:rPr>
        <w:lastRenderedPageBreak/>
        <w:t xml:space="preserve">ADEC has posted a </w:t>
      </w:r>
      <w:hyperlink r:id="rId85" w:history="1">
        <w:r w:rsidR="005A5CC8" w:rsidRPr="00096EF3">
          <w:rPr>
            <w:rStyle w:val="Hyperlink"/>
            <w:snapToGrid w:val="0"/>
          </w:rPr>
          <w:t>Guidance Document</w:t>
        </w:r>
      </w:hyperlink>
      <w:bookmarkStart w:id="148" w:name="_Ref360261391"/>
      <w:r w:rsidR="007A596C">
        <w:rPr>
          <w:rStyle w:val="FootnoteReference"/>
          <w:snapToGrid w:val="0"/>
        </w:rPr>
        <w:footnoteReference w:id="55"/>
      </w:r>
      <w:bookmarkEnd w:id="148"/>
      <w:r>
        <w:rPr>
          <w:snapToGrid w:val="0"/>
        </w:rPr>
        <w:t xml:space="preserve"> </w:t>
      </w:r>
      <w:r w:rsidR="00940A86">
        <w:rPr>
          <w:snapToGrid w:val="0"/>
        </w:rPr>
        <w:t>on how to calculate these values</w:t>
      </w:r>
      <w:r w:rsidR="007A596C">
        <w:rPr>
          <w:snapToGrid w:val="0"/>
        </w:rPr>
        <w:t xml:space="preserve"> manually</w:t>
      </w:r>
      <w:r w:rsidR="00940A86">
        <w:rPr>
          <w:snapToGrid w:val="0"/>
        </w:rPr>
        <w:t xml:space="preserve">.  </w:t>
      </w:r>
      <w:r w:rsidR="00104708">
        <w:rPr>
          <w:snapToGrid w:val="0"/>
        </w:rPr>
        <w:t xml:space="preserve">Topographic maps, aerial/surface photos, and professional judgment may be used to derive the values.  </w:t>
      </w:r>
      <w:r w:rsidR="00940A86">
        <w:rPr>
          <w:snapToGrid w:val="0"/>
        </w:rPr>
        <w:t xml:space="preserve">Note that EPA is working on a revised method in AERSURFACE to replace the current computation of the surface roughness length.  </w:t>
      </w:r>
      <w:r w:rsidR="003F0080">
        <w:rPr>
          <w:snapToGrid w:val="0"/>
        </w:rPr>
        <w:t>As always,</w:t>
      </w:r>
      <w:r w:rsidR="00940A86">
        <w:rPr>
          <w:snapToGrid w:val="0"/>
        </w:rPr>
        <w:t xml:space="preserve"> check </w:t>
      </w:r>
      <w:hyperlink r:id="rId86" w:history="1">
        <w:r w:rsidR="00940A86" w:rsidRPr="0092574B">
          <w:rPr>
            <w:rStyle w:val="Hyperlink"/>
            <w:snapToGrid w:val="0"/>
          </w:rPr>
          <w:t>SCRAM</w:t>
        </w:r>
      </w:hyperlink>
      <w:r w:rsidR="00940A86">
        <w:rPr>
          <w:snapToGrid w:val="0"/>
        </w:rPr>
        <w:t xml:space="preserve"> to see if any updates are available.</w:t>
      </w:r>
    </w:p>
    <w:p w14:paraId="2292096A" w14:textId="77777777" w:rsidR="003C251D" w:rsidRPr="006A2939" w:rsidRDefault="006658BE" w:rsidP="00616D08">
      <w:pPr>
        <w:pStyle w:val="Level5"/>
        <w:rPr>
          <w:b/>
          <w:i w:val="0"/>
        </w:rPr>
      </w:pPr>
      <w:r w:rsidRPr="006A2939">
        <w:rPr>
          <w:b/>
          <w:i w:val="0"/>
        </w:rPr>
        <w:t>North Slope Parameters</w:t>
      </w:r>
    </w:p>
    <w:p w14:paraId="577FFF06" w14:textId="7F1E431B" w:rsidR="005711B0" w:rsidRDefault="00565BD4" w:rsidP="00F93421">
      <w:pPr>
        <w:rPr>
          <w:snapToGrid w:val="0"/>
          <w:lang w:val="it-IT"/>
        </w:rPr>
      </w:pPr>
      <w:r>
        <w:rPr>
          <w:snapToGrid w:val="0"/>
          <w:lang w:val="it-IT"/>
        </w:rPr>
        <w:t xml:space="preserve">Currently EPA does not have recommended </w:t>
      </w:r>
      <w:r w:rsidR="00BF70CB">
        <w:rPr>
          <w:snapToGrid w:val="0"/>
          <w:lang w:val="it-IT"/>
        </w:rPr>
        <w:t>values</w:t>
      </w:r>
      <w:r>
        <w:rPr>
          <w:snapToGrid w:val="0"/>
          <w:lang w:val="it-IT"/>
        </w:rPr>
        <w:t xml:space="preserve"> for tundra.  A literature search by a permit applicant led to </w:t>
      </w:r>
      <w:r w:rsidR="00BF70CB">
        <w:rPr>
          <w:snapToGrid w:val="0"/>
          <w:lang w:val="it-IT"/>
        </w:rPr>
        <w:t xml:space="preserve">reasonable </w:t>
      </w:r>
      <w:r>
        <w:rPr>
          <w:snapToGrid w:val="0"/>
          <w:lang w:val="it-IT"/>
        </w:rPr>
        <w:t xml:space="preserve">values </w:t>
      </w:r>
      <w:r w:rsidR="00BF70CB">
        <w:rPr>
          <w:snapToGrid w:val="0"/>
          <w:lang w:val="it-IT"/>
        </w:rPr>
        <w:t xml:space="preserve">for North Slope locations (onshore and offshore), which are reitereated </w:t>
      </w:r>
      <w:r w:rsidR="00096EF3">
        <w:rPr>
          <w:snapToGrid w:val="0"/>
          <w:lang w:val="it-IT"/>
        </w:rPr>
        <w:t xml:space="preserve">in </w:t>
      </w:r>
      <w:r w:rsidR="00522F0B">
        <w:rPr>
          <w:snapToGrid w:val="0"/>
          <w:lang w:val="it-IT"/>
        </w:rPr>
        <w:fldChar w:fldCharType="begin"/>
      </w:r>
      <w:r w:rsidR="00522F0B">
        <w:rPr>
          <w:snapToGrid w:val="0"/>
          <w:lang w:val="it-IT"/>
        </w:rPr>
        <w:instrText xml:space="preserve"> REF _Ref524506729 \h </w:instrText>
      </w:r>
      <w:r w:rsidR="00522F0B">
        <w:rPr>
          <w:snapToGrid w:val="0"/>
          <w:lang w:val="it-IT"/>
        </w:rPr>
      </w:r>
      <w:r w:rsidR="00522F0B">
        <w:rPr>
          <w:snapToGrid w:val="0"/>
          <w:lang w:val="it-IT"/>
        </w:rPr>
        <w:fldChar w:fldCharType="separate"/>
      </w:r>
      <w:r w:rsidR="00135FFD">
        <w:t xml:space="preserve">Table </w:t>
      </w:r>
      <w:r w:rsidR="00135FFD">
        <w:rPr>
          <w:noProof/>
        </w:rPr>
        <w:t>3</w:t>
      </w:r>
      <w:r w:rsidR="00522F0B">
        <w:rPr>
          <w:snapToGrid w:val="0"/>
          <w:lang w:val="it-IT"/>
        </w:rPr>
        <w:fldChar w:fldCharType="end"/>
      </w:r>
      <w:r>
        <w:rPr>
          <w:snapToGrid w:val="0"/>
          <w:lang w:val="it-IT"/>
        </w:rPr>
        <w:t xml:space="preserve">.  </w:t>
      </w:r>
      <w:r w:rsidR="00B62385">
        <w:rPr>
          <w:snapToGrid w:val="0"/>
          <w:lang w:val="it-IT"/>
        </w:rPr>
        <w:t xml:space="preserve">ADEC has used these values for subsequent North Slope applications as well.  </w:t>
      </w:r>
      <w:r>
        <w:rPr>
          <w:snapToGrid w:val="0"/>
          <w:lang w:val="it-IT"/>
        </w:rPr>
        <w:t xml:space="preserve">For the North Slope and Beaufort Sea, summer </w:t>
      </w:r>
      <w:r w:rsidR="00B62385">
        <w:rPr>
          <w:snapToGrid w:val="0"/>
          <w:lang w:val="it-IT"/>
        </w:rPr>
        <w:t>has been assumed to be June through September and winter as October through May</w:t>
      </w:r>
      <w:r>
        <w:rPr>
          <w:snapToGrid w:val="0"/>
          <w:lang w:val="it-IT"/>
        </w:rPr>
        <w:t xml:space="preserve">.  </w:t>
      </w:r>
    </w:p>
    <w:p w14:paraId="64676903" w14:textId="77777777" w:rsidR="00F93421" w:rsidRDefault="005711B0" w:rsidP="00F93421">
      <w:pPr>
        <w:rPr>
          <w:snapToGrid w:val="0"/>
          <w:lang w:val="it-IT"/>
        </w:rPr>
      </w:pPr>
      <w:r>
        <w:rPr>
          <w:snapToGrid w:val="0"/>
          <w:lang w:val="it-IT"/>
        </w:rPr>
        <w:t>A combination of these pareameters may be needed if the meteorological tower is near the coast.  In that case, multiple wind direction sectors should be used to define the surface characteristics (note that AERMET can process up to 12 non-overlapping sectors)</w:t>
      </w:r>
      <w:r w:rsidR="009057FF">
        <w:rPr>
          <w:snapToGrid w:val="0"/>
          <w:lang w:val="it-IT"/>
        </w:rPr>
        <w:t>.</w:t>
      </w:r>
    </w:p>
    <w:p w14:paraId="6E347E24" w14:textId="64AFCBB7" w:rsidR="008F7273" w:rsidRDefault="008F7273" w:rsidP="00182B54">
      <w:pPr>
        <w:pStyle w:val="Caption"/>
        <w:keepNext/>
        <w:ind w:left="1080"/>
      </w:pPr>
      <w:bookmarkStart w:id="149" w:name="_Ref524506729"/>
      <w:bookmarkStart w:id="150" w:name="_Toc526778363"/>
      <w:r>
        <w:t xml:space="preserve">Table </w:t>
      </w:r>
      <w:r w:rsidR="000C0EF6">
        <w:fldChar w:fldCharType="begin"/>
      </w:r>
      <w:r w:rsidR="00B95EAA">
        <w:instrText xml:space="preserve"> SEQ Table \* ARABIC </w:instrText>
      </w:r>
      <w:r w:rsidR="000C0EF6">
        <w:fldChar w:fldCharType="separate"/>
      </w:r>
      <w:r w:rsidR="00135FFD">
        <w:rPr>
          <w:noProof/>
        </w:rPr>
        <w:t>3</w:t>
      </w:r>
      <w:r w:rsidR="000C0EF6">
        <w:rPr>
          <w:noProof/>
        </w:rPr>
        <w:fldChar w:fldCharType="end"/>
      </w:r>
      <w:bookmarkEnd w:id="149"/>
      <w:r>
        <w:t xml:space="preserve">.  Surface </w:t>
      </w:r>
      <w:r w:rsidR="00BF70CB">
        <w:t xml:space="preserve">Characteristics </w:t>
      </w:r>
      <w:r>
        <w:t>for North Slope</w:t>
      </w:r>
      <w:r w:rsidR="00111418">
        <w:t xml:space="preserve"> </w:t>
      </w:r>
      <w:r>
        <w:t>Applications</w:t>
      </w:r>
      <w:bookmarkEnd w:id="150"/>
    </w:p>
    <w:tbl>
      <w:tblPr>
        <w:tblStyle w:val="TableGrid"/>
        <w:tblW w:w="0" w:type="auto"/>
        <w:jc w:val="center"/>
        <w:tblLook w:val="04A0" w:firstRow="1" w:lastRow="0" w:firstColumn="1" w:lastColumn="0" w:noHBand="0" w:noVBand="1"/>
      </w:tblPr>
      <w:tblGrid>
        <w:gridCol w:w="3528"/>
        <w:gridCol w:w="1777"/>
        <w:gridCol w:w="1800"/>
      </w:tblGrid>
      <w:tr w:rsidR="00F93421" w14:paraId="5E6E7EFC" w14:textId="77777777" w:rsidTr="00C323A2">
        <w:trPr>
          <w:cantSplit/>
          <w:jc w:val="center"/>
        </w:trPr>
        <w:tc>
          <w:tcPr>
            <w:tcW w:w="3528" w:type="dxa"/>
            <w:tcBorders>
              <w:bottom w:val="single" w:sz="12" w:space="0" w:color="auto"/>
            </w:tcBorders>
            <w:shd w:val="pct10" w:color="auto" w:fill="auto"/>
          </w:tcPr>
          <w:p w14:paraId="6ED8140D" w14:textId="77777777" w:rsidR="00F93421" w:rsidRDefault="00F93421" w:rsidP="00B04032">
            <w:pPr>
              <w:keepNext/>
              <w:keepLines/>
              <w:spacing w:after="60"/>
              <w:rPr>
                <w:snapToGrid w:val="0"/>
                <w:lang w:val="it-IT"/>
              </w:rPr>
            </w:pPr>
            <w:r>
              <w:rPr>
                <w:snapToGrid w:val="0"/>
                <w:lang w:val="it-IT"/>
              </w:rPr>
              <w:t>North Slope</w:t>
            </w:r>
            <w:r w:rsidR="00111418">
              <w:rPr>
                <w:snapToGrid w:val="0"/>
                <w:lang w:val="it-IT"/>
              </w:rPr>
              <w:t xml:space="preserve"> Onshore</w:t>
            </w:r>
          </w:p>
        </w:tc>
        <w:tc>
          <w:tcPr>
            <w:tcW w:w="1777" w:type="dxa"/>
            <w:tcBorders>
              <w:bottom w:val="single" w:sz="12" w:space="0" w:color="auto"/>
            </w:tcBorders>
            <w:shd w:val="pct10" w:color="auto" w:fill="auto"/>
          </w:tcPr>
          <w:p w14:paraId="728622FE" w14:textId="77777777" w:rsidR="00F93421" w:rsidRDefault="00F93421" w:rsidP="00B04032">
            <w:pPr>
              <w:keepNext/>
              <w:keepLines/>
              <w:spacing w:after="60"/>
              <w:rPr>
                <w:snapToGrid w:val="0"/>
                <w:lang w:val="it-IT"/>
              </w:rPr>
            </w:pPr>
            <w:r>
              <w:rPr>
                <w:snapToGrid w:val="0"/>
                <w:lang w:val="it-IT"/>
              </w:rPr>
              <w:t>Winter Value</w:t>
            </w:r>
          </w:p>
        </w:tc>
        <w:tc>
          <w:tcPr>
            <w:tcW w:w="1800" w:type="dxa"/>
            <w:tcBorders>
              <w:bottom w:val="single" w:sz="12" w:space="0" w:color="auto"/>
            </w:tcBorders>
            <w:shd w:val="pct10" w:color="auto" w:fill="auto"/>
          </w:tcPr>
          <w:p w14:paraId="1EF9563F" w14:textId="77777777" w:rsidR="00F93421" w:rsidRDefault="00F93421" w:rsidP="00B04032">
            <w:pPr>
              <w:keepNext/>
              <w:keepLines/>
              <w:spacing w:after="60"/>
              <w:rPr>
                <w:snapToGrid w:val="0"/>
                <w:lang w:val="it-IT"/>
              </w:rPr>
            </w:pPr>
            <w:r>
              <w:rPr>
                <w:snapToGrid w:val="0"/>
                <w:lang w:val="it-IT"/>
              </w:rPr>
              <w:t>Summer Value</w:t>
            </w:r>
          </w:p>
        </w:tc>
      </w:tr>
      <w:tr w:rsidR="00F93421" w14:paraId="38276695" w14:textId="77777777" w:rsidTr="00C323A2">
        <w:trPr>
          <w:cantSplit/>
          <w:jc w:val="center"/>
        </w:trPr>
        <w:tc>
          <w:tcPr>
            <w:tcW w:w="3528" w:type="dxa"/>
            <w:tcBorders>
              <w:top w:val="single" w:sz="12" w:space="0" w:color="auto"/>
            </w:tcBorders>
          </w:tcPr>
          <w:p w14:paraId="500A6A0E" w14:textId="77777777" w:rsidR="00F93421" w:rsidRDefault="00F93421" w:rsidP="00B04032">
            <w:pPr>
              <w:keepNext/>
              <w:keepLines/>
              <w:spacing w:after="60"/>
              <w:rPr>
                <w:snapToGrid w:val="0"/>
                <w:lang w:val="it-IT"/>
              </w:rPr>
            </w:pPr>
            <w:r>
              <w:rPr>
                <w:snapToGrid w:val="0"/>
                <w:lang w:val="it-IT"/>
              </w:rPr>
              <w:t>Albedo</w:t>
            </w:r>
          </w:p>
        </w:tc>
        <w:tc>
          <w:tcPr>
            <w:tcW w:w="1777" w:type="dxa"/>
            <w:tcBorders>
              <w:top w:val="single" w:sz="12" w:space="0" w:color="auto"/>
            </w:tcBorders>
          </w:tcPr>
          <w:p w14:paraId="3A937321" w14:textId="77777777" w:rsidR="00F93421" w:rsidRDefault="00F93421" w:rsidP="00B04032">
            <w:pPr>
              <w:keepNext/>
              <w:keepLines/>
              <w:spacing w:after="60"/>
              <w:rPr>
                <w:snapToGrid w:val="0"/>
                <w:lang w:val="it-IT"/>
              </w:rPr>
            </w:pPr>
            <w:r>
              <w:rPr>
                <w:snapToGrid w:val="0"/>
                <w:lang w:val="it-IT"/>
              </w:rPr>
              <w:t>0.8</w:t>
            </w:r>
          </w:p>
        </w:tc>
        <w:tc>
          <w:tcPr>
            <w:tcW w:w="1800" w:type="dxa"/>
            <w:tcBorders>
              <w:top w:val="single" w:sz="12" w:space="0" w:color="auto"/>
            </w:tcBorders>
          </w:tcPr>
          <w:p w14:paraId="45B47CE0" w14:textId="77777777" w:rsidR="00F93421" w:rsidRDefault="00F93421" w:rsidP="00B04032">
            <w:pPr>
              <w:keepNext/>
              <w:keepLines/>
              <w:spacing w:after="60"/>
              <w:rPr>
                <w:snapToGrid w:val="0"/>
                <w:lang w:val="it-IT"/>
              </w:rPr>
            </w:pPr>
            <w:r>
              <w:rPr>
                <w:snapToGrid w:val="0"/>
                <w:lang w:val="it-IT"/>
              </w:rPr>
              <w:t>0.18</w:t>
            </w:r>
          </w:p>
        </w:tc>
      </w:tr>
      <w:tr w:rsidR="00F93421" w14:paraId="4468FFD5" w14:textId="77777777" w:rsidTr="00C323A2">
        <w:trPr>
          <w:cantSplit/>
          <w:jc w:val="center"/>
        </w:trPr>
        <w:tc>
          <w:tcPr>
            <w:tcW w:w="3528" w:type="dxa"/>
          </w:tcPr>
          <w:p w14:paraId="5A97275D" w14:textId="77777777" w:rsidR="00F93421" w:rsidRDefault="00F93421" w:rsidP="00B04032">
            <w:pPr>
              <w:keepNext/>
              <w:keepLines/>
              <w:spacing w:after="60"/>
              <w:rPr>
                <w:snapToGrid w:val="0"/>
                <w:lang w:val="it-IT"/>
              </w:rPr>
            </w:pPr>
            <w:r>
              <w:rPr>
                <w:snapToGrid w:val="0"/>
                <w:lang w:val="it-IT"/>
              </w:rPr>
              <w:t>Bowen Ratio</w:t>
            </w:r>
          </w:p>
        </w:tc>
        <w:tc>
          <w:tcPr>
            <w:tcW w:w="1777" w:type="dxa"/>
          </w:tcPr>
          <w:p w14:paraId="73CDEE54" w14:textId="77777777" w:rsidR="00F93421" w:rsidRDefault="00F93421" w:rsidP="00B04032">
            <w:pPr>
              <w:keepNext/>
              <w:keepLines/>
              <w:spacing w:after="60"/>
              <w:rPr>
                <w:snapToGrid w:val="0"/>
                <w:lang w:val="it-IT"/>
              </w:rPr>
            </w:pPr>
            <w:r>
              <w:rPr>
                <w:snapToGrid w:val="0"/>
                <w:lang w:val="it-IT"/>
              </w:rPr>
              <w:t>1.5</w:t>
            </w:r>
          </w:p>
        </w:tc>
        <w:tc>
          <w:tcPr>
            <w:tcW w:w="1800" w:type="dxa"/>
          </w:tcPr>
          <w:p w14:paraId="3E3CFAA9" w14:textId="77777777" w:rsidR="00F93421" w:rsidRDefault="00F93421" w:rsidP="00B04032">
            <w:pPr>
              <w:keepNext/>
              <w:keepLines/>
              <w:spacing w:after="60"/>
              <w:rPr>
                <w:snapToGrid w:val="0"/>
                <w:lang w:val="it-IT"/>
              </w:rPr>
            </w:pPr>
            <w:r>
              <w:rPr>
                <w:snapToGrid w:val="0"/>
                <w:lang w:val="it-IT"/>
              </w:rPr>
              <w:t>0.80</w:t>
            </w:r>
          </w:p>
        </w:tc>
      </w:tr>
      <w:tr w:rsidR="00F93421" w14:paraId="13448DA3" w14:textId="77777777" w:rsidTr="00C323A2">
        <w:trPr>
          <w:cantSplit/>
          <w:jc w:val="center"/>
        </w:trPr>
        <w:tc>
          <w:tcPr>
            <w:tcW w:w="3528" w:type="dxa"/>
          </w:tcPr>
          <w:p w14:paraId="0B2B7170" w14:textId="77777777" w:rsidR="00F93421" w:rsidRDefault="00F93421" w:rsidP="00B04032">
            <w:pPr>
              <w:keepNext/>
              <w:keepLines/>
              <w:spacing w:after="60"/>
              <w:rPr>
                <w:snapToGrid w:val="0"/>
                <w:lang w:val="it-IT"/>
              </w:rPr>
            </w:pPr>
            <w:r>
              <w:rPr>
                <w:snapToGrid w:val="0"/>
                <w:lang w:val="it-IT"/>
              </w:rPr>
              <w:t>Surface Roughness Length (m)</w:t>
            </w:r>
          </w:p>
        </w:tc>
        <w:tc>
          <w:tcPr>
            <w:tcW w:w="1777" w:type="dxa"/>
          </w:tcPr>
          <w:p w14:paraId="1CAB8E1C" w14:textId="77777777" w:rsidR="00F93421" w:rsidRDefault="00F93421" w:rsidP="00B04032">
            <w:pPr>
              <w:keepNext/>
              <w:keepLines/>
              <w:spacing w:after="60"/>
              <w:rPr>
                <w:snapToGrid w:val="0"/>
                <w:lang w:val="it-IT"/>
              </w:rPr>
            </w:pPr>
            <w:r>
              <w:rPr>
                <w:snapToGrid w:val="0"/>
                <w:lang w:val="it-IT"/>
              </w:rPr>
              <w:t>0.004</w:t>
            </w:r>
          </w:p>
        </w:tc>
        <w:tc>
          <w:tcPr>
            <w:tcW w:w="1800" w:type="dxa"/>
          </w:tcPr>
          <w:p w14:paraId="7C779964" w14:textId="77777777" w:rsidR="00F93421" w:rsidRDefault="00F93421" w:rsidP="00B04032">
            <w:pPr>
              <w:keepNext/>
              <w:keepLines/>
              <w:spacing w:after="60"/>
              <w:rPr>
                <w:snapToGrid w:val="0"/>
                <w:lang w:val="it-IT"/>
              </w:rPr>
            </w:pPr>
            <w:r>
              <w:rPr>
                <w:snapToGrid w:val="0"/>
                <w:lang w:val="it-IT"/>
              </w:rPr>
              <w:t>0.02</w:t>
            </w:r>
          </w:p>
        </w:tc>
      </w:tr>
      <w:tr w:rsidR="00F93421" w14:paraId="517D67D1" w14:textId="77777777" w:rsidTr="00C323A2">
        <w:trPr>
          <w:cantSplit/>
          <w:jc w:val="center"/>
        </w:trPr>
        <w:tc>
          <w:tcPr>
            <w:tcW w:w="3528" w:type="dxa"/>
            <w:tcBorders>
              <w:bottom w:val="single" w:sz="12" w:space="0" w:color="auto"/>
            </w:tcBorders>
            <w:shd w:val="pct10" w:color="auto" w:fill="auto"/>
          </w:tcPr>
          <w:p w14:paraId="47FA66E1" w14:textId="77777777" w:rsidR="00F93421" w:rsidRDefault="00F93421" w:rsidP="00B04032">
            <w:pPr>
              <w:keepNext/>
              <w:keepLines/>
              <w:spacing w:after="60"/>
              <w:rPr>
                <w:snapToGrid w:val="0"/>
                <w:lang w:val="it-IT"/>
              </w:rPr>
            </w:pPr>
            <w:r>
              <w:rPr>
                <w:snapToGrid w:val="0"/>
                <w:lang w:val="it-IT"/>
              </w:rPr>
              <w:t>Beaufort Sea</w:t>
            </w:r>
          </w:p>
        </w:tc>
        <w:tc>
          <w:tcPr>
            <w:tcW w:w="1777" w:type="dxa"/>
            <w:tcBorders>
              <w:bottom w:val="single" w:sz="12" w:space="0" w:color="auto"/>
            </w:tcBorders>
            <w:shd w:val="pct10" w:color="auto" w:fill="auto"/>
          </w:tcPr>
          <w:p w14:paraId="6C499635" w14:textId="77777777" w:rsidR="00F93421" w:rsidRDefault="00F93421" w:rsidP="00B04032">
            <w:pPr>
              <w:keepNext/>
              <w:keepLines/>
              <w:spacing w:after="60"/>
              <w:rPr>
                <w:snapToGrid w:val="0"/>
                <w:lang w:val="it-IT"/>
              </w:rPr>
            </w:pPr>
            <w:r>
              <w:rPr>
                <w:snapToGrid w:val="0"/>
                <w:lang w:val="it-IT"/>
              </w:rPr>
              <w:t>Winter Value</w:t>
            </w:r>
          </w:p>
        </w:tc>
        <w:tc>
          <w:tcPr>
            <w:tcW w:w="1800" w:type="dxa"/>
            <w:tcBorders>
              <w:bottom w:val="single" w:sz="12" w:space="0" w:color="auto"/>
            </w:tcBorders>
            <w:shd w:val="pct10" w:color="auto" w:fill="auto"/>
          </w:tcPr>
          <w:p w14:paraId="5E14729A" w14:textId="77777777" w:rsidR="00F93421" w:rsidRDefault="00F93421" w:rsidP="00B04032">
            <w:pPr>
              <w:keepNext/>
              <w:keepLines/>
              <w:spacing w:after="60"/>
              <w:rPr>
                <w:snapToGrid w:val="0"/>
                <w:lang w:val="it-IT"/>
              </w:rPr>
            </w:pPr>
            <w:r>
              <w:rPr>
                <w:snapToGrid w:val="0"/>
                <w:lang w:val="it-IT"/>
              </w:rPr>
              <w:t>Summer Value</w:t>
            </w:r>
          </w:p>
        </w:tc>
      </w:tr>
      <w:tr w:rsidR="00F93421" w14:paraId="560EE1E9" w14:textId="77777777" w:rsidTr="00C323A2">
        <w:trPr>
          <w:cantSplit/>
          <w:jc w:val="center"/>
        </w:trPr>
        <w:tc>
          <w:tcPr>
            <w:tcW w:w="3528" w:type="dxa"/>
            <w:tcBorders>
              <w:top w:val="single" w:sz="12" w:space="0" w:color="auto"/>
            </w:tcBorders>
          </w:tcPr>
          <w:p w14:paraId="5304B004" w14:textId="77777777" w:rsidR="00F93421" w:rsidRDefault="00F93421" w:rsidP="00B04032">
            <w:pPr>
              <w:keepNext/>
              <w:keepLines/>
              <w:spacing w:after="60"/>
              <w:rPr>
                <w:snapToGrid w:val="0"/>
                <w:lang w:val="it-IT"/>
              </w:rPr>
            </w:pPr>
            <w:r>
              <w:rPr>
                <w:snapToGrid w:val="0"/>
                <w:lang w:val="it-IT"/>
              </w:rPr>
              <w:t>Albedo</w:t>
            </w:r>
          </w:p>
        </w:tc>
        <w:tc>
          <w:tcPr>
            <w:tcW w:w="1777" w:type="dxa"/>
            <w:tcBorders>
              <w:top w:val="single" w:sz="12" w:space="0" w:color="auto"/>
            </w:tcBorders>
          </w:tcPr>
          <w:p w14:paraId="75E1634A" w14:textId="77777777" w:rsidR="00F93421" w:rsidRDefault="00F93421" w:rsidP="00B04032">
            <w:pPr>
              <w:keepNext/>
              <w:keepLines/>
              <w:spacing w:after="60"/>
              <w:rPr>
                <w:snapToGrid w:val="0"/>
                <w:lang w:val="it-IT"/>
              </w:rPr>
            </w:pPr>
            <w:r>
              <w:rPr>
                <w:snapToGrid w:val="0"/>
                <w:lang w:val="it-IT"/>
              </w:rPr>
              <w:t>0.8</w:t>
            </w:r>
          </w:p>
        </w:tc>
        <w:tc>
          <w:tcPr>
            <w:tcW w:w="1800" w:type="dxa"/>
            <w:tcBorders>
              <w:top w:val="single" w:sz="12" w:space="0" w:color="auto"/>
            </w:tcBorders>
          </w:tcPr>
          <w:p w14:paraId="62AB05EB" w14:textId="77777777" w:rsidR="00F93421" w:rsidRDefault="00F93421" w:rsidP="00B04032">
            <w:pPr>
              <w:keepNext/>
              <w:keepLines/>
              <w:spacing w:after="60"/>
              <w:rPr>
                <w:snapToGrid w:val="0"/>
                <w:lang w:val="it-IT"/>
              </w:rPr>
            </w:pPr>
            <w:r>
              <w:rPr>
                <w:snapToGrid w:val="0"/>
                <w:lang w:val="it-IT"/>
              </w:rPr>
              <w:t>0.1</w:t>
            </w:r>
          </w:p>
        </w:tc>
      </w:tr>
      <w:tr w:rsidR="00F93421" w14:paraId="36BB594F" w14:textId="77777777" w:rsidTr="00C323A2">
        <w:trPr>
          <w:cantSplit/>
          <w:jc w:val="center"/>
        </w:trPr>
        <w:tc>
          <w:tcPr>
            <w:tcW w:w="3528" w:type="dxa"/>
          </w:tcPr>
          <w:p w14:paraId="13FD83CF" w14:textId="77777777" w:rsidR="00F93421" w:rsidRDefault="00F93421" w:rsidP="00B04032">
            <w:pPr>
              <w:keepNext/>
              <w:keepLines/>
              <w:spacing w:after="60"/>
              <w:rPr>
                <w:snapToGrid w:val="0"/>
                <w:lang w:val="it-IT"/>
              </w:rPr>
            </w:pPr>
            <w:r>
              <w:rPr>
                <w:snapToGrid w:val="0"/>
                <w:lang w:val="it-IT"/>
              </w:rPr>
              <w:t>Bowen Ratio</w:t>
            </w:r>
          </w:p>
        </w:tc>
        <w:tc>
          <w:tcPr>
            <w:tcW w:w="1777" w:type="dxa"/>
          </w:tcPr>
          <w:p w14:paraId="7FB65FB5" w14:textId="77777777" w:rsidR="00F93421" w:rsidRDefault="00F93421" w:rsidP="00B04032">
            <w:pPr>
              <w:keepNext/>
              <w:keepLines/>
              <w:spacing w:after="60"/>
              <w:rPr>
                <w:snapToGrid w:val="0"/>
                <w:lang w:val="it-IT"/>
              </w:rPr>
            </w:pPr>
            <w:r>
              <w:rPr>
                <w:snapToGrid w:val="0"/>
                <w:lang w:val="it-IT"/>
              </w:rPr>
              <w:t>2.0</w:t>
            </w:r>
          </w:p>
        </w:tc>
        <w:tc>
          <w:tcPr>
            <w:tcW w:w="1800" w:type="dxa"/>
          </w:tcPr>
          <w:p w14:paraId="128295D9" w14:textId="77777777" w:rsidR="00F93421" w:rsidRDefault="00F93421" w:rsidP="00B04032">
            <w:pPr>
              <w:keepNext/>
              <w:keepLines/>
              <w:spacing w:after="60"/>
              <w:rPr>
                <w:snapToGrid w:val="0"/>
                <w:lang w:val="it-IT"/>
              </w:rPr>
            </w:pPr>
            <w:r>
              <w:rPr>
                <w:snapToGrid w:val="0"/>
                <w:lang w:val="it-IT"/>
              </w:rPr>
              <w:t>0.1</w:t>
            </w:r>
          </w:p>
        </w:tc>
      </w:tr>
      <w:tr w:rsidR="00F93421" w14:paraId="69970131" w14:textId="77777777" w:rsidTr="00C323A2">
        <w:trPr>
          <w:cantSplit/>
          <w:jc w:val="center"/>
        </w:trPr>
        <w:tc>
          <w:tcPr>
            <w:tcW w:w="3528" w:type="dxa"/>
          </w:tcPr>
          <w:p w14:paraId="4C5DFD5F" w14:textId="77777777" w:rsidR="00F93421" w:rsidRDefault="00F93421" w:rsidP="00B04032">
            <w:pPr>
              <w:keepNext/>
              <w:keepLines/>
              <w:spacing w:after="60"/>
              <w:rPr>
                <w:snapToGrid w:val="0"/>
                <w:lang w:val="it-IT"/>
              </w:rPr>
            </w:pPr>
            <w:r>
              <w:rPr>
                <w:snapToGrid w:val="0"/>
                <w:lang w:val="it-IT"/>
              </w:rPr>
              <w:t>Surface Roughness Length (m)</w:t>
            </w:r>
          </w:p>
        </w:tc>
        <w:tc>
          <w:tcPr>
            <w:tcW w:w="1777" w:type="dxa"/>
          </w:tcPr>
          <w:p w14:paraId="4CCDFEE7" w14:textId="77777777" w:rsidR="00F93421" w:rsidRDefault="00F93421" w:rsidP="00B04032">
            <w:pPr>
              <w:keepNext/>
              <w:keepLines/>
              <w:spacing w:after="60"/>
              <w:rPr>
                <w:snapToGrid w:val="0"/>
                <w:lang w:val="it-IT"/>
              </w:rPr>
            </w:pPr>
            <w:r>
              <w:rPr>
                <w:snapToGrid w:val="0"/>
                <w:lang w:val="it-IT"/>
              </w:rPr>
              <w:t>0.001</w:t>
            </w:r>
          </w:p>
        </w:tc>
        <w:tc>
          <w:tcPr>
            <w:tcW w:w="1800" w:type="dxa"/>
          </w:tcPr>
          <w:p w14:paraId="15B8B225" w14:textId="77777777" w:rsidR="00F93421" w:rsidRDefault="00F93421" w:rsidP="00B04032">
            <w:pPr>
              <w:keepNext/>
              <w:keepLines/>
              <w:spacing w:after="60"/>
              <w:rPr>
                <w:snapToGrid w:val="0"/>
                <w:lang w:val="it-IT"/>
              </w:rPr>
            </w:pPr>
            <w:r>
              <w:rPr>
                <w:snapToGrid w:val="0"/>
                <w:lang w:val="it-IT"/>
              </w:rPr>
              <w:t>0.001</w:t>
            </w:r>
          </w:p>
        </w:tc>
      </w:tr>
    </w:tbl>
    <w:p w14:paraId="6115A724" w14:textId="77777777" w:rsidR="00F93421" w:rsidRPr="00DD1EF4" w:rsidRDefault="00DD1EF4" w:rsidP="00C323A2">
      <w:pPr>
        <w:spacing w:before="60"/>
        <w:ind w:left="900" w:right="720"/>
        <w:rPr>
          <w:snapToGrid w:val="0"/>
          <w:sz w:val="20"/>
          <w:szCs w:val="20"/>
          <w:lang w:val="it-IT"/>
        </w:rPr>
      </w:pPr>
      <w:r w:rsidRPr="00182B54">
        <w:rPr>
          <w:i/>
          <w:snapToGrid w:val="0"/>
          <w:sz w:val="20"/>
          <w:szCs w:val="20"/>
          <w:u w:val="single"/>
          <w:lang w:val="it-IT"/>
        </w:rPr>
        <w:t>Table Note</w:t>
      </w:r>
      <w:r w:rsidRPr="00DD1EF4">
        <w:rPr>
          <w:i/>
          <w:snapToGrid w:val="0"/>
          <w:sz w:val="20"/>
          <w:szCs w:val="20"/>
          <w:lang w:val="it-IT"/>
        </w:rPr>
        <w:t>:  For the North Slope and Beaufort Sea, summer has been assumed to be June through September and winter as October through May</w:t>
      </w:r>
      <w:r w:rsidRPr="00DD1EF4">
        <w:rPr>
          <w:snapToGrid w:val="0"/>
          <w:sz w:val="20"/>
          <w:szCs w:val="20"/>
          <w:lang w:val="it-IT"/>
        </w:rPr>
        <w:t>.</w:t>
      </w:r>
    </w:p>
    <w:p w14:paraId="16B9F0F7" w14:textId="77777777" w:rsidR="00F93421" w:rsidRPr="005A4B00" w:rsidRDefault="00F93421" w:rsidP="00F93421">
      <w:pPr>
        <w:pStyle w:val="Heading4"/>
        <w:rPr>
          <w:snapToGrid w:val="0"/>
          <w:szCs w:val="24"/>
        </w:rPr>
      </w:pPr>
      <w:bookmarkStart w:id="151" w:name="MissingMetData"/>
      <w:bookmarkStart w:id="152" w:name="_Toc526778257"/>
      <w:r w:rsidRPr="005A4B00">
        <w:rPr>
          <w:snapToGrid w:val="0"/>
          <w:szCs w:val="24"/>
        </w:rPr>
        <w:t>Missing Data</w:t>
      </w:r>
      <w:bookmarkEnd w:id="151"/>
      <w:r w:rsidRPr="005A4B00">
        <w:rPr>
          <w:snapToGrid w:val="0"/>
          <w:szCs w:val="24"/>
        </w:rPr>
        <w:t xml:space="preserve"> Substitution</w:t>
      </w:r>
      <w:bookmarkEnd w:id="152"/>
    </w:p>
    <w:p w14:paraId="765DE1E2" w14:textId="252EAF75" w:rsidR="00A26123" w:rsidRDefault="00A26123" w:rsidP="00F93421">
      <w:pPr>
        <w:rPr>
          <w:snapToGrid w:val="0"/>
        </w:rPr>
      </w:pPr>
      <w:r>
        <w:rPr>
          <w:snapToGrid w:val="0"/>
        </w:rPr>
        <w:t xml:space="preserve">Applicants should treat missing </w:t>
      </w:r>
      <w:r w:rsidR="006F523E">
        <w:rPr>
          <w:snapToGrid w:val="0"/>
        </w:rPr>
        <w:t>site-specific</w:t>
      </w:r>
      <w:r>
        <w:rPr>
          <w:snapToGrid w:val="0"/>
        </w:rPr>
        <w:t xml:space="preserve"> data in accordance with Section</w:t>
      </w:r>
      <w:r>
        <w:t> </w:t>
      </w:r>
      <w:r>
        <w:rPr>
          <w:snapToGrid w:val="0"/>
        </w:rPr>
        <w:t>8.</w:t>
      </w:r>
      <w:r w:rsidR="00EF2251">
        <w:rPr>
          <w:snapToGrid w:val="0"/>
        </w:rPr>
        <w:t>4.</w:t>
      </w:r>
      <w:r w:rsidR="00D37A70">
        <w:rPr>
          <w:snapToGrid w:val="0"/>
        </w:rPr>
        <w:t>4</w:t>
      </w:r>
      <w:r>
        <w:rPr>
          <w:snapToGrid w:val="0"/>
        </w:rPr>
        <w:t>.2(</w:t>
      </w:r>
      <w:r w:rsidR="00D37A70">
        <w:rPr>
          <w:snapToGrid w:val="0"/>
        </w:rPr>
        <w:t>c</w:t>
      </w:r>
      <w:r>
        <w:rPr>
          <w:snapToGrid w:val="0"/>
        </w:rPr>
        <w:t xml:space="preserve">) of the </w:t>
      </w:r>
      <w:r w:rsidRPr="00196955">
        <w:rPr>
          <w:snapToGrid w:val="0"/>
        </w:rPr>
        <w:t>Guideline</w:t>
      </w:r>
      <w:r>
        <w:rPr>
          <w:i/>
          <w:snapToGrid w:val="0"/>
        </w:rPr>
        <w:t>.</w:t>
      </w:r>
      <w:r>
        <w:rPr>
          <w:snapToGrid w:val="0"/>
        </w:rPr>
        <w:t xml:space="preserve">  In summary, absent data should be coded as missing </w:t>
      </w:r>
      <w:r w:rsidRPr="00A26123">
        <w:rPr>
          <w:i/>
          <w:snapToGrid w:val="0"/>
        </w:rPr>
        <w:t>unless</w:t>
      </w:r>
      <w:r>
        <w:rPr>
          <w:snapToGrid w:val="0"/>
        </w:rPr>
        <w:t xml:space="preserve"> there is a representative </w:t>
      </w:r>
      <w:r w:rsidR="00AB446A">
        <w:rPr>
          <w:snapToGrid w:val="0"/>
        </w:rPr>
        <w:t>dataset</w:t>
      </w:r>
      <w:r>
        <w:rPr>
          <w:snapToGrid w:val="0"/>
        </w:rPr>
        <w:t xml:space="preserve"> that can be used to provide substitute values.  Applicants </w:t>
      </w:r>
      <w:r w:rsidR="00616D08">
        <w:rPr>
          <w:snapToGrid w:val="0"/>
        </w:rPr>
        <w:t>may</w:t>
      </w:r>
      <w:r>
        <w:rPr>
          <w:snapToGrid w:val="0"/>
        </w:rPr>
        <w:t xml:space="preserve"> </w:t>
      </w:r>
      <w:r w:rsidRPr="00A26123">
        <w:rPr>
          <w:snapToGrid w:val="0"/>
          <w:u w:val="single"/>
        </w:rPr>
        <w:t>not</w:t>
      </w:r>
      <w:r>
        <w:rPr>
          <w:snapToGrid w:val="0"/>
        </w:rPr>
        <w:t xml:space="preserve"> use interpolation, “average” values, or other similar approaches for filling in missing </w:t>
      </w:r>
      <w:r w:rsidR="00507D10">
        <w:rPr>
          <w:snapToGrid w:val="0"/>
        </w:rPr>
        <w:t xml:space="preserve">wind </w:t>
      </w:r>
      <w:r>
        <w:rPr>
          <w:snapToGrid w:val="0"/>
        </w:rPr>
        <w:t>data.</w:t>
      </w:r>
      <w:r w:rsidR="00507D10">
        <w:rPr>
          <w:snapToGrid w:val="0"/>
        </w:rPr>
        <w:t xml:space="preserve">  EPA allows for limited </w:t>
      </w:r>
      <w:r w:rsidR="00E11315">
        <w:rPr>
          <w:snapToGrid w:val="0"/>
        </w:rPr>
        <w:t xml:space="preserve">use of interpolated values to substitute for </w:t>
      </w:r>
      <w:r w:rsidR="00507D10">
        <w:rPr>
          <w:snapToGrid w:val="0"/>
        </w:rPr>
        <w:t xml:space="preserve">missing cloud cover </w:t>
      </w:r>
      <w:r w:rsidR="00E11315">
        <w:rPr>
          <w:snapToGrid w:val="0"/>
        </w:rPr>
        <w:t>or</w:t>
      </w:r>
      <w:r w:rsidR="00507D10">
        <w:rPr>
          <w:snapToGrid w:val="0"/>
        </w:rPr>
        <w:t xml:space="preserve"> temperature data in an AERMOD analysis, but that </w:t>
      </w:r>
      <w:r w:rsidR="00083E43">
        <w:rPr>
          <w:snapToGrid w:val="0"/>
        </w:rPr>
        <w:t>is best handled through</w:t>
      </w:r>
      <w:r w:rsidR="00507D10">
        <w:rPr>
          <w:snapToGrid w:val="0"/>
        </w:rPr>
        <w:t xml:space="preserve"> AERMET (see Section 4.7.6.5 of the AERMET User’s Guide). </w:t>
      </w:r>
      <w:r>
        <w:rPr>
          <w:snapToGrid w:val="0"/>
        </w:rPr>
        <w:t xml:space="preserve"> </w:t>
      </w:r>
    </w:p>
    <w:p w14:paraId="0AAF971D" w14:textId="7A5FFE14" w:rsidR="00F93421" w:rsidRDefault="00C053E0" w:rsidP="00F93421">
      <w:pPr>
        <w:rPr>
          <w:snapToGrid w:val="0"/>
        </w:rPr>
      </w:pPr>
      <w:r>
        <w:rPr>
          <w:snapToGrid w:val="0"/>
        </w:rPr>
        <w:t>W</w:t>
      </w:r>
      <w:r w:rsidR="00A876E9">
        <w:rPr>
          <w:snapToGrid w:val="0"/>
        </w:rPr>
        <w:t xml:space="preserve">hen using the </w:t>
      </w:r>
      <w:r w:rsidR="00A876E9" w:rsidRPr="00A876E9">
        <w:rPr>
          <w:b/>
          <w:snapToGrid w:val="0"/>
        </w:rPr>
        <w:t>DFAULT</w:t>
      </w:r>
      <w:r w:rsidR="00A876E9">
        <w:rPr>
          <w:snapToGrid w:val="0"/>
        </w:rPr>
        <w:t xml:space="preserve"> option in AERMOD, AERMOD will treat missing hours of meteorological data in the same way it processes “</w:t>
      </w:r>
      <w:proofErr w:type="gramStart"/>
      <w:r w:rsidR="00A876E9">
        <w:rPr>
          <w:snapToGrid w:val="0"/>
        </w:rPr>
        <w:t>calms”  (</w:t>
      </w:r>
      <w:proofErr w:type="gramEnd"/>
      <w:r w:rsidR="00A876E9">
        <w:rPr>
          <w:snapToGrid w:val="0"/>
        </w:rPr>
        <w:t xml:space="preserve">i.e., it sets the concentration </w:t>
      </w:r>
      <w:r w:rsidR="00A876E9">
        <w:rPr>
          <w:snapToGrid w:val="0"/>
        </w:rPr>
        <w:lastRenderedPageBreak/>
        <w:t xml:space="preserve">to zero for that </w:t>
      </w:r>
      <w:proofErr w:type="gramStart"/>
      <w:r w:rsidR="00A876E9">
        <w:rPr>
          <w:snapToGrid w:val="0"/>
        </w:rPr>
        <w:t>hour, and</w:t>
      </w:r>
      <w:proofErr w:type="gramEnd"/>
      <w:r w:rsidR="00A876E9">
        <w:rPr>
          <w:snapToGrid w:val="0"/>
        </w:rPr>
        <w:t xml:space="preserve"> calculates the short-term averages according to EPA’s calms policy).  An adequate analysis can therefore be conducted with missing data, </w:t>
      </w:r>
      <w:proofErr w:type="gramStart"/>
      <w:r w:rsidR="00A876E9">
        <w:rPr>
          <w:snapToGrid w:val="0"/>
        </w:rPr>
        <w:t>a</w:t>
      </w:r>
      <w:r w:rsidR="00F93421">
        <w:rPr>
          <w:snapToGrid w:val="0"/>
        </w:rPr>
        <w:t>s long as</w:t>
      </w:r>
      <w:proofErr w:type="gramEnd"/>
      <w:r w:rsidR="00F93421">
        <w:rPr>
          <w:snapToGrid w:val="0"/>
        </w:rPr>
        <w:t xml:space="preserve"> the </w:t>
      </w:r>
      <w:r w:rsidR="006F523E">
        <w:rPr>
          <w:snapToGrid w:val="0"/>
        </w:rPr>
        <w:t>site-specific</w:t>
      </w:r>
      <w:r w:rsidR="00A876E9">
        <w:rPr>
          <w:snapToGrid w:val="0"/>
        </w:rPr>
        <w:t xml:space="preserve"> </w:t>
      </w:r>
      <w:r w:rsidR="00AB446A">
        <w:rPr>
          <w:snapToGrid w:val="0"/>
        </w:rPr>
        <w:t>dataset</w:t>
      </w:r>
      <w:r w:rsidR="00A876E9">
        <w:rPr>
          <w:snapToGrid w:val="0"/>
        </w:rPr>
        <w:t xml:space="preserve"> meets the </w:t>
      </w:r>
      <w:r w:rsidR="00F93421">
        <w:rPr>
          <w:snapToGrid w:val="0"/>
        </w:rPr>
        <w:t>90</w:t>
      </w:r>
      <w:r w:rsidR="008C3F11">
        <w:rPr>
          <w:snapToGrid w:val="0"/>
        </w:rPr>
        <w:t xml:space="preserve"> percent</w:t>
      </w:r>
      <w:r w:rsidR="00F93421">
        <w:rPr>
          <w:snapToGrid w:val="0"/>
        </w:rPr>
        <w:t xml:space="preserve"> </w:t>
      </w:r>
      <w:r w:rsidR="00A876E9">
        <w:rPr>
          <w:snapToGrid w:val="0"/>
        </w:rPr>
        <w:t xml:space="preserve">data </w:t>
      </w:r>
      <w:r w:rsidR="00F93421">
        <w:rPr>
          <w:snapToGrid w:val="0"/>
        </w:rPr>
        <w:t xml:space="preserve">capture </w:t>
      </w:r>
      <w:r w:rsidR="00A876E9">
        <w:rPr>
          <w:snapToGrid w:val="0"/>
        </w:rPr>
        <w:t xml:space="preserve">requirement </w:t>
      </w:r>
      <w:r w:rsidR="00F93421">
        <w:rPr>
          <w:snapToGrid w:val="0"/>
        </w:rPr>
        <w:t xml:space="preserve">per quarter </w:t>
      </w:r>
      <w:r w:rsidR="00A876E9">
        <w:rPr>
          <w:snapToGrid w:val="0"/>
        </w:rPr>
        <w:t>(per EPA’s Meteorological Monitoring Guidance) or contains “</w:t>
      </w:r>
      <w:r w:rsidR="00F93421">
        <w:rPr>
          <w:snapToGrid w:val="0"/>
        </w:rPr>
        <w:t>reasonable</w:t>
      </w:r>
      <w:r w:rsidR="00A876E9">
        <w:rPr>
          <w:snapToGrid w:val="0"/>
        </w:rPr>
        <w:t>”</w:t>
      </w:r>
      <w:r w:rsidR="00F93421">
        <w:rPr>
          <w:snapToGrid w:val="0"/>
        </w:rPr>
        <w:t xml:space="preserve"> data capture </w:t>
      </w:r>
      <w:r w:rsidR="00A876E9">
        <w:rPr>
          <w:snapToGrid w:val="0"/>
        </w:rPr>
        <w:t xml:space="preserve">when using </w:t>
      </w:r>
      <w:r w:rsidR="00F93421">
        <w:rPr>
          <w:snapToGrid w:val="0"/>
        </w:rPr>
        <w:t xml:space="preserve">multi-year NWS </w:t>
      </w:r>
      <w:r w:rsidR="00AB446A">
        <w:rPr>
          <w:snapToGrid w:val="0"/>
        </w:rPr>
        <w:t>dataset</w:t>
      </w:r>
      <w:r w:rsidR="00F93421">
        <w:rPr>
          <w:snapToGrid w:val="0"/>
        </w:rPr>
        <w:t>s</w:t>
      </w:r>
      <w:r w:rsidR="00A876E9">
        <w:rPr>
          <w:snapToGrid w:val="0"/>
        </w:rPr>
        <w:t xml:space="preserve">.  </w:t>
      </w:r>
    </w:p>
    <w:p w14:paraId="0D44D854" w14:textId="144C2420" w:rsidR="00F93421" w:rsidRDefault="00F93421" w:rsidP="00F93421">
      <w:pPr>
        <w:rPr>
          <w:snapToGrid w:val="0"/>
        </w:rPr>
      </w:pPr>
      <w:r w:rsidRPr="005127CF">
        <w:rPr>
          <w:snapToGrid w:val="0"/>
        </w:rPr>
        <w:t xml:space="preserve">Some applicants may be able to </w:t>
      </w:r>
      <w:r w:rsidR="00A80B85">
        <w:rPr>
          <w:snapToGrid w:val="0"/>
        </w:rPr>
        <w:t xml:space="preserve">substitute </w:t>
      </w:r>
      <w:r w:rsidRPr="005127CF">
        <w:rPr>
          <w:snapToGrid w:val="0"/>
        </w:rPr>
        <w:t>NWS temperature data for missing site-specific temperature data, but there</w:t>
      </w:r>
      <w:r w:rsidR="00627211">
        <w:rPr>
          <w:snapToGrid w:val="0"/>
        </w:rPr>
        <w:t xml:space="preserve"> i</w:t>
      </w:r>
      <w:r w:rsidRPr="005127CF">
        <w:rPr>
          <w:snapToGrid w:val="0"/>
        </w:rPr>
        <w:t xml:space="preserve">s no way to </w:t>
      </w:r>
      <w:r>
        <w:rPr>
          <w:snapToGrid w:val="0"/>
        </w:rPr>
        <w:t>substitute</w:t>
      </w:r>
      <w:r w:rsidRPr="005127CF">
        <w:rPr>
          <w:snapToGrid w:val="0"/>
        </w:rPr>
        <w:t xml:space="preserve"> temperature data</w:t>
      </w:r>
      <w:r w:rsidR="00627211">
        <w:rPr>
          <w:snapToGrid w:val="0"/>
        </w:rPr>
        <w:t xml:space="preserve"> alone</w:t>
      </w:r>
      <w:r w:rsidRPr="005127CF">
        <w:rPr>
          <w:snapToGrid w:val="0"/>
        </w:rPr>
        <w:t xml:space="preserve"> through the </w:t>
      </w:r>
      <w:r w:rsidR="00A80B85">
        <w:rPr>
          <w:snapToGrid w:val="0"/>
        </w:rPr>
        <w:t xml:space="preserve">current </w:t>
      </w:r>
      <w:r w:rsidRPr="005127CF">
        <w:rPr>
          <w:snapToGrid w:val="0"/>
        </w:rPr>
        <w:t>substitution option</w:t>
      </w:r>
      <w:r w:rsidR="00A80B85">
        <w:rPr>
          <w:snapToGrid w:val="0"/>
        </w:rPr>
        <w:t>s</w:t>
      </w:r>
      <w:r w:rsidRPr="005127CF">
        <w:rPr>
          <w:snapToGrid w:val="0"/>
        </w:rPr>
        <w:t xml:space="preserve"> in AERMET. </w:t>
      </w:r>
      <w:r>
        <w:rPr>
          <w:snapToGrid w:val="0"/>
        </w:rPr>
        <w:t xml:space="preserve"> </w:t>
      </w:r>
      <w:r w:rsidRPr="005127CF">
        <w:rPr>
          <w:snapToGrid w:val="0"/>
        </w:rPr>
        <w:t xml:space="preserve">Using </w:t>
      </w:r>
      <w:r w:rsidR="00627211">
        <w:rPr>
          <w:snapToGrid w:val="0"/>
        </w:rPr>
        <w:t>the</w:t>
      </w:r>
      <w:r>
        <w:rPr>
          <w:snapToGrid w:val="0"/>
        </w:rPr>
        <w:t xml:space="preserve"> </w:t>
      </w:r>
      <w:r w:rsidR="00627211" w:rsidRPr="00A80B85">
        <w:rPr>
          <w:b/>
          <w:snapToGrid w:val="0"/>
        </w:rPr>
        <w:t>SUBNWS</w:t>
      </w:r>
      <w:r w:rsidR="00627211">
        <w:rPr>
          <w:snapToGrid w:val="0"/>
        </w:rPr>
        <w:t xml:space="preserve"> </w:t>
      </w:r>
      <w:r w:rsidRPr="005127CF">
        <w:rPr>
          <w:snapToGrid w:val="0"/>
        </w:rPr>
        <w:t xml:space="preserve">option </w:t>
      </w:r>
      <w:r w:rsidR="00627211">
        <w:rPr>
          <w:snapToGrid w:val="0"/>
        </w:rPr>
        <w:t xml:space="preserve">in AERMET will </w:t>
      </w:r>
      <w:r w:rsidRPr="005127CF">
        <w:rPr>
          <w:snapToGrid w:val="0"/>
        </w:rPr>
        <w:t xml:space="preserve">substitute missing wind data as well, which in most cases, </w:t>
      </w:r>
      <w:r w:rsidR="00A654B9">
        <w:rPr>
          <w:snapToGrid w:val="0"/>
        </w:rPr>
        <w:t xml:space="preserve">would </w:t>
      </w:r>
      <w:r w:rsidRPr="005127CF">
        <w:rPr>
          <w:snapToGrid w:val="0"/>
        </w:rPr>
        <w:t>n</w:t>
      </w:r>
      <w:r>
        <w:rPr>
          <w:snapToGrid w:val="0"/>
        </w:rPr>
        <w:t>o</w:t>
      </w:r>
      <w:r w:rsidRPr="005127CF">
        <w:rPr>
          <w:snapToGrid w:val="0"/>
        </w:rPr>
        <w:t xml:space="preserve">t </w:t>
      </w:r>
      <w:r w:rsidR="00A654B9">
        <w:rPr>
          <w:snapToGrid w:val="0"/>
        </w:rPr>
        <w:t xml:space="preserve">be </w:t>
      </w:r>
      <w:r w:rsidRPr="005127CF">
        <w:rPr>
          <w:snapToGrid w:val="0"/>
        </w:rPr>
        <w:t>representative of the site</w:t>
      </w:r>
      <w:r w:rsidR="00450E03">
        <w:rPr>
          <w:snapToGrid w:val="0"/>
        </w:rPr>
        <w:t xml:space="preserve"> (especially if</w:t>
      </w:r>
      <w:r w:rsidR="00A654B9">
        <w:rPr>
          <w:snapToGrid w:val="0"/>
        </w:rPr>
        <w:t xml:space="preserve"> the applicant was required to collect site-specific data</w:t>
      </w:r>
      <w:r w:rsidR="00450E03">
        <w:rPr>
          <w:snapToGrid w:val="0"/>
        </w:rPr>
        <w:t>)</w:t>
      </w:r>
      <w:r w:rsidRPr="005127CF">
        <w:rPr>
          <w:snapToGrid w:val="0"/>
        </w:rPr>
        <w:t>.</w:t>
      </w:r>
      <w:r>
        <w:rPr>
          <w:snapToGrid w:val="0"/>
        </w:rPr>
        <w:t xml:space="preserve">  </w:t>
      </w:r>
      <w:r w:rsidR="00A80B85" w:rsidRPr="00A80B85">
        <w:rPr>
          <w:snapToGrid w:val="0"/>
          <w:u w:val="single"/>
        </w:rPr>
        <w:t>Note</w:t>
      </w:r>
      <w:r w:rsidR="00A80B85">
        <w:rPr>
          <w:snapToGrid w:val="0"/>
        </w:rPr>
        <w:t xml:space="preserve">: </w:t>
      </w:r>
      <w:r w:rsidR="00A80B85" w:rsidRPr="008F5F84">
        <w:rPr>
          <w:i/>
          <w:snapToGrid w:val="0"/>
        </w:rPr>
        <w:t>a</w:t>
      </w:r>
      <w:r w:rsidRPr="008F5F84">
        <w:rPr>
          <w:i/>
          <w:snapToGrid w:val="0"/>
        </w:rPr>
        <w:t xml:space="preserve">ll other NWS parameters (e.g., </w:t>
      </w:r>
      <w:r w:rsidR="00055E18" w:rsidRPr="008F5F84">
        <w:rPr>
          <w:i/>
          <w:snapToGrid w:val="0"/>
        </w:rPr>
        <w:t xml:space="preserve">cloud cover and </w:t>
      </w:r>
      <w:r w:rsidRPr="008F5F84">
        <w:rPr>
          <w:i/>
          <w:snapToGrid w:val="0"/>
        </w:rPr>
        <w:t xml:space="preserve">station pressure) are automatically substituted </w:t>
      </w:r>
      <w:r w:rsidR="00A80B85" w:rsidRPr="008F5F84">
        <w:rPr>
          <w:i/>
          <w:snapToGrid w:val="0"/>
        </w:rPr>
        <w:t xml:space="preserve">by AERMET </w:t>
      </w:r>
      <w:r w:rsidRPr="008F5F84">
        <w:rPr>
          <w:i/>
          <w:snapToGrid w:val="0"/>
        </w:rPr>
        <w:t xml:space="preserve">even without </w:t>
      </w:r>
      <w:r w:rsidR="00A80B85" w:rsidRPr="008F5F84">
        <w:rPr>
          <w:i/>
          <w:snapToGrid w:val="0"/>
        </w:rPr>
        <w:t>using</w:t>
      </w:r>
      <w:r w:rsidRPr="008F5F84">
        <w:rPr>
          <w:i/>
          <w:snapToGrid w:val="0"/>
        </w:rPr>
        <w:t xml:space="preserve"> th</w:t>
      </w:r>
      <w:r w:rsidR="00055E18" w:rsidRPr="008F5F84">
        <w:rPr>
          <w:i/>
          <w:snapToGrid w:val="0"/>
        </w:rPr>
        <w:t xml:space="preserve">e </w:t>
      </w:r>
      <w:r w:rsidR="00055E18" w:rsidRPr="008F5F84">
        <w:rPr>
          <w:b/>
          <w:i/>
          <w:snapToGrid w:val="0"/>
        </w:rPr>
        <w:t>SUBNWS</w:t>
      </w:r>
      <w:r w:rsidRPr="008F5F84">
        <w:rPr>
          <w:i/>
          <w:snapToGrid w:val="0"/>
        </w:rPr>
        <w:t xml:space="preserve"> option</w:t>
      </w:r>
      <w:r>
        <w:rPr>
          <w:snapToGrid w:val="0"/>
        </w:rPr>
        <w:t>.</w:t>
      </w:r>
    </w:p>
    <w:p w14:paraId="252BC91D" w14:textId="77777777" w:rsidR="005F6DC9" w:rsidRDefault="005F6DC9" w:rsidP="00407F48">
      <w:pPr>
        <w:numPr>
          <w:ilvl w:val="0"/>
          <w:numId w:val="32"/>
        </w:numPr>
        <w:rPr>
          <w:snapToGrid w:val="0"/>
        </w:rPr>
      </w:pPr>
      <w:r>
        <w:rPr>
          <w:snapToGrid w:val="0"/>
        </w:rPr>
        <w:t xml:space="preserve">Do </w:t>
      </w:r>
      <w:r w:rsidRPr="005F6DC9">
        <w:rPr>
          <w:snapToGrid w:val="0"/>
          <w:u w:val="single"/>
        </w:rPr>
        <w:t>NOT</w:t>
      </w:r>
      <w:r>
        <w:rPr>
          <w:snapToGrid w:val="0"/>
        </w:rPr>
        <w:t xml:space="preserve"> use the </w:t>
      </w:r>
      <w:r w:rsidRPr="005F6DC9">
        <w:rPr>
          <w:b/>
          <w:snapToGrid w:val="0"/>
        </w:rPr>
        <w:t>SUBNWS</w:t>
      </w:r>
      <w:r>
        <w:rPr>
          <w:snapToGrid w:val="0"/>
        </w:rPr>
        <w:t xml:space="preserve"> option (</w:t>
      </w:r>
      <w:r w:rsidRPr="00A80B85">
        <w:rPr>
          <w:b/>
          <w:snapToGrid w:val="0"/>
        </w:rPr>
        <w:t>METHOD REFLEVEL SUBNWS</w:t>
      </w:r>
      <w:r>
        <w:rPr>
          <w:snapToGrid w:val="0"/>
        </w:rPr>
        <w:t xml:space="preserve">) </w:t>
      </w:r>
      <w:r w:rsidRPr="005F6DC9">
        <w:rPr>
          <w:i/>
          <w:snapToGrid w:val="0"/>
        </w:rPr>
        <w:t>unless</w:t>
      </w:r>
      <w:r>
        <w:rPr>
          <w:snapToGrid w:val="0"/>
        </w:rPr>
        <w:t xml:space="preserve"> the NWS temperature and wind data are representative of the transport temperature and wind</w:t>
      </w:r>
      <w:r w:rsidR="00931273">
        <w:rPr>
          <w:snapToGrid w:val="0"/>
        </w:rPr>
        <w:t xml:space="preserve"> conditions</w:t>
      </w:r>
      <w:r>
        <w:rPr>
          <w:snapToGrid w:val="0"/>
        </w:rPr>
        <w:t xml:space="preserve"> at the applicant’s stationary source. </w:t>
      </w:r>
    </w:p>
    <w:p w14:paraId="1BCF12A9" w14:textId="77777777" w:rsidR="00F93421" w:rsidRDefault="005F6DC9" w:rsidP="00407F48">
      <w:pPr>
        <w:numPr>
          <w:ilvl w:val="0"/>
          <w:numId w:val="32"/>
        </w:numPr>
        <w:rPr>
          <w:snapToGrid w:val="0"/>
        </w:rPr>
      </w:pPr>
      <w:r>
        <w:rPr>
          <w:snapToGrid w:val="0"/>
        </w:rPr>
        <w:t xml:space="preserve">AERMET will automatically </w:t>
      </w:r>
      <w:r w:rsidR="00A26123">
        <w:rPr>
          <w:snapToGrid w:val="0"/>
        </w:rPr>
        <w:t>incorporate</w:t>
      </w:r>
      <w:r>
        <w:rPr>
          <w:snapToGrid w:val="0"/>
        </w:rPr>
        <w:t xml:space="preserve"> NWS cloud cover data from the </w:t>
      </w:r>
      <w:r w:rsidRPr="005F6DC9">
        <w:rPr>
          <w:b/>
          <w:snapToGrid w:val="0"/>
        </w:rPr>
        <w:t>SURFACE</w:t>
      </w:r>
      <w:r>
        <w:rPr>
          <w:snapToGrid w:val="0"/>
        </w:rPr>
        <w:t xml:space="preserve"> dataset, even when the SUBNWS option is not used.   </w:t>
      </w:r>
    </w:p>
    <w:p w14:paraId="5F8D0678" w14:textId="63F63C75" w:rsidR="00145B07" w:rsidRPr="005A4B00" w:rsidRDefault="00145B07" w:rsidP="00145B07">
      <w:pPr>
        <w:pStyle w:val="Heading4"/>
        <w:rPr>
          <w:snapToGrid w:val="0"/>
          <w:szCs w:val="24"/>
        </w:rPr>
      </w:pPr>
      <w:bookmarkStart w:id="153" w:name="_Toc526778258"/>
      <w:r>
        <w:rPr>
          <w:snapToGrid w:val="0"/>
          <w:szCs w:val="24"/>
        </w:rPr>
        <w:t>Posted AERMET Data</w:t>
      </w:r>
      <w:bookmarkEnd w:id="153"/>
    </w:p>
    <w:p w14:paraId="1FA08843" w14:textId="25EE5F95" w:rsidR="000C650B" w:rsidRDefault="00145B07" w:rsidP="00145B07">
      <w:r>
        <w:rPr>
          <w:snapToGrid w:val="0"/>
        </w:rPr>
        <w:t xml:space="preserve">You should ask the APP </w:t>
      </w:r>
      <w:proofErr w:type="gramStart"/>
      <w:r>
        <w:rPr>
          <w:snapToGrid w:val="0"/>
        </w:rPr>
        <w:t>web-master</w:t>
      </w:r>
      <w:proofErr w:type="gramEnd"/>
      <w:r>
        <w:rPr>
          <w:snapToGrid w:val="0"/>
        </w:rPr>
        <w:t xml:space="preserve"> to post </w:t>
      </w:r>
      <w:r w:rsidR="006D26C1">
        <w:rPr>
          <w:snapToGrid w:val="0"/>
        </w:rPr>
        <w:t xml:space="preserve">the </w:t>
      </w:r>
      <w:r>
        <w:t xml:space="preserve">AERMOD-ready meteorological data that you’ve approved so that it’s available for general use.  </w:t>
      </w:r>
      <w:r w:rsidR="006D26C1">
        <w:t xml:space="preserve">You will also need to prepare a data summary sheet for each </w:t>
      </w:r>
      <w:r w:rsidR="00AB446A">
        <w:t>dataset</w:t>
      </w:r>
      <w:r w:rsidR="006D26C1">
        <w:t xml:space="preserve"> that summarizes where the data came from, who processed it, and the AERMET version used to process the data</w:t>
      </w:r>
      <w:r w:rsidR="000C650B">
        <w:t>.  S</w:t>
      </w:r>
      <w:r w:rsidR="006D26C1">
        <w:t xml:space="preserve">ee the previously posted </w:t>
      </w:r>
      <w:r w:rsidR="00AB446A">
        <w:t>dataset</w:t>
      </w:r>
      <w:r w:rsidR="006D26C1">
        <w:t>s and summaries at</w:t>
      </w:r>
      <w:r>
        <w:t xml:space="preserve"> </w:t>
      </w:r>
      <w:hyperlink r:id="rId87" w:history="1">
        <w:r w:rsidR="008E2504">
          <w:rPr>
            <w:rStyle w:val="Hyperlink"/>
          </w:rPr>
          <w:t>http://dec.alaska.gov/air/air-permit/aeromod-met-data/</w:t>
        </w:r>
      </w:hyperlink>
      <w:r w:rsidR="006D26C1">
        <w:t xml:space="preserve"> for examples.  </w:t>
      </w:r>
    </w:p>
    <w:p w14:paraId="07D775B9" w14:textId="3832AB02" w:rsidR="000C650B" w:rsidRDefault="006D26C1" w:rsidP="00145B07">
      <w:r>
        <w:t xml:space="preserve">Keep a copy of the original data files, AERMET input/output files, and summary on the Juneau server at </w:t>
      </w:r>
      <w:hyperlink r:id="rId88" w:history="1">
        <w:r>
          <w:rPr>
            <w:rStyle w:val="Hyperlink"/>
          </w:rPr>
          <w:t>G:\AQ\PERMITS\Modeling\Approved AERMET Data</w:t>
        </w:r>
      </w:hyperlink>
      <w:r>
        <w:t xml:space="preserve"> so that the </w:t>
      </w:r>
      <w:r w:rsidR="00AB446A">
        <w:t>dataset</w:t>
      </w:r>
      <w:r>
        <w:t xml:space="preserve"> can be readily reprocessed </w:t>
      </w:r>
      <w:r w:rsidR="000C650B">
        <w:t>with a</w:t>
      </w:r>
      <w:r>
        <w:t xml:space="preserve"> subsequent version of AERMET, or accessed if there are questions.  </w:t>
      </w:r>
      <w:r w:rsidR="000C650B">
        <w:t xml:space="preserve">Replace existing </w:t>
      </w:r>
      <w:r w:rsidR="00AB446A">
        <w:t>dataset</w:t>
      </w:r>
      <w:r w:rsidR="000C650B">
        <w:t xml:space="preserve">s/summaries with reprocessed/updated </w:t>
      </w:r>
      <w:r w:rsidR="00AB446A">
        <w:t>dataset</w:t>
      </w:r>
      <w:r w:rsidR="000C650B">
        <w:t xml:space="preserve">s, when warranted.  </w:t>
      </w:r>
    </w:p>
    <w:p w14:paraId="06081415" w14:textId="707C4705" w:rsidR="00D20648" w:rsidRPr="00D20648" w:rsidRDefault="000C650B" w:rsidP="00D20648">
      <w:pPr>
        <w:rPr>
          <w:snapToGrid w:val="0"/>
        </w:rPr>
      </w:pPr>
      <w:r>
        <w:t>Applicants who use posted AERMOD-ready meteorological data do not need to provide the quality assurance information previously used to approve the data</w:t>
      </w:r>
      <w:r w:rsidR="0066671E">
        <w:t xml:space="preserve"> or</w:t>
      </w:r>
      <w:r>
        <w:t xml:space="preserve"> the supporting AERMET files</w:t>
      </w:r>
      <w:r w:rsidR="0066671E">
        <w:t>.</w:t>
      </w:r>
      <w:r>
        <w:t xml:space="preserve">  </w:t>
      </w:r>
      <w:r w:rsidR="0066671E">
        <w:t xml:space="preserve">They likewise do not generally need to re-justify the surface characteristics or AERMET settings used to process the meteorological data.  </w:t>
      </w:r>
      <w:r w:rsidRPr="0066671E">
        <w:rPr>
          <w:b/>
          <w:i/>
        </w:rPr>
        <w:t>However, the</w:t>
      </w:r>
      <w:r w:rsidR="00C71E72">
        <w:rPr>
          <w:b/>
          <w:i/>
        </w:rPr>
        <w:t xml:space="preserve"> applicant needs </w:t>
      </w:r>
      <w:r w:rsidRPr="0066671E">
        <w:rPr>
          <w:b/>
          <w:i/>
        </w:rPr>
        <w:t xml:space="preserve">to demonstrate to your satisfaction that the </w:t>
      </w:r>
      <w:r w:rsidR="00C71E72">
        <w:rPr>
          <w:b/>
          <w:i/>
        </w:rPr>
        <w:t xml:space="preserve">meteorological </w:t>
      </w:r>
      <w:r w:rsidRPr="0066671E">
        <w:rPr>
          <w:b/>
          <w:i/>
        </w:rPr>
        <w:t>data are representative of the transport conditions at their stationary source</w:t>
      </w:r>
      <w:r>
        <w:t xml:space="preserve">. </w:t>
      </w:r>
      <w:r w:rsidR="0066671E">
        <w:t xml:space="preserve"> Applicants may also need to reprocess the meteorological data if EPA has released an updated version of AERMET (or an AERMET preprocessor), or if EPA has released substantive revisions to an underlying guidance, or if there has been major development in the area that has likely changed the surface characteristics.  In all cases, the presence of posted data does not mean that it’s pre-approved for a </w:t>
      </w:r>
      <w:proofErr w:type="gramStart"/>
      <w:r w:rsidR="0066671E">
        <w:t>stationary sources</w:t>
      </w:r>
      <w:proofErr w:type="gramEnd"/>
      <w:r w:rsidR="0066671E">
        <w:t xml:space="preserve">.  APP is posting previously processed AERMET data as a convenience, not as a default. </w:t>
      </w:r>
    </w:p>
    <w:p w14:paraId="6E1D697A" w14:textId="77777777" w:rsidR="00D20648" w:rsidRDefault="00D20648" w:rsidP="00D20648">
      <w:pPr>
        <w:pStyle w:val="Heading4"/>
        <w:rPr>
          <w:snapToGrid w:val="0"/>
        </w:rPr>
      </w:pPr>
      <w:bookmarkStart w:id="154" w:name="_Toc526778259"/>
      <w:r>
        <w:rPr>
          <w:snapToGrid w:val="0"/>
        </w:rPr>
        <w:lastRenderedPageBreak/>
        <w:t>Meteorology and Model Runs</w:t>
      </w:r>
      <w:bookmarkEnd w:id="154"/>
    </w:p>
    <w:p w14:paraId="796450E6" w14:textId="77777777" w:rsidR="00D20648" w:rsidRDefault="00D20648" w:rsidP="00D20648">
      <w:r>
        <w:t>Once the meteorological data are ready for use in AERMOD, there are still things to check.  The first is the “PROFBASE” keyword on the ME pathway in AERMOD.  This keyword requires at a minimum one parameter – the base elevation (above mean sea level) of the surface station.  This value is used to develop the potential temperature profile (from the surface to 4,000 meters) that AERMOD generates each hour to use in its calculations.  An optional parameter is the units of the base elevation.  Valid values are METERS or FEET, with METERS the default units.</w:t>
      </w:r>
    </w:p>
    <w:p w14:paraId="53D44DD0" w14:textId="188070D5" w:rsidR="00D20648" w:rsidRDefault="00D20648" w:rsidP="00D20648">
      <w:pPr>
        <w:rPr>
          <w:snapToGrid w:val="0"/>
          <w:lang w:val="it-IT"/>
        </w:rPr>
      </w:pPr>
      <w:r>
        <w:t xml:space="preserve">Once the AERMOD run is complete, the output file (AERMOD.OUT) should be reviewed for warning messages </w:t>
      </w:r>
      <w:proofErr w:type="gramStart"/>
      <w:r>
        <w:t>with regard to</w:t>
      </w:r>
      <w:proofErr w:type="gramEnd"/>
      <w:r>
        <w:t xml:space="preserve"> the meteorology.  AERMOD will write various messages to this file if the values for various parameters (e.g., the wind speed, ambient temperature, and friction velocity) are out of range.  Other parts of the output file should also be reviewed for other processing information, such as the number of calm wind conditions is reported.  These messages and information may be an indication that there is an error in the meteorological data or that it did not run as intended. If true, then the modeling analysis may need to be rejected.</w:t>
      </w:r>
      <w:r w:rsidR="00AD5C0A">
        <w:rPr>
          <w:snapToGrid w:val="0"/>
          <w:lang w:val="it-IT"/>
        </w:rPr>
        <w:tab/>
      </w:r>
    </w:p>
    <w:p w14:paraId="720BAEEA" w14:textId="12BA096B" w:rsidR="00F93421" w:rsidRDefault="00F93421" w:rsidP="00F93421">
      <w:pPr>
        <w:pStyle w:val="Heading3"/>
        <w:rPr>
          <w:snapToGrid w:val="0"/>
          <w:lang w:val="it-IT"/>
        </w:rPr>
      </w:pPr>
      <w:bookmarkStart w:id="155" w:name="_Toc526778260"/>
      <w:r>
        <w:rPr>
          <w:snapToGrid w:val="0"/>
          <w:lang w:val="it-IT"/>
        </w:rPr>
        <w:t>CALMET</w:t>
      </w:r>
      <w:bookmarkEnd w:id="155"/>
    </w:p>
    <w:p w14:paraId="454238D3" w14:textId="147A6C30" w:rsidR="00F93421" w:rsidRDefault="00F93421" w:rsidP="00F93421">
      <w:pPr>
        <w:rPr>
          <w:snapToGrid w:val="0"/>
          <w:lang w:val="it-IT"/>
        </w:rPr>
      </w:pPr>
      <w:r>
        <w:rPr>
          <w:snapToGrid w:val="0"/>
          <w:lang w:val="it-IT"/>
        </w:rPr>
        <w:t>Using hourly meteorological observations, terrain information,</w:t>
      </w:r>
      <w:r w:rsidRPr="008F505D">
        <w:rPr>
          <w:snapToGrid w:val="0"/>
          <w:lang w:val="it-IT"/>
        </w:rPr>
        <w:t xml:space="preserve"> and land use data</w:t>
      </w:r>
      <w:r>
        <w:rPr>
          <w:snapToGrid w:val="0"/>
          <w:lang w:val="it-IT"/>
        </w:rPr>
        <w:t>,</w:t>
      </w:r>
      <w:r>
        <w:rPr>
          <w:snapToGrid w:val="0"/>
        </w:rPr>
        <w:t xml:space="preserve"> </w:t>
      </w:r>
      <w:hyperlink r:id="rId89" w:history="1">
        <w:r w:rsidRPr="005455CF">
          <w:rPr>
            <w:rStyle w:val="Hyperlink"/>
            <w:snapToGrid w:val="0"/>
          </w:rPr>
          <w:t>CALMET</w:t>
        </w:r>
      </w:hyperlink>
      <w:r>
        <w:rPr>
          <w:snapToGrid w:val="0"/>
        </w:rPr>
        <w:t xml:space="preserve"> </w:t>
      </w:r>
      <w:r>
        <w:rPr>
          <w:snapToGrid w:val="0"/>
          <w:lang w:val="it-IT"/>
        </w:rPr>
        <w:t xml:space="preserve">develops 3-dimensional fields of winds and temperature, and 2­dimensionsal fields of several other parameters.  </w:t>
      </w:r>
    </w:p>
    <w:p w14:paraId="188ACD32" w14:textId="77777777" w:rsidR="00F93421" w:rsidRDefault="00F93421" w:rsidP="00F93421">
      <w:pPr>
        <w:rPr>
          <w:snapToGrid w:val="0"/>
          <w:lang w:val="it-IT"/>
        </w:rPr>
      </w:pPr>
      <w:r>
        <w:rPr>
          <w:snapToGrid w:val="0"/>
          <w:lang w:val="it-IT"/>
        </w:rPr>
        <w:t>Prior to running CALMET, the user might need to run several other “pre” pre-processors that operate on data that is provided to CALMET.  An example of this is SMERGE, a program that merges two or more hourly surface observation files (usually NWS) into a single file.  Another program is MAKEGEO that combines terrain and land use data to create a file of geopysical inputs for CALMET.  The input to MAKEGEO, in turn, requires running several additional programs.</w:t>
      </w:r>
    </w:p>
    <w:p w14:paraId="26A7129E" w14:textId="06731618" w:rsidR="00F93421" w:rsidRDefault="00F93421" w:rsidP="00F93421">
      <w:pPr>
        <w:rPr>
          <w:snapToGrid w:val="0"/>
          <w:lang w:val="it-IT"/>
        </w:rPr>
      </w:pPr>
      <w:r>
        <w:rPr>
          <w:snapToGrid w:val="0"/>
          <w:lang w:val="it-IT"/>
        </w:rPr>
        <w:t xml:space="preserve">Running CALMET also requires understanding of all the available processing options and parameter requirements and the consequences of setting each option and data parameter.  This is no small task as a CALMET input control file has nine different groupings of options and data parameter requirements.  The user must also realize that the magnitude of the resulting output file can easily be several gigabytes, depending on the size of the modeling domain, and </w:t>
      </w:r>
      <w:r w:rsidR="009C5589">
        <w:rPr>
          <w:snapToGrid w:val="0"/>
          <w:lang w:val="it-IT"/>
        </w:rPr>
        <w:t xml:space="preserve">that the output </w:t>
      </w:r>
      <w:r>
        <w:rPr>
          <w:snapToGrid w:val="0"/>
          <w:lang w:val="it-IT"/>
        </w:rPr>
        <w:t>is not an ASCII file that is easily opened with a text editor.</w:t>
      </w:r>
    </w:p>
    <w:p w14:paraId="7281F523" w14:textId="77777777" w:rsidR="00F93421" w:rsidRDefault="00F93421" w:rsidP="00F93421">
      <w:pPr>
        <w:rPr>
          <w:snapToGrid w:val="0"/>
          <w:lang w:val="it-IT"/>
        </w:rPr>
      </w:pPr>
      <w:r>
        <w:rPr>
          <w:snapToGrid w:val="0"/>
          <w:lang w:val="it-IT"/>
        </w:rPr>
        <w:t xml:space="preserve">It is well beyond the scope of this manual to discuss the various programs and input options.  Refer to the </w:t>
      </w:r>
      <w:r>
        <w:fldChar w:fldCharType="begin"/>
      </w:r>
      <w:r>
        <w:instrText>HYPERLINK "http://www.src.com/calpuff/download/CALMET_UsersGuide.pdf"</w:instrText>
      </w:r>
      <w:r>
        <w:fldChar w:fldCharType="separate"/>
      </w:r>
      <w:r w:rsidRPr="005455CF">
        <w:rPr>
          <w:rStyle w:val="Hyperlink"/>
          <w:snapToGrid w:val="0"/>
          <w:lang w:val="it-IT"/>
        </w:rPr>
        <w:t>CALMET User’s Guide</w:t>
      </w:r>
      <w:r>
        <w:fldChar w:fldCharType="end"/>
      </w:r>
      <w:r>
        <w:rPr>
          <w:snapToGrid w:val="0"/>
          <w:lang w:val="it-IT"/>
        </w:rPr>
        <w:t>.</w:t>
      </w:r>
    </w:p>
    <w:p w14:paraId="7C812CF5" w14:textId="1F197F4A" w:rsidR="00066711" w:rsidRDefault="00AD5C0A" w:rsidP="00066711">
      <w:pPr>
        <w:pStyle w:val="Heading3"/>
        <w:rPr>
          <w:snapToGrid w:val="0"/>
          <w:lang w:val="it-IT"/>
        </w:rPr>
      </w:pPr>
      <w:bookmarkStart w:id="156" w:name="_Toc43521228"/>
      <w:r w:rsidRPr="00916B40">
        <w:rPr>
          <w:snapToGrid w:val="0"/>
        </w:rPr>
        <w:tab/>
      </w:r>
      <w:bookmarkStart w:id="157" w:name="_Ref490039849"/>
      <w:bookmarkStart w:id="158" w:name="_Toc526778261"/>
      <w:bookmarkEnd w:id="156"/>
      <w:r w:rsidR="00066711">
        <w:rPr>
          <w:snapToGrid w:val="0"/>
          <w:lang w:val="it-IT"/>
        </w:rPr>
        <w:t>MMIF</w:t>
      </w:r>
      <w:bookmarkEnd w:id="157"/>
      <w:bookmarkEnd w:id="158"/>
    </w:p>
    <w:p w14:paraId="57C6B498" w14:textId="325CDEC5" w:rsidR="00E25D9E" w:rsidRDefault="000B41A0" w:rsidP="004935D0">
      <w:pPr>
        <w:spacing w:after="0"/>
        <w:rPr>
          <w:snapToGrid w:val="0"/>
          <w:lang w:val="it-IT"/>
        </w:rPr>
      </w:pPr>
      <w:r>
        <w:rPr>
          <w:snapToGrid w:val="0"/>
          <w:lang w:val="it-IT"/>
        </w:rPr>
        <w:t xml:space="preserve">As previously discussed, </w:t>
      </w:r>
      <w:r>
        <w:rPr>
          <w:snapToGrid w:val="0"/>
        </w:rPr>
        <w:t xml:space="preserve">the </w:t>
      </w:r>
      <w:r w:rsidRPr="00C7632C">
        <w:rPr>
          <w:snapToGrid w:val="0"/>
        </w:rPr>
        <w:t>Mesoscale Model Inter</w:t>
      </w:r>
      <w:r w:rsidR="00C7632C" w:rsidRPr="00C7632C">
        <w:rPr>
          <w:snapToGrid w:val="0"/>
        </w:rPr>
        <w:t>f</w:t>
      </w:r>
      <w:r w:rsidRPr="00C7632C">
        <w:rPr>
          <w:snapToGrid w:val="0"/>
        </w:rPr>
        <w:t>ace</w:t>
      </w:r>
      <w:r w:rsidR="00C7632C" w:rsidRPr="00C7632C">
        <w:rPr>
          <w:snapToGrid w:val="0"/>
        </w:rPr>
        <w:t xml:space="preserve"> Program</w:t>
      </w:r>
      <w:r>
        <w:rPr>
          <w:snapToGrid w:val="0"/>
        </w:rPr>
        <w:t xml:space="preserve"> (MMIF) is used to extract meteorological parameters for a given location </w:t>
      </w:r>
      <w:r w:rsidR="005929D4">
        <w:rPr>
          <w:snapToGrid w:val="0"/>
        </w:rPr>
        <w:t>f</w:t>
      </w:r>
      <w:r>
        <w:rPr>
          <w:snapToGrid w:val="0"/>
        </w:rPr>
        <w:t xml:space="preserve">rom a prognostic meteorological dataset.  </w:t>
      </w:r>
      <w:r w:rsidR="004935D0">
        <w:rPr>
          <w:snapToGrid w:val="0"/>
          <w:lang w:val="it-IT"/>
        </w:rPr>
        <w:t xml:space="preserve">Section 8.4.5.2(b) of the </w:t>
      </w:r>
      <w:r w:rsidR="004935D0" w:rsidRPr="00196955">
        <w:rPr>
          <w:snapToGrid w:val="0"/>
          <w:lang w:val="it-IT"/>
        </w:rPr>
        <w:t>Guideline</w:t>
      </w:r>
      <w:r>
        <w:rPr>
          <w:snapToGrid w:val="0"/>
          <w:lang w:val="it-IT"/>
        </w:rPr>
        <w:t xml:space="preserve"> describes how the grid cell should be selected when using MMIF for a regulatory AERMOD analysis</w:t>
      </w:r>
      <w:r w:rsidR="004935D0">
        <w:rPr>
          <w:snapToGrid w:val="0"/>
          <w:lang w:val="it-IT"/>
        </w:rPr>
        <w:t xml:space="preserve">. </w:t>
      </w:r>
      <w:r w:rsidR="00654E19">
        <w:rPr>
          <w:snapToGrid w:val="0"/>
          <w:lang w:val="it-IT"/>
        </w:rPr>
        <w:t xml:space="preserve"> </w:t>
      </w:r>
      <w:r w:rsidR="00AA2028">
        <w:rPr>
          <w:snapToGrid w:val="0"/>
          <w:lang w:val="it-IT"/>
        </w:rPr>
        <w:t>Additional guidance may also be found in the EPA document</w:t>
      </w:r>
      <w:r w:rsidR="00315C2A">
        <w:rPr>
          <w:snapToGrid w:val="0"/>
          <w:lang w:val="it-IT"/>
        </w:rPr>
        <w:t>s</w:t>
      </w:r>
      <w:r w:rsidR="00AA2028">
        <w:rPr>
          <w:snapToGrid w:val="0"/>
          <w:lang w:val="it-IT"/>
        </w:rPr>
        <w:t xml:space="preserve">, </w:t>
      </w:r>
      <w:r w:rsidR="00AA2028" w:rsidRPr="00AA2028">
        <w:rPr>
          <w:i/>
          <w:snapToGrid w:val="0"/>
          <w:lang w:val="it-IT"/>
        </w:rPr>
        <w:t xml:space="preserve">Guidance on the Use of Mesoscal Model Interface </w:t>
      </w:r>
      <w:r w:rsidR="00AA2028" w:rsidRPr="00AA2028">
        <w:rPr>
          <w:i/>
          <w:snapToGrid w:val="0"/>
          <w:lang w:val="it-IT"/>
        </w:rPr>
        <w:lastRenderedPageBreak/>
        <w:t>Program (MMIF) for AERMOD Applications</w:t>
      </w:r>
      <w:r w:rsidR="00315C2A">
        <w:rPr>
          <w:snapToGrid w:val="0"/>
          <w:lang w:val="it-IT"/>
        </w:rPr>
        <w:t>,</w:t>
      </w:r>
      <w:r w:rsidR="009B0868">
        <w:rPr>
          <w:rStyle w:val="FootnoteReference"/>
          <w:snapToGrid w:val="0"/>
          <w:lang w:val="it-IT"/>
        </w:rPr>
        <w:footnoteReference w:id="56"/>
      </w:r>
      <w:r w:rsidR="00654E19">
        <w:rPr>
          <w:snapToGrid w:val="0"/>
          <w:lang w:val="it-IT"/>
        </w:rPr>
        <w:t xml:space="preserve"> </w:t>
      </w:r>
      <w:r w:rsidR="00315C2A">
        <w:rPr>
          <w:snapToGrid w:val="0"/>
          <w:lang w:val="it-IT"/>
        </w:rPr>
        <w:t xml:space="preserve">and </w:t>
      </w:r>
      <w:r w:rsidR="00315C2A" w:rsidRPr="00315C2A">
        <w:rPr>
          <w:i/>
          <w:snapToGrid w:val="0"/>
          <w:lang w:val="it-IT"/>
        </w:rPr>
        <w:t>Evaluation of Prognostic Meteorological Data in AERMOD Applications</w:t>
      </w:r>
      <w:r w:rsidR="00315C2A">
        <w:rPr>
          <w:snapToGrid w:val="0"/>
          <w:lang w:val="it-IT"/>
        </w:rPr>
        <w:t>.</w:t>
      </w:r>
      <w:r w:rsidR="00315C2A">
        <w:rPr>
          <w:rStyle w:val="FootnoteReference"/>
          <w:snapToGrid w:val="0"/>
          <w:lang w:val="it-IT"/>
        </w:rPr>
        <w:footnoteReference w:id="57"/>
      </w:r>
      <w:r w:rsidR="00AA2028">
        <w:rPr>
          <w:snapToGrid w:val="0"/>
          <w:lang w:val="it-IT"/>
        </w:rPr>
        <w:t xml:space="preserve"> </w:t>
      </w:r>
      <w:r w:rsidR="00EF35B3">
        <w:rPr>
          <w:snapToGrid w:val="0"/>
          <w:lang w:val="it-IT"/>
        </w:rPr>
        <w:t xml:space="preserve"> </w:t>
      </w:r>
      <w:r w:rsidR="00AA2028">
        <w:rPr>
          <w:snapToGrid w:val="0"/>
          <w:lang w:val="it-IT"/>
        </w:rPr>
        <w:t>The MMIF User’s Guide</w:t>
      </w:r>
      <w:r>
        <w:rPr>
          <w:snapToGrid w:val="0"/>
          <w:lang w:val="it-IT"/>
        </w:rPr>
        <w:t>, which was developed by Ramboll Environ US Corporation,</w:t>
      </w:r>
      <w:r w:rsidR="00AA2028">
        <w:rPr>
          <w:snapToGrid w:val="0"/>
          <w:lang w:val="it-IT"/>
        </w:rPr>
        <w:t xml:space="preserve"> </w:t>
      </w:r>
      <w:r w:rsidR="00081E6B">
        <w:rPr>
          <w:snapToGrid w:val="0"/>
          <w:lang w:val="it-IT"/>
        </w:rPr>
        <w:t xml:space="preserve">describes the various options and techniques for running the </w:t>
      </w:r>
      <w:r w:rsidR="009B0868">
        <w:rPr>
          <w:snapToGrid w:val="0"/>
          <w:lang w:val="it-IT"/>
        </w:rPr>
        <w:t>MMIF program.</w:t>
      </w:r>
      <w:r w:rsidR="00C609F4">
        <w:rPr>
          <w:rStyle w:val="FootnoteReference"/>
          <w:snapToGrid w:val="0"/>
          <w:lang w:val="it-IT"/>
        </w:rPr>
        <w:footnoteReference w:id="58"/>
      </w:r>
      <w:r w:rsidR="009B0868">
        <w:rPr>
          <w:snapToGrid w:val="0"/>
          <w:lang w:val="it-IT"/>
        </w:rPr>
        <w:t xml:space="preserve"> </w:t>
      </w:r>
      <w:r w:rsidR="00654E19">
        <w:rPr>
          <w:snapToGrid w:val="0"/>
          <w:lang w:val="it-IT"/>
        </w:rPr>
        <w:t xml:space="preserve"> </w:t>
      </w:r>
    </w:p>
    <w:p w14:paraId="4273D352" w14:textId="77777777" w:rsidR="00EF35B3" w:rsidRDefault="00EF35B3" w:rsidP="004935D0">
      <w:pPr>
        <w:spacing w:after="0"/>
        <w:rPr>
          <w:snapToGrid w:val="0"/>
          <w:lang w:val="it-IT"/>
        </w:rPr>
      </w:pPr>
    </w:p>
    <w:p w14:paraId="707EBDBD" w14:textId="3C69BE98" w:rsidR="00EF35B3" w:rsidRDefault="00EF35B3" w:rsidP="004935D0">
      <w:pPr>
        <w:spacing w:after="0"/>
      </w:pPr>
      <w:r>
        <w:rPr>
          <w:snapToGrid w:val="0"/>
          <w:lang w:val="it-IT"/>
        </w:rPr>
        <w:t>R10 highlighted in an April 26, 2018 email</w:t>
      </w:r>
      <w:r w:rsidR="00AE38A4">
        <w:rPr>
          <w:rStyle w:val="FootnoteReference"/>
          <w:snapToGrid w:val="0"/>
          <w:lang w:val="it-IT"/>
        </w:rPr>
        <w:footnoteReference w:id="59"/>
      </w:r>
      <w:r>
        <w:rPr>
          <w:snapToGrid w:val="0"/>
          <w:lang w:val="it-IT"/>
        </w:rPr>
        <w:t xml:space="preserve"> that their MMIF guidance “has been updated to recommend that t</w:t>
      </w:r>
      <w:r w:rsidR="00AE38A4">
        <w:rPr>
          <w:snapToGrid w:val="0"/>
          <w:lang w:val="it-IT"/>
        </w:rPr>
        <w:t>he</w:t>
      </w:r>
      <w:r>
        <w:rPr>
          <w:snapToGrid w:val="0"/>
          <w:lang w:val="it-IT"/>
        </w:rPr>
        <w:t xml:space="preserve"> minimum wind speed (MMIF keyword AER_MIN_SPEED) from MMIF to AERMET or AERMOD is now </w:t>
      </w:r>
      <w:r w:rsidRPr="00EF35B3">
        <w:rPr>
          <w:b/>
          <w:snapToGrid w:val="0"/>
          <w:lang w:val="it-IT"/>
        </w:rPr>
        <w:t>0 m/s</w:t>
      </w:r>
      <w:r>
        <w:rPr>
          <w:snapToGrid w:val="0"/>
          <w:lang w:val="it-IT"/>
        </w:rPr>
        <w:t xml:space="preserve"> because prognostic data has no starting threshold as found with anemometers.”  The update may be found in Section 3.4 (Treatment of low winds) of </w:t>
      </w:r>
      <w:r w:rsidRPr="00AA2028">
        <w:rPr>
          <w:i/>
          <w:snapToGrid w:val="0"/>
          <w:lang w:val="it-IT"/>
        </w:rPr>
        <w:t>Guidance on the Use of Mesoscal Model Interface Program (MMIF) for AERMOD Applications</w:t>
      </w:r>
      <w:r>
        <w:rPr>
          <w:snapToGrid w:val="0"/>
          <w:lang w:val="it-IT"/>
        </w:rPr>
        <w:t xml:space="preserve">. </w:t>
      </w:r>
    </w:p>
    <w:p w14:paraId="7D0B0A73" w14:textId="3BB72D3F" w:rsidR="00E25D9E" w:rsidRDefault="00E25D9E">
      <w:pPr>
        <w:spacing w:after="0"/>
      </w:pPr>
      <w:r>
        <w:br w:type="page"/>
      </w:r>
    </w:p>
    <w:p w14:paraId="2B9CD8D0" w14:textId="2508D22F" w:rsidR="009A01E5" w:rsidRDefault="00AD5C0A" w:rsidP="000958CC">
      <w:pPr>
        <w:pStyle w:val="Heading2"/>
        <w:rPr>
          <w:snapToGrid w:val="0"/>
        </w:rPr>
      </w:pPr>
      <w:bookmarkStart w:id="159" w:name="EmissionUnitData"/>
      <w:r>
        <w:rPr>
          <w:snapToGrid w:val="0"/>
        </w:rPr>
        <w:lastRenderedPageBreak/>
        <w:tab/>
      </w:r>
      <w:bookmarkStart w:id="160" w:name="_Toc526778262"/>
      <w:r w:rsidR="009A01E5">
        <w:rPr>
          <w:snapToGrid w:val="0"/>
        </w:rPr>
        <w:t xml:space="preserve">Emissions and </w:t>
      </w:r>
      <w:r w:rsidR="00F93421">
        <w:rPr>
          <w:snapToGrid w:val="0"/>
        </w:rPr>
        <w:t>E</w:t>
      </w:r>
      <w:r w:rsidR="00280CA0">
        <w:rPr>
          <w:snapToGrid w:val="0"/>
        </w:rPr>
        <w:t>U Characterization</w:t>
      </w:r>
      <w:bookmarkEnd w:id="159"/>
      <w:bookmarkEnd w:id="160"/>
    </w:p>
    <w:p w14:paraId="3B3660EE" w14:textId="17F7FD04" w:rsidR="003E7867" w:rsidRDefault="009A01E5">
      <w:r>
        <w:t xml:space="preserve">This section provides general information on </w:t>
      </w:r>
      <w:r w:rsidR="00280CA0">
        <w:t xml:space="preserve">the </w:t>
      </w:r>
      <w:r>
        <w:t xml:space="preserve">common types of </w:t>
      </w:r>
      <w:r w:rsidR="00280CA0">
        <w:t>EUs</w:t>
      </w:r>
      <w:r>
        <w:t xml:space="preserve"> in Alaska and helpful tips for reviewing the emission rates and release characteristics</w:t>
      </w:r>
      <w:r w:rsidR="00280CA0">
        <w:t xml:space="preserve"> for these EUs</w:t>
      </w:r>
      <w:r>
        <w:t xml:space="preserve">.  </w:t>
      </w:r>
      <w:r w:rsidR="00D81DD4">
        <w:t xml:space="preserve">Section </w:t>
      </w:r>
      <w:r w:rsidR="00537C61">
        <w:fldChar w:fldCharType="begin"/>
      </w:r>
      <w:r w:rsidR="00537C61">
        <w:instrText xml:space="preserve"> REF _Ref439919706 \w \h </w:instrText>
      </w:r>
      <w:r w:rsidR="00537C61">
        <w:fldChar w:fldCharType="separate"/>
      </w:r>
      <w:r w:rsidR="00135FFD">
        <w:t>2.7.1</w:t>
      </w:r>
      <w:r w:rsidR="00537C61">
        <w:fldChar w:fldCharType="end"/>
      </w:r>
      <w:r w:rsidR="00D81DD4">
        <w:t xml:space="preserve"> provides </w:t>
      </w:r>
      <w:r w:rsidR="003E7867">
        <w:t xml:space="preserve">general information regarding </w:t>
      </w:r>
      <w:r w:rsidR="00D81DD4">
        <w:t>emission</w:t>
      </w:r>
      <w:r w:rsidR="003E7867">
        <w:t xml:space="preserve"> rate</w:t>
      </w:r>
      <w:r w:rsidR="00D81DD4">
        <w:t xml:space="preserve">s and </w:t>
      </w:r>
      <w:r w:rsidR="00280CA0">
        <w:t xml:space="preserve">release </w:t>
      </w:r>
      <w:r w:rsidR="003E7867">
        <w:t xml:space="preserve">parameters.  Section </w:t>
      </w:r>
      <w:r w:rsidR="00537C61">
        <w:fldChar w:fldCharType="begin"/>
      </w:r>
      <w:r w:rsidR="00537C61">
        <w:instrText xml:space="preserve"> REF _Ref439919721 \w \h </w:instrText>
      </w:r>
      <w:r w:rsidR="00537C61">
        <w:fldChar w:fldCharType="separate"/>
      </w:r>
      <w:r w:rsidR="00135FFD">
        <w:t>2.7.2</w:t>
      </w:r>
      <w:r w:rsidR="00537C61">
        <w:fldChar w:fldCharType="end"/>
      </w:r>
      <w:r w:rsidR="003E7867">
        <w:t xml:space="preserve"> provides </w:t>
      </w:r>
      <w:r w:rsidR="00280CA0">
        <w:t xml:space="preserve">more </w:t>
      </w:r>
      <w:r w:rsidR="00F11851">
        <w:t xml:space="preserve">detailed </w:t>
      </w:r>
      <w:r w:rsidR="003E7867">
        <w:t xml:space="preserve">information regarding </w:t>
      </w:r>
      <w:r w:rsidR="00F11851">
        <w:t>various</w:t>
      </w:r>
      <w:r w:rsidR="003E7867">
        <w:t xml:space="preserve"> types of </w:t>
      </w:r>
      <w:r w:rsidR="00280CA0">
        <w:t>EUs</w:t>
      </w:r>
      <w:r w:rsidR="003E7867">
        <w:t xml:space="preserve">.  </w:t>
      </w:r>
      <w:r w:rsidR="007614F7">
        <w:t xml:space="preserve">Sections </w:t>
      </w:r>
      <w:r w:rsidR="004C3248">
        <w:fldChar w:fldCharType="begin"/>
      </w:r>
      <w:r w:rsidR="004C3248">
        <w:instrText xml:space="preserve"> REF _Ref482280237 \w \h </w:instrText>
      </w:r>
      <w:r w:rsidR="004C3248">
        <w:fldChar w:fldCharType="separate"/>
      </w:r>
      <w:r w:rsidR="00135FFD">
        <w:t>2.7.3</w:t>
      </w:r>
      <w:r w:rsidR="004C3248">
        <w:fldChar w:fldCharType="end"/>
      </w:r>
      <w:r w:rsidR="007614F7">
        <w:t xml:space="preserve"> through </w:t>
      </w:r>
      <w:r w:rsidR="005278FA">
        <w:fldChar w:fldCharType="begin"/>
      </w:r>
      <w:r w:rsidR="005278FA">
        <w:instrText xml:space="preserve"> REF _Ref439926420 \w \h </w:instrText>
      </w:r>
      <w:r w:rsidR="005278FA">
        <w:fldChar w:fldCharType="separate"/>
      </w:r>
      <w:r w:rsidR="00135FFD">
        <w:t>2.7.8</w:t>
      </w:r>
      <w:r w:rsidR="005278FA">
        <w:fldChar w:fldCharType="end"/>
      </w:r>
      <w:r w:rsidR="007614F7">
        <w:t xml:space="preserve"> provide additional comments regarding operating scenarios, </w:t>
      </w:r>
      <w:r w:rsidR="00363B2D">
        <w:t xml:space="preserve">small EUs, </w:t>
      </w:r>
      <w:r w:rsidR="007614F7">
        <w:t xml:space="preserve">part load assessments, </w:t>
      </w:r>
      <w:r w:rsidR="00D27BD8">
        <w:t>temporary construction activities</w:t>
      </w:r>
      <w:r w:rsidR="00280CA0">
        <w:t xml:space="preserve">, </w:t>
      </w:r>
      <w:r w:rsidR="00363B2D">
        <w:t>the baseline EUs used in an increment analysis</w:t>
      </w:r>
      <w:r w:rsidR="00280CA0">
        <w:t>,</w:t>
      </w:r>
      <w:r w:rsidR="005C59FF">
        <w:t xml:space="preserve"> </w:t>
      </w:r>
      <w:r w:rsidR="007614F7">
        <w:t>and source groups.</w:t>
      </w:r>
      <w:r w:rsidR="00A05E3C">
        <w:t xml:space="preserve"> </w:t>
      </w:r>
    </w:p>
    <w:p w14:paraId="30315B3C" w14:textId="37CC56F1" w:rsidR="003E7867" w:rsidRDefault="003E7867" w:rsidP="00E255C0">
      <w:pPr>
        <w:pStyle w:val="Heading3"/>
        <w:rPr>
          <w:snapToGrid w:val="0"/>
        </w:rPr>
      </w:pPr>
      <w:bookmarkStart w:id="161" w:name="_Emission_Rates_and"/>
      <w:bookmarkStart w:id="162" w:name="_Ref439919706"/>
      <w:bookmarkStart w:id="163" w:name="_Toc526778263"/>
      <w:bookmarkEnd w:id="161"/>
      <w:r>
        <w:rPr>
          <w:snapToGrid w:val="0"/>
        </w:rPr>
        <w:t xml:space="preserve">Emission Rates </w:t>
      </w:r>
      <w:r w:rsidR="005F519B">
        <w:rPr>
          <w:snapToGrid w:val="0"/>
        </w:rPr>
        <w:t xml:space="preserve">and </w:t>
      </w:r>
      <w:r w:rsidR="005631BF">
        <w:rPr>
          <w:snapToGrid w:val="0"/>
        </w:rPr>
        <w:t>Release</w:t>
      </w:r>
      <w:r>
        <w:rPr>
          <w:snapToGrid w:val="0"/>
        </w:rPr>
        <w:t xml:space="preserve"> Parameters</w:t>
      </w:r>
      <w:bookmarkEnd w:id="162"/>
      <w:bookmarkEnd w:id="163"/>
      <w:r>
        <w:rPr>
          <w:snapToGrid w:val="0"/>
        </w:rPr>
        <w:t xml:space="preserve"> </w:t>
      </w:r>
    </w:p>
    <w:p w14:paraId="1DCFB1E5" w14:textId="7130E010" w:rsidR="009633F4" w:rsidRDefault="003E7867" w:rsidP="003E7867">
      <w:pPr>
        <w:rPr>
          <w:snapToGrid w:val="0"/>
        </w:rPr>
      </w:pPr>
      <w:r>
        <w:t xml:space="preserve">Use of the proper emission rate is essential in air dispersion modeling.  </w:t>
      </w:r>
      <w:r>
        <w:rPr>
          <w:snapToGrid w:val="0"/>
        </w:rPr>
        <w:t>The appropriate short-term and long-term emission rates must be modeled for the corresponding short-term and long-term modeling assessments.  Often, separate modeling runs are required for pollutants with different short-term and annual average emission rates.</w:t>
      </w:r>
      <w:r w:rsidR="004F1343">
        <w:rPr>
          <w:snapToGrid w:val="0"/>
        </w:rPr>
        <w:t xml:space="preserve">  Separate</w:t>
      </w:r>
      <w:r>
        <w:rPr>
          <w:snapToGrid w:val="0"/>
        </w:rPr>
        <w:t xml:space="preserve"> </w:t>
      </w:r>
      <w:r w:rsidR="004F1343">
        <w:rPr>
          <w:snapToGrid w:val="0"/>
        </w:rPr>
        <w:t>runs may be necessary to account for the form of the standard, e.g., the 99</w:t>
      </w:r>
      <w:r w:rsidR="00C9400C" w:rsidRPr="00C9400C">
        <w:rPr>
          <w:snapToGrid w:val="0"/>
          <w:vertAlign w:val="superscript"/>
        </w:rPr>
        <w:t>th</w:t>
      </w:r>
      <w:r w:rsidR="004F1343">
        <w:rPr>
          <w:snapToGrid w:val="0"/>
        </w:rPr>
        <w:t xml:space="preserve"> percentile for </w:t>
      </w:r>
      <w:r w:rsidR="00C76EE2">
        <w:rPr>
          <w:snapToGrid w:val="0"/>
        </w:rPr>
        <w:t xml:space="preserve">the </w:t>
      </w:r>
      <w:r w:rsidR="005B519A">
        <w:rPr>
          <w:snapToGrid w:val="0"/>
        </w:rPr>
        <w:t>1</w:t>
      </w:r>
      <w:r w:rsidR="004F1343">
        <w:rPr>
          <w:snapToGrid w:val="0"/>
        </w:rPr>
        <w:t>-h</w:t>
      </w:r>
      <w:r w:rsidR="000236E0">
        <w:rPr>
          <w:snapToGrid w:val="0"/>
        </w:rPr>
        <w:t>ou</w:t>
      </w:r>
      <w:r w:rsidR="004F1343">
        <w:rPr>
          <w:snapToGrid w:val="0"/>
        </w:rPr>
        <w:t>r SO</w:t>
      </w:r>
      <w:r w:rsidR="00C9400C" w:rsidRPr="00C9400C">
        <w:rPr>
          <w:snapToGrid w:val="0"/>
          <w:vertAlign w:val="subscript"/>
        </w:rPr>
        <w:t>2</w:t>
      </w:r>
      <w:r w:rsidR="004F1343">
        <w:rPr>
          <w:snapToGrid w:val="0"/>
        </w:rPr>
        <w:t xml:space="preserve"> standard.  </w:t>
      </w:r>
    </w:p>
    <w:p w14:paraId="7085DF4A" w14:textId="3A0046B8" w:rsidR="003E7867" w:rsidRDefault="003E7867" w:rsidP="003E7867">
      <w:pPr>
        <w:rPr>
          <w:snapToGrid w:val="0"/>
        </w:rPr>
      </w:pPr>
      <w:r>
        <w:rPr>
          <w:snapToGrid w:val="0"/>
        </w:rPr>
        <w:t xml:space="preserve">Some sources may not operate continuously throughout </w:t>
      </w:r>
      <w:proofErr w:type="gramStart"/>
      <w:r>
        <w:rPr>
          <w:snapToGrid w:val="0"/>
        </w:rPr>
        <w:t>a day</w:t>
      </w:r>
      <w:proofErr w:type="gramEnd"/>
      <w:r>
        <w:rPr>
          <w:snapToGrid w:val="0"/>
        </w:rPr>
        <w:t xml:space="preserve">, or throughout the year. </w:t>
      </w:r>
      <w:r w:rsidR="005B519A">
        <w:rPr>
          <w:snapToGrid w:val="0"/>
        </w:rPr>
        <w:t xml:space="preserve"> </w:t>
      </w:r>
      <w:r>
        <w:rPr>
          <w:snapToGrid w:val="0"/>
        </w:rPr>
        <w:t xml:space="preserve">If specific times or dates of operation are known or proposed, the “emission factor option” contained in certain models such as AERMOD may be employed to specify the periods when the emission source is operating.  This may occur for sources which operate for certain hours of the day, or for certain months of the year.  </w:t>
      </w:r>
    </w:p>
    <w:p w14:paraId="5AD4198F" w14:textId="77777777" w:rsidR="003E7867" w:rsidRDefault="003E7867" w:rsidP="00407F48">
      <w:pPr>
        <w:numPr>
          <w:ilvl w:val="0"/>
          <w:numId w:val="18"/>
        </w:numPr>
      </w:pPr>
      <w:r>
        <w:rPr>
          <w:snapToGrid w:val="0"/>
        </w:rPr>
        <w:t>Ensure the modeled emission rate and applicable factors are correctly applied, and that this information is communicated to the permit engineer so that appropriate permit limits are imposed.</w:t>
      </w:r>
    </w:p>
    <w:p w14:paraId="15E57092" w14:textId="77777777" w:rsidR="003E7867" w:rsidRDefault="003E7867" w:rsidP="003E7867">
      <w:pPr>
        <w:rPr>
          <w:snapToGrid w:val="0"/>
        </w:rPr>
      </w:pPr>
      <w:r>
        <w:rPr>
          <w:snapToGrid w:val="0"/>
        </w:rPr>
        <w:t xml:space="preserve">Required source data for dispersion models will be dependent upon the source type.  Currently, models such as AERMOD can be used to represent five basic source types.  Each of these types of sources is discussed later in this section.  </w:t>
      </w:r>
    </w:p>
    <w:p w14:paraId="1E1C60EA" w14:textId="62F2869B" w:rsidR="003E7867" w:rsidRDefault="003E7867" w:rsidP="003E7867">
      <w:pPr>
        <w:rPr>
          <w:snapToGrid w:val="0"/>
        </w:rPr>
      </w:pPr>
      <w:r>
        <w:rPr>
          <w:snapToGrid w:val="0"/>
        </w:rPr>
        <w:t xml:space="preserve">The </w:t>
      </w:r>
      <w:r w:rsidR="00B539B2">
        <w:rPr>
          <w:snapToGrid w:val="0"/>
        </w:rPr>
        <w:t xml:space="preserve">applicant should </w:t>
      </w:r>
      <w:r>
        <w:rPr>
          <w:snapToGrid w:val="0"/>
        </w:rPr>
        <w:t>present the emission</w:t>
      </w:r>
      <w:r w:rsidR="00390D7E">
        <w:rPr>
          <w:snapToGrid w:val="0"/>
        </w:rPr>
        <w:t>s</w:t>
      </w:r>
      <w:r>
        <w:rPr>
          <w:snapToGrid w:val="0"/>
        </w:rPr>
        <w:t xml:space="preserve"> and </w:t>
      </w:r>
      <w:r w:rsidR="00390D7E">
        <w:rPr>
          <w:snapToGrid w:val="0"/>
        </w:rPr>
        <w:t xml:space="preserve">release </w:t>
      </w:r>
      <w:r w:rsidR="00990464">
        <w:rPr>
          <w:snapToGrid w:val="0"/>
        </w:rPr>
        <w:t xml:space="preserve">characteristics (e.g., </w:t>
      </w:r>
      <w:r>
        <w:rPr>
          <w:snapToGrid w:val="0"/>
        </w:rPr>
        <w:t>stack parameter</w:t>
      </w:r>
      <w:r w:rsidR="00990464">
        <w:rPr>
          <w:snapToGrid w:val="0"/>
        </w:rPr>
        <w:t>s)</w:t>
      </w:r>
      <w:r>
        <w:rPr>
          <w:snapToGrid w:val="0"/>
        </w:rPr>
        <w:t xml:space="preserve"> in a clear and concise format for each </w:t>
      </w:r>
      <w:r w:rsidR="00BC634A">
        <w:rPr>
          <w:snapToGrid w:val="0"/>
        </w:rPr>
        <w:t>EU</w:t>
      </w:r>
      <w:r>
        <w:rPr>
          <w:snapToGrid w:val="0"/>
        </w:rPr>
        <w:t xml:space="preserve">.  Tables or spreadsheets provide the best format for reviewing and crosschecking this information.  This is especially true when there are several identical or similar </w:t>
      </w:r>
      <w:r w:rsidR="00BC634A">
        <w:rPr>
          <w:snapToGrid w:val="0"/>
        </w:rPr>
        <w:t>EU</w:t>
      </w:r>
      <w:r>
        <w:rPr>
          <w:snapToGrid w:val="0"/>
        </w:rPr>
        <w:t xml:space="preserve">s.  Spreadsheets can also contain the emission factors and assumed operating limits used to calculate the modeled emission rates, as well as the conversion factors used to transform vendor data into the stack parameters needed by the model.  Therefore, ADEC encourages applicants to provide tables in the modeling report that compiles the emission and </w:t>
      </w:r>
      <w:r w:rsidR="00390D7E">
        <w:rPr>
          <w:snapToGrid w:val="0"/>
        </w:rPr>
        <w:t>release characteristics</w:t>
      </w:r>
      <w:r>
        <w:rPr>
          <w:snapToGrid w:val="0"/>
        </w:rPr>
        <w:t xml:space="preserve">, and to provide an electronic copy of any spreadsheet used to calculate the modeled emission rates and </w:t>
      </w:r>
      <w:r w:rsidR="00990464">
        <w:rPr>
          <w:snapToGrid w:val="0"/>
        </w:rPr>
        <w:t xml:space="preserve">release </w:t>
      </w:r>
      <w:r>
        <w:rPr>
          <w:snapToGrid w:val="0"/>
        </w:rPr>
        <w:t xml:space="preserve">parameters. </w:t>
      </w:r>
    </w:p>
    <w:p w14:paraId="41BEBC9C" w14:textId="77777777" w:rsidR="003E7867" w:rsidRDefault="003E7867" w:rsidP="00407F48">
      <w:pPr>
        <w:numPr>
          <w:ilvl w:val="0"/>
          <w:numId w:val="19"/>
        </w:numPr>
        <w:rPr>
          <w:snapToGrid w:val="0"/>
        </w:rPr>
      </w:pPr>
      <w:r>
        <w:rPr>
          <w:snapToGrid w:val="0"/>
        </w:rPr>
        <w:t>Open the model output file</w:t>
      </w:r>
      <w:r w:rsidR="004F1343">
        <w:rPr>
          <w:snapToGrid w:val="0"/>
        </w:rPr>
        <w:t>(s)</w:t>
      </w:r>
      <w:r>
        <w:rPr>
          <w:snapToGrid w:val="0"/>
        </w:rPr>
        <w:t xml:space="preserve"> and review the emission rate</w:t>
      </w:r>
      <w:r w:rsidR="004F1343">
        <w:rPr>
          <w:snapToGrid w:val="0"/>
        </w:rPr>
        <w:t>(s)</w:t>
      </w:r>
      <w:r>
        <w:rPr>
          <w:snapToGrid w:val="0"/>
        </w:rPr>
        <w:t xml:space="preserve"> and release parameters </w:t>
      </w:r>
      <w:r w:rsidR="004F1343">
        <w:rPr>
          <w:snapToGrid w:val="0"/>
        </w:rPr>
        <w:t xml:space="preserve">for each source </w:t>
      </w:r>
      <w:r>
        <w:rPr>
          <w:snapToGrid w:val="0"/>
        </w:rPr>
        <w:t>to verify consistency with the information provided in the modeling report.</w:t>
      </w:r>
    </w:p>
    <w:p w14:paraId="4D569113" w14:textId="64AD3F8D" w:rsidR="003E7867" w:rsidRDefault="003E7867" w:rsidP="003E7867">
      <w:pPr>
        <w:rPr>
          <w:snapToGrid w:val="0"/>
        </w:rPr>
      </w:pPr>
      <w:r>
        <w:rPr>
          <w:snapToGrid w:val="0"/>
        </w:rPr>
        <w:lastRenderedPageBreak/>
        <w:t xml:space="preserve">Stack tests are often used as a means of quantifying the emission rate and stack parameters from an existing </w:t>
      </w:r>
      <w:r w:rsidR="003F569C">
        <w:rPr>
          <w:snapToGrid w:val="0"/>
        </w:rPr>
        <w:t>EU</w:t>
      </w:r>
      <w:r>
        <w:rPr>
          <w:snapToGrid w:val="0"/>
        </w:rPr>
        <w:t xml:space="preserve">.  Sometimes, manufacturers may also provide this information to prospective buyers.  However, vendors frequently express the exhaust rate as a mass flow rate (e.g., </w:t>
      </w:r>
      <w:proofErr w:type="spellStart"/>
      <w:r>
        <w:rPr>
          <w:snapToGrid w:val="0"/>
        </w:rPr>
        <w:t>lbs</w:t>
      </w:r>
      <w:proofErr w:type="spellEnd"/>
      <w:r>
        <w:rPr>
          <w:snapToGrid w:val="0"/>
        </w:rPr>
        <w:t>/</w:t>
      </w:r>
      <w:proofErr w:type="spellStart"/>
      <w:r>
        <w:rPr>
          <w:snapToGrid w:val="0"/>
        </w:rPr>
        <w:t>hr</w:t>
      </w:r>
      <w:proofErr w:type="spellEnd"/>
      <w:r>
        <w:rPr>
          <w:snapToGrid w:val="0"/>
        </w:rPr>
        <w:t>).  In these cases, the applicant should convert the mass flow rate to a volumetric flow rate (e.g., m</w:t>
      </w:r>
      <w:r w:rsidRPr="00E72949">
        <w:rPr>
          <w:snapToGrid w:val="0"/>
          <w:vertAlign w:val="superscript"/>
        </w:rPr>
        <w:t>3</w:t>
      </w:r>
      <w:r>
        <w:rPr>
          <w:snapToGrid w:val="0"/>
        </w:rPr>
        <w:t xml:space="preserve">/sec), </w:t>
      </w:r>
      <w:proofErr w:type="gramStart"/>
      <w:r>
        <w:rPr>
          <w:snapToGrid w:val="0"/>
        </w:rPr>
        <w:t>in order to</w:t>
      </w:r>
      <w:proofErr w:type="gramEnd"/>
      <w:r>
        <w:rPr>
          <w:snapToGrid w:val="0"/>
        </w:rPr>
        <w:t xml:space="preserve"> derive the stack exit velocity.  </w:t>
      </w:r>
    </w:p>
    <w:p w14:paraId="0D086F08" w14:textId="77777777" w:rsidR="003E7867" w:rsidRDefault="003E7867" w:rsidP="00407F48">
      <w:pPr>
        <w:numPr>
          <w:ilvl w:val="0"/>
          <w:numId w:val="19"/>
        </w:numPr>
        <w:rPr>
          <w:snapToGrid w:val="0"/>
        </w:rPr>
      </w:pPr>
      <w:r>
        <w:rPr>
          <w:snapToGrid w:val="0"/>
        </w:rPr>
        <w:t xml:space="preserve">If the vendor or source test data provides the exhaust flow rate on a mass basis, make sure the applicant has correctly estimated the volumetric flow rate (exit velocity) used in the modeling analysis.  </w:t>
      </w:r>
    </w:p>
    <w:p w14:paraId="17983351" w14:textId="77777777" w:rsidR="003E7867" w:rsidRDefault="003E7867" w:rsidP="003E7867">
      <w:pPr>
        <w:rPr>
          <w:snapToGrid w:val="0"/>
        </w:rPr>
      </w:pPr>
      <w:r>
        <w:rPr>
          <w:snapToGrid w:val="0"/>
        </w:rPr>
        <w:t xml:space="preserve">You may assume that </w:t>
      </w:r>
      <w:proofErr w:type="gramStart"/>
      <w:r>
        <w:rPr>
          <w:snapToGrid w:val="0"/>
        </w:rPr>
        <w:t>a combustion</w:t>
      </w:r>
      <w:proofErr w:type="gramEnd"/>
      <w:r>
        <w:rPr>
          <w:snapToGrid w:val="0"/>
        </w:rPr>
        <w:t xml:space="preserve"> gas follows the </w:t>
      </w:r>
      <w:r w:rsidRPr="003A6157">
        <w:rPr>
          <w:b/>
          <w:snapToGrid w:val="0"/>
        </w:rPr>
        <w:t>Ideal Gas Law</w:t>
      </w:r>
      <w:r>
        <w:rPr>
          <w:snapToGrid w:val="0"/>
        </w:rPr>
        <w:t>.  For purposes of estimating the</w:t>
      </w:r>
      <w:r w:rsidRPr="00B10CF3">
        <w:rPr>
          <w:snapToGrid w:val="0"/>
        </w:rPr>
        <w:t xml:space="preserve"> volumetric (stack) flow rate </w:t>
      </w:r>
      <w:r>
        <w:rPr>
          <w:snapToGrid w:val="0"/>
        </w:rPr>
        <w:t xml:space="preserve">from combustion sources, the ideal gas law may </w:t>
      </w:r>
      <w:r w:rsidR="005A4B00">
        <w:rPr>
          <w:snapToGrid w:val="0"/>
        </w:rPr>
        <w:t>b</w:t>
      </w:r>
      <w:r>
        <w:rPr>
          <w:snapToGrid w:val="0"/>
        </w:rPr>
        <w:t xml:space="preserve">e expressed as the following equation of state:  </w:t>
      </w:r>
    </w:p>
    <w:p w14:paraId="44F560C0" w14:textId="06726FDD" w:rsidR="003E7867" w:rsidRDefault="00957D88" w:rsidP="005A4B00">
      <w:pPr>
        <w:ind w:firstLine="720"/>
        <w:rPr>
          <w:snapToGrid w:val="0"/>
        </w:rPr>
      </w:pPr>
      <w:r w:rsidRPr="005A573C">
        <w:rPr>
          <w:snapToGrid w:val="0"/>
          <w:position w:val="-6"/>
        </w:rPr>
        <w:object w:dxaOrig="240" w:dyaOrig="320" w14:anchorId="2E8866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deal gas law" style="width:14.4pt;height:14.4pt" o:ole="">
            <v:imagedata r:id="rId90" o:title=""/>
          </v:shape>
          <o:OLEObject Type="Embed" ProgID="Equation.3" ShapeID="_x0000_i1025" DrawAspect="Content" ObjectID="_1837838068" r:id="rId91"/>
        </w:object>
      </w:r>
      <w:r w:rsidR="003E7867">
        <w:rPr>
          <w:snapToGrid w:val="0"/>
        </w:rPr>
        <w:t xml:space="preserve"> =</w:t>
      </w:r>
      <w:r w:rsidR="003E7867">
        <w:rPr>
          <w:snapToGrid w:val="0"/>
        </w:rPr>
        <w:tab/>
      </w:r>
      <w:r w:rsidR="00FB2C91" w:rsidRPr="005A573C">
        <w:rPr>
          <w:snapToGrid w:val="0"/>
          <w:position w:val="-24"/>
        </w:rPr>
        <w:object w:dxaOrig="859" w:dyaOrig="620" w14:anchorId="41C5AA0A">
          <v:shape id="_x0000_i1026" type="#_x0000_t75" alt="ideal gas law" style="width:43.8pt;height:28.2pt" o:ole="">
            <v:imagedata r:id="rId92" o:title=""/>
          </v:shape>
          <o:OLEObject Type="Embed" ProgID="Equation.3" ShapeID="_x0000_i1026" DrawAspect="Content" ObjectID="_1837838069" r:id="rId93"/>
        </w:object>
      </w:r>
      <w:r w:rsidR="003E7867">
        <w:rPr>
          <w:snapToGrid w:val="0"/>
        </w:rPr>
        <w:t xml:space="preserve">   </w:t>
      </w:r>
    </w:p>
    <w:p w14:paraId="148D73AE" w14:textId="77777777" w:rsidR="003E7867" w:rsidRDefault="003E7867" w:rsidP="005A4B00">
      <w:pPr>
        <w:spacing w:after="120"/>
        <w:rPr>
          <w:snapToGrid w:val="0"/>
        </w:rPr>
      </w:pPr>
      <w:r>
        <w:rPr>
          <w:snapToGrid w:val="0"/>
        </w:rPr>
        <w:t>where:</w:t>
      </w:r>
    </w:p>
    <w:p w14:paraId="119B8A18" w14:textId="3DE92BD1" w:rsidR="003E7867" w:rsidRDefault="00957D88" w:rsidP="005A4B00">
      <w:pPr>
        <w:spacing w:after="120"/>
        <w:ind w:firstLine="720"/>
        <w:rPr>
          <w:snapToGrid w:val="0"/>
        </w:rPr>
      </w:pPr>
      <w:r w:rsidRPr="005A573C">
        <w:rPr>
          <w:snapToGrid w:val="0"/>
          <w:position w:val="-6"/>
        </w:rPr>
        <w:object w:dxaOrig="240" w:dyaOrig="320" w14:anchorId="5719109B">
          <v:shape id="_x0000_i1027" type="#_x0000_t75" alt="volume of flow rate of gas" style="width:14.4pt;height:14.4pt" o:ole="">
            <v:imagedata r:id="rId94" o:title=""/>
          </v:shape>
          <o:OLEObject Type="Embed" ProgID="Equation.3" ShapeID="_x0000_i1027" DrawAspect="Content" ObjectID="_1837838070" r:id="rId95"/>
        </w:object>
      </w:r>
      <w:r w:rsidR="003E7867">
        <w:rPr>
          <w:snapToGrid w:val="0"/>
        </w:rPr>
        <w:t xml:space="preserve"> = volume flow rate of a gas (m</w:t>
      </w:r>
      <w:r w:rsidR="003E7867">
        <w:rPr>
          <w:snapToGrid w:val="0"/>
          <w:vertAlign w:val="superscript"/>
        </w:rPr>
        <w:t>3</w:t>
      </w:r>
      <w:r w:rsidR="003E7867">
        <w:rPr>
          <w:snapToGrid w:val="0"/>
        </w:rPr>
        <w:t>/sec)</w:t>
      </w:r>
    </w:p>
    <w:p w14:paraId="170D70D2" w14:textId="77777777" w:rsidR="003E7867" w:rsidRDefault="003E7867" w:rsidP="005A4B00">
      <w:pPr>
        <w:spacing w:after="120"/>
        <w:rPr>
          <w:snapToGrid w:val="0"/>
        </w:rPr>
      </w:pPr>
      <w:r>
        <w:rPr>
          <w:snapToGrid w:val="0"/>
        </w:rPr>
        <w:tab/>
        <w:t xml:space="preserve">P = pressure (1 atm = 101 kPa = 101 </w:t>
      </w:r>
      <w:proofErr w:type="spellStart"/>
      <w:r>
        <w:rPr>
          <w:snapToGrid w:val="0"/>
        </w:rPr>
        <w:t>kN</w:t>
      </w:r>
      <w:proofErr w:type="spellEnd"/>
      <w:r>
        <w:rPr>
          <w:snapToGrid w:val="0"/>
        </w:rPr>
        <w:t>/m</w:t>
      </w:r>
      <w:r w:rsidRPr="00A630B4">
        <w:rPr>
          <w:snapToGrid w:val="0"/>
          <w:vertAlign w:val="superscript"/>
        </w:rPr>
        <w:t>2</w:t>
      </w:r>
      <w:r>
        <w:rPr>
          <w:snapToGrid w:val="0"/>
        </w:rPr>
        <w:t>)</w:t>
      </w:r>
    </w:p>
    <w:p w14:paraId="79ADE14E" w14:textId="79DFF736" w:rsidR="003E7867" w:rsidRDefault="003E7867" w:rsidP="005A4B00">
      <w:pPr>
        <w:spacing w:after="120"/>
        <w:rPr>
          <w:snapToGrid w:val="0"/>
        </w:rPr>
      </w:pPr>
      <w:r>
        <w:rPr>
          <w:snapToGrid w:val="0"/>
        </w:rPr>
        <w:tab/>
      </w:r>
      <w:r w:rsidR="00957D88" w:rsidRPr="005A573C">
        <w:rPr>
          <w:snapToGrid w:val="0"/>
          <w:position w:val="-6"/>
        </w:rPr>
        <w:object w:dxaOrig="260" w:dyaOrig="279" w14:anchorId="779EF561">
          <v:shape id="_x0000_i1028" type="#_x0000_t75" alt="mass flow rate of exhaust gas" style="width:14.4pt;height:14.4pt" o:ole="">
            <v:imagedata r:id="rId96" o:title=""/>
          </v:shape>
          <o:OLEObject Type="Embed" ProgID="Equation.3" ShapeID="_x0000_i1028" DrawAspect="Content" ObjectID="_1837838071" r:id="rId97"/>
        </w:object>
      </w:r>
      <w:r>
        <w:rPr>
          <w:snapToGrid w:val="0"/>
        </w:rPr>
        <w:t xml:space="preserve"> = mass flow rate of exhaust gas (kilograms/second)</w:t>
      </w:r>
    </w:p>
    <w:p w14:paraId="1EA9764F" w14:textId="77777777" w:rsidR="003E7867" w:rsidRDefault="003E7867" w:rsidP="005A4B00">
      <w:pPr>
        <w:pStyle w:val="Date"/>
        <w:spacing w:after="120"/>
        <w:rPr>
          <w:snapToGrid w:val="0"/>
        </w:rPr>
      </w:pPr>
      <w:r>
        <w:rPr>
          <w:snapToGrid w:val="0"/>
        </w:rPr>
        <w:tab/>
        <w:t>T = stack gas exit temperature (K)</w:t>
      </w:r>
    </w:p>
    <w:p w14:paraId="662C69AC" w14:textId="77777777" w:rsidR="003E7867" w:rsidRDefault="003E7867" w:rsidP="003E7867">
      <w:r>
        <w:t>and:</w:t>
      </w:r>
    </w:p>
    <w:p w14:paraId="50DED56F" w14:textId="338F7582" w:rsidR="003E7867" w:rsidRDefault="003E7867" w:rsidP="003E7867">
      <w:r>
        <w:tab/>
        <w:t xml:space="preserve">R = </w:t>
      </w:r>
      <w:r w:rsidR="00957D88" w:rsidRPr="00CD6B6F">
        <w:rPr>
          <w:position w:val="-24"/>
        </w:rPr>
        <w:object w:dxaOrig="560" w:dyaOrig="680" w14:anchorId="283879BC">
          <v:shape id="_x0000_i1029" type="#_x0000_t75" alt="universal stack constant" style="width:28.8pt;height:36pt" o:ole="">
            <v:imagedata r:id="rId98" o:title=""/>
          </v:shape>
          <o:OLEObject Type="Embed" ProgID="Equation.3" ShapeID="_x0000_i1029" DrawAspect="Content" ObjectID="_1837838072" r:id="rId99"/>
        </w:object>
      </w:r>
    </w:p>
    <w:p w14:paraId="0FAED706" w14:textId="77777777" w:rsidR="003E7867" w:rsidRDefault="003E7867" w:rsidP="005A4B00">
      <w:pPr>
        <w:spacing w:after="120"/>
      </w:pPr>
      <w:r>
        <w:tab/>
        <w:t>where:</w:t>
      </w:r>
    </w:p>
    <w:p w14:paraId="417BB089" w14:textId="50EE30D4" w:rsidR="003E7867" w:rsidRDefault="00957D88" w:rsidP="005A4B00">
      <w:pPr>
        <w:spacing w:after="120"/>
        <w:ind w:left="720" w:firstLine="720"/>
      </w:pPr>
      <w:r w:rsidRPr="00CD6B6F">
        <w:rPr>
          <w:position w:val="-4"/>
        </w:rPr>
        <w:object w:dxaOrig="240" w:dyaOrig="320" w14:anchorId="19A2DF91">
          <v:shape id="_x0000_i1030" type="#_x0000_t75" alt="universal gas constant" style="width:14.4pt;height:14.4pt" o:ole="">
            <v:imagedata r:id="rId100" o:title=""/>
          </v:shape>
          <o:OLEObject Type="Embed" ProgID="Equation.3" ShapeID="_x0000_i1030" DrawAspect="Content" ObjectID="_1837838073" r:id="rId101"/>
        </w:object>
      </w:r>
      <w:r w:rsidR="003E7867">
        <w:t xml:space="preserve"> </w:t>
      </w:r>
      <w:r w:rsidR="003E7867">
        <w:tab/>
        <w:t xml:space="preserve">= universal gas constant = 8.314 </w:t>
      </w:r>
      <w:r w:rsidRPr="005A573C">
        <w:rPr>
          <w:position w:val="-30"/>
        </w:rPr>
        <w:object w:dxaOrig="1120" w:dyaOrig="680" w14:anchorId="18676EFB">
          <v:shape id="_x0000_i1031" type="#_x0000_t75" alt="universal gas constant " style="width:57.6pt;height:36pt" o:ole="">
            <v:imagedata r:id="rId102" o:title=""/>
          </v:shape>
          <o:OLEObject Type="Embed" ProgID="Equation.3" ShapeID="_x0000_i1031" DrawAspect="Content" ObjectID="_1837838074" r:id="rId103"/>
        </w:object>
      </w:r>
    </w:p>
    <w:p w14:paraId="413049D1" w14:textId="77777777" w:rsidR="003E7867" w:rsidRDefault="003E7867" w:rsidP="005A4B00">
      <w:pPr>
        <w:spacing w:after="120"/>
        <w:ind w:left="720" w:firstLine="720"/>
      </w:pPr>
      <w:r>
        <w:t xml:space="preserve">MW </w:t>
      </w:r>
      <w:r>
        <w:tab/>
        <w:t>= molecular weight (</w:t>
      </w:r>
      <w:proofErr w:type="spellStart"/>
      <w:r>
        <w:t>gmole</w:t>
      </w:r>
      <w:proofErr w:type="spellEnd"/>
      <w:r>
        <w:t>/g)</w:t>
      </w:r>
    </w:p>
    <w:p w14:paraId="748CACCA" w14:textId="77777777" w:rsidR="003E7867" w:rsidRDefault="003E7867" w:rsidP="003E7867">
      <w:pPr>
        <w:rPr>
          <w:snapToGrid w:val="0"/>
        </w:rPr>
      </w:pPr>
      <w:r>
        <w:rPr>
          <w:snapToGrid w:val="0"/>
        </w:rPr>
        <w:t>Note</w:t>
      </w:r>
      <w:proofErr w:type="gramStart"/>
      <w:r>
        <w:rPr>
          <w:snapToGrid w:val="0"/>
        </w:rPr>
        <w:t>:  In</w:t>
      </w:r>
      <w:proofErr w:type="gramEnd"/>
      <w:r>
        <w:rPr>
          <w:snapToGrid w:val="0"/>
        </w:rPr>
        <w:t xml:space="preserve"> many cases, the vendor or source test report does not provide a specific MW for the combustion products.  In these cases, you may use the R value for dry air, where</w:t>
      </w:r>
    </w:p>
    <w:p w14:paraId="53CDC7BA" w14:textId="52424B85" w:rsidR="003E7867" w:rsidRDefault="003E7867" w:rsidP="003E7867">
      <w:pPr>
        <w:ind w:firstLine="720"/>
        <w:rPr>
          <w:snapToGrid w:val="0"/>
        </w:rPr>
      </w:pPr>
      <w:r>
        <w:rPr>
          <w:snapToGrid w:val="0"/>
        </w:rPr>
        <w:t xml:space="preserve">R = 0.287 </w:t>
      </w:r>
      <w:r w:rsidR="00957D88" w:rsidRPr="00FE6346">
        <w:rPr>
          <w:snapToGrid w:val="0"/>
          <w:position w:val="-30"/>
        </w:rPr>
        <w:object w:dxaOrig="800" w:dyaOrig="680" w14:anchorId="53195A97">
          <v:shape id="_x0000_i1032" type="#_x0000_t75" alt="part of R value equation" style="width:43.8pt;height:36pt" o:ole="">
            <v:imagedata r:id="rId104" o:title=""/>
          </v:shape>
          <o:OLEObject Type="Embed" ProgID="Equation.3" ShapeID="_x0000_i1032" DrawAspect="Content" ObjectID="_1837838075" r:id="rId105"/>
        </w:object>
      </w:r>
    </w:p>
    <w:p w14:paraId="18741EA3" w14:textId="77777777" w:rsidR="003E7867" w:rsidRPr="00B964CF" w:rsidRDefault="003E7867" w:rsidP="003E7867">
      <w:pPr>
        <w:rPr>
          <w:i/>
          <w:snapToGrid w:val="0"/>
        </w:rPr>
      </w:pPr>
      <w:r w:rsidRPr="00B964CF">
        <w:rPr>
          <w:i/>
          <w:snapToGrid w:val="0"/>
        </w:rPr>
        <w:t xml:space="preserve">Be certain to use the stack gas exit temperature to calculate the volumetric flow rate, as actual flow rates should be used, not flow rates at standard conditions. </w:t>
      </w:r>
      <w:r w:rsidR="004F1343">
        <w:rPr>
          <w:i/>
          <w:snapToGrid w:val="0"/>
        </w:rPr>
        <w:t xml:space="preserve"> Additionally, be aware of the required units (as noted above) for each parameter.</w:t>
      </w:r>
    </w:p>
    <w:p w14:paraId="39C8148E" w14:textId="77777777" w:rsidR="003E7867" w:rsidRDefault="003E7867" w:rsidP="003E7867">
      <w:pPr>
        <w:rPr>
          <w:snapToGrid w:val="0"/>
        </w:rPr>
      </w:pPr>
      <w:r>
        <w:rPr>
          <w:snapToGrid w:val="0"/>
        </w:rPr>
        <w:t xml:space="preserve">Many dispersion models (including AERMOD) require the user to express the release characteristics as a stack gas exit velocity expressed in units of meters per second.  In </w:t>
      </w:r>
      <w:r>
        <w:rPr>
          <w:snapToGrid w:val="0"/>
        </w:rPr>
        <w:lastRenderedPageBreak/>
        <w:t xml:space="preserve">these cases, </w:t>
      </w:r>
      <w:r w:rsidR="00D76E61">
        <w:rPr>
          <w:snapToGrid w:val="0"/>
        </w:rPr>
        <w:t xml:space="preserve">an </w:t>
      </w:r>
      <w:r>
        <w:rPr>
          <w:snapToGrid w:val="0"/>
        </w:rPr>
        <w:t>exhaust flow rate must be converted to an exit velocity.  This is accomplished by dividing the volumetric flow rate (expressed in units of m</w:t>
      </w:r>
      <w:r>
        <w:rPr>
          <w:snapToGrid w:val="0"/>
          <w:vertAlign w:val="superscript"/>
        </w:rPr>
        <w:t>3</w:t>
      </w:r>
      <w:r>
        <w:rPr>
          <w:snapToGrid w:val="0"/>
        </w:rPr>
        <w:t xml:space="preserve">/sec) by the area of the stack at the point of discharge to the atmosphere (expressed in units </w:t>
      </w:r>
      <w:r w:rsidR="00B84F16">
        <w:rPr>
          <w:snapToGrid w:val="0"/>
        </w:rPr>
        <w:t>of </w:t>
      </w:r>
      <w:r>
        <w:rPr>
          <w:snapToGrid w:val="0"/>
        </w:rPr>
        <w:t>m</w:t>
      </w:r>
      <w:r>
        <w:rPr>
          <w:snapToGrid w:val="0"/>
          <w:vertAlign w:val="superscript"/>
        </w:rPr>
        <w:t>2</w:t>
      </w:r>
      <w:r>
        <w:rPr>
          <w:snapToGrid w:val="0"/>
        </w:rPr>
        <w:t xml:space="preserve">).  </w:t>
      </w:r>
    </w:p>
    <w:p w14:paraId="4BC94E0C" w14:textId="77777777" w:rsidR="00803250" w:rsidRDefault="003E7867" w:rsidP="00B10CF3">
      <w:pPr>
        <w:spacing w:after="60"/>
        <w:rPr>
          <w:b/>
          <w:u w:val="single"/>
        </w:rPr>
      </w:pPr>
      <w:r>
        <w:rPr>
          <w:b/>
          <w:u w:val="single"/>
        </w:rPr>
        <w:t>Point Sources</w:t>
      </w:r>
    </w:p>
    <w:p w14:paraId="04C400A0" w14:textId="62F6FC93" w:rsidR="003E7867" w:rsidRDefault="003E7867" w:rsidP="003E7867">
      <w:r>
        <w:t xml:space="preserve">Point sources include </w:t>
      </w:r>
      <w:r w:rsidR="00BC634A">
        <w:t>EU</w:t>
      </w:r>
      <w:r>
        <w:t xml:space="preserve">s that exhaust through stacks, chimneys, or vents.  The required input data </w:t>
      </w:r>
      <w:proofErr w:type="gramStart"/>
      <w:r>
        <w:t>include</w:t>
      </w:r>
      <w:proofErr w:type="gramEnd"/>
      <w:r>
        <w:t xml:space="preserve"> emission rate, stack height, stack diameter, stack exit temperature, and stack diameter.  The base elevation of the stack should be based upon local topographic data.</w:t>
      </w:r>
    </w:p>
    <w:p w14:paraId="6E589A91" w14:textId="36ED037D" w:rsidR="003E7867" w:rsidRDefault="003E7867" w:rsidP="003E7867">
      <w:r>
        <w:t xml:space="preserve">In calculating emissions, applicants may use a combination of data sources.  The preferred data source </w:t>
      </w:r>
      <w:r w:rsidR="008B21F5">
        <w:t xml:space="preserve">for most pollutants </w:t>
      </w:r>
      <w:r>
        <w:t>is manufacturer specific information</w:t>
      </w:r>
      <w:r w:rsidR="008B21F5">
        <w:t xml:space="preserve"> or source test data.  </w:t>
      </w:r>
      <w:proofErr w:type="gramStart"/>
      <w:r w:rsidR="008B21F5">
        <w:t>Mass-balance</w:t>
      </w:r>
      <w:proofErr w:type="gramEnd"/>
      <w:r w:rsidR="008B21F5">
        <w:t xml:space="preserve"> should generally be used for estimating </w:t>
      </w:r>
      <w:r w:rsidR="008B21F5" w:rsidRPr="00E91523">
        <w:t>SO</w:t>
      </w:r>
      <w:r w:rsidR="008B21F5" w:rsidRPr="00E91523">
        <w:rPr>
          <w:vertAlign w:val="subscript"/>
        </w:rPr>
        <w:t>2</w:t>
      </w:r>
      <w:r w:rsidR="008B21F5">
        <w:t xml:space="preserve"> emissions.  EPA’s Compilation of Emission Factors (commonly </w:t>
      </w:r>
      <w:proofErr w:type="gramStart"/>
      <w:r w:rsidR="008B21F5">
        <w:t>referred</w:t>
      </w:r>
      <w:proofErr w:type="gramEnd"/>
      <w:r w:rsidR="008B21F5">
        <w:t xml:space="preserve"> as </w:t>
      </w:r>
      <w:r>
        <w:t>AP-42</w:t>
      </w:r>
      <w:r w:rsidR="008B21F5">
        <w:t>) may generally be used if unit-specific information is unavailable</w:t>
      </w:r>
      <w:r>
        <w:t xml:space="preserve">.  </w:t>
      </w:r>
    </w:p>
    <w:p w14:paraId="582E9F77" w14:textId="77777777" w:rsidR="00C81C14" w:rsidRDefault="00C81C14" w:rsidP="003E7867">
      <w:r>
        <w:t xml:space="preserve">A discussion of stack orientation and capped stacks can be found in the section entitled Treatment of Horizontal Stacks and Rain Caps below. </w:t>
      </w:r>
    </w:p>
    <w:p w14:paraId="0FA87C90" w14:textId="77777777" w:rsidR="00803250" w:rsidRDefault="003E7867" w:rsidP="00B10CF3">
      <w:pPr>
        <w:spacing w:after="60"/>
        <w:rPr>
          <w:b/>
          <w:u w:val="single"/>
        </w:rPr>
      </w:pPr>
      <w:r>
        <w:rPr>
          <w:b/>
          <w:u w:val="single"/>
        </w:rPr>
        <w:t>Area Sources</w:t>
      </w:r>
    </w:p>
    <w:p w14:paraId="4DBF5C1B" w14:textId="77777777" w:rsidR="00FB136F" w:rsidRDefault="003E7867" w:rsidP="003E7867">
      <w:r>
        <w:t xml:space="preserve">Area sources are identified as sources with low level or ground level releases with no thermal or momentum plume rise, and include material storage piles, lagoons and other </w:t>
      </w:r>
      <w:proofErr w:type="gramStart"/>
      <w:r>
        <w:t>low lying</w:t>
      </w:r>
      <w:proofErr w:type="gramEnd"/>
      <w:r>
        <w:t xml:space="preserve"> sources.  In AERMOD, individual area sources may be represented as rectangles with aspect ratios (length/width) of up to 10</w:t>
      </w:r>
      <w:r w:rsidR="00FB136F">
        <w:t>0</w:t>
      </w:r>
      <w:r>
        <w:t xml:space="preserve"> to 1</w:t>
      </w:r>
      <w:r w:rsidR="00FB136F">
        <w:t xml:space="preserve"> before issuing a warning message</w:t>
      </w:r>
      <w:r>
        <w:t xml:space="preserve">.  </w:t>
      </w:r>
      <w:r w:rsidR="00FB136F">
        <w:t>Model Change Bulletin 3 (for version 09292) states:</w:t>
      </w:r>
    </w:p>
    <w:p w14:paraId="413D4FB3" w14:textId="77777777" w:rsidR="001A5C6C" w:rsidRDefault="00FB136F" w:rsidP="00CF6802">
      <w:pPr>
        <w:ind w:left="360"/>
      </w:pPr>
      <w:r>
        <w:t xml:space="preserve">“Modified criterion for issuing a warning message regarding aspect ratio for rectangular AREA sources being out of range, from an aspect ratio of 10:1 to an aspect ratio of 100:1. The upper limit of aspect ratio for stable performance of the numerical integration algorithm for area sources has not been fully tested and documented, and may vary depending on the specifics of the application.  A ratio of 10:1 is probably too strict and may unnecessarily lead to </w:t>
      </w:r>
      <w:proofErr w:type="gramStart"/>
      <w:r>
        <w:t>a large number of</w:t>
      </w:r>
      <w:proofErr w:type="gramEnd"/>
      <w:r>
        <w:t xml:space="preserve"> warning messages in some cases.  Users should always carefully quality assure the source inputs provided to AERMOD for accuracy and appropriateness for the application.”</w:t>
      </w:r>
    </w:p>
    <w:p w14:paraId="68276256" w14:textId="77777777" w:rsidR="003E7867" w:rsidRDefault="003E7867" w:rsidP="003E7867">
      <w:r>
        <w:t xml:space="preserve">Rectangles may be rotated in a clockwise (positive angle value) or counterclockwise (negative angle value) direction, relative to a north-south orientation.  The rotation angle and the location of the source are specified relative to the location of the southwest corner of the source.  </w:t>
      </w:r>
      <w:r w:rsidR="00E21B18">
        <w:t>In AERMOD, i</w:t>
      </w:r>
      <w:r>
        <w:t>rregular shaped sources may be represented by a series of smaller rectangles, or a polygon</w:t>
      </w:r>
      <w:r w:rsidR="003E64A1">
        <w:t>,</w:t>
      </w:r>
      <w:r w:rsidR="00E21B18">
        <w:t xml:space="preserve"> or more simply, the AREAPOLY source type can be specified</w:t>
      </w:r>
      <w:r>
        <w:t xml:space="preserve">.  </w:t>
      </w:r>
      <w:r w:rsidR="00E21B18">
        <w:t>A circular area source can be specified using the AREACIRC source type.</w:t>
      </w:r>
    </w:p>
    <w:p w14:paraId="49F4750D" w14:textId="77777777" w:rsidR="003E7867" w:rsidRDefault="003E7867" w:rsidP="003E7867">
      <w:r>
        <w:t>The emission rate for the area source (Q) is expressed as g/sec/m</w:t>
      </w:r>
      <w:r w:rsidRPr="00220D11">
        <w:rPr>
          <w:vertAlign w:val="superscript"/>
        </w:rPr>
        <w:t>2</w:t>
      </w:r>
      <w:r>
        <w:t xml:space="preserve">.  </w:t>
      </w:r>
    </w:p>
    <w:p w14:paraId="423B5E92" w14:textId="77777777" w:rsidR="003E7867" w:rsidRDefault="003E7867" w:rsidP="00B10CF3">
      <w:pPr>
        <w:pStyle w:val="CheckReminder"/>
      </w:pPr>
      <w:r>
        <w:t>Ensure that the g/sec/m</w:t>
      </w:r>
      <w:r w:rsidRPr="00220D11">
        <w:rPr>
          <w:vertAlign w:val="superscript"/>
        </w:rPr>
        <w:t>2</w:t>
      </w:r>
      <w:r>
        <w:t xml:space="preserve"> emission rate multiplied by the source area is equal to the emission rate as calculated by the applicant (g/sec).  </w:t>
      </w:r>
    </w:p>
    <w:p w14:paraId="7AA7E1A0" w14:textId="77777777" w:rsidR="003E7867" w:rsidRDefault="003E7867" w:rsidP="003E7867">
      <w:r>
        <w:lastRenderedPageBreak/>
        <w:t>In addition to the emission rate, release height (h), physical dimensions and orientation of the area source, the applicant may optionally provide the initial vertical dimension (</w:t>
      </w:r>
      <w:proofErr w:type="spellStart"/>
      <w:r>
        <w:t>Szinit</w:t>
      </w:r>
      <w:proofErr w:type="spellEnd"/>
      <w:r w:rsidR="00E21B18">
        <w:t>; you may see σ</w:t>
      </w:r>
      <w:r w:rsidR="00C9400C" w:rsidRPr="00C9400C">
        <w:rPr>
          <w:vertAlign w:val="subscript"/>
        </w:rPr>
        <w:t>z0</w:t>
      </w:r>
      <w:r w:rsidR="00E21B18">
        <w:t xml:space="preserve"> in the equations and user’s manuals for this parameter</w:t>
      </w:r>
      <w:r>
        <w:t>) of the area source plume.  The initial vertical dimension is calculated differently depending on the emission release height and the presence of buildings.  The following criteria should be applied: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7"/>
        <w:gridCol w:w="4513"/>
      </w:tblGrid>
      <w:tr w:rsidR="003E7867" w14:paraId="69928A05" w14:textId="77777777" w:rsidTr="00954121">
        <w:trPr>
          <w:cantSplit/>
        </w:trPr>
        <w:tc>
          <w:tcPr>
            <w:tcW w:w="2385" w:type="pct"/>
          </w:tcPr>
          <w:p w14:paraId="1587A81F" w14:textId="77777777" w:rsidR="003E7867" w:rsidRDefault="003E7867" w:rsidP="00B10CF3">
            <w:pPr>
              <w:keepNext/>
              <w:keepLines/>
              <w:spacing w:after="60"/>
              <w:jc w:val="center"/>
              <w:rPr>
                <w:b/>
              </w:rPr>
            </w:pPr>
            <w:r>
              <w:rPr>
                <w:b/>
              </w:rPr>
              <w:t>Criteria</w:t>
            </w:r>
          </w:p>
        </w:tc>
        <w:tc>
          <w:tcPr>
            <w:tcW w:w="2615" w:type="pct"/>
          </w:tcPr>
          <w:p w14:paraId="10495D72" w14:textId="77777777" w:rsidR="003E7867" w:rsidRDefault="003E7867" w:rsidP="00B10CF3">
            <w:pPr>
              <w:keepNext/>
              <w:keepLines/>
              <w:spacing w:after="60"/>
              <w:jc w:val="center"/>
              <w:rPr>
                <w:b/>
              </w:rPr>
            </w:pPr>
            <w:proofErr w:type="spellStart"/>
            <w:r>
              <w:rPr>
                <w:b/>
              </w:rPr>
              <w:t>Szinit</w:t>
            </w:r>
            <w:proofErr w:type="spellEnd"/>
            <w:r>
              <w:rPr>
                <w:b/>
              </w:rPr>
              <w:t xml:space="preserve"> equals</w:t>
            </w:r>
          </w:p>
        </w:tc>
      </w:tr>
      <w:tr w:rsidR="003E7867" w14:paraId="7CA34FC2" w14:textId="77777777" w:rsidTr="00954121">
        <w:trPr>
          <w:cantSplit/>
        </w:trPr>
        <w:tc>
          <w:tcPr>
            <w:tcW w:w="2385" w:type="pct"/>
          </w:tcPr>
          <w:p w14:paraId="35C5D715" w14:textId="77777777" w:rsidR="003E7867" w:rsidRDefault="003E7867" w:rsidP="00B10CF3">
            <w:pPr>
              <w:pStyle w:val="Header"/>
              <w:keepNext/>
              <w:keepLines/>
              <w:tabs>
                <w:tab w:val="clear" w:pos="4320"/>
                <w:tab w:val="clear" w:pos="8640"/>
              </w:tabs>
              <w:spacing w:after="60"/>
            </w:pPr>
            <w:r>
              <w:t>Surface-Based source (h ~ 0)</w:t>
            </w:r>
          </w:p>
        </w:tc>
        <w:tc>
          <w:tcPr>
            <w:tcW w:w="2615" w:type="pct"/>
          </w:tcPr>
          <w:p w14:paraId="01D8FE60" w14:textId="77777777" w:rsidR="003E7867" w:rsidRDefault="003E7867" w:rsidP="00B10CF3">
            <w:pPr>
              <w:keepNext/>
              <w:keepLines/>
              <w:spacing w:after="60"/>
            </w:pPr>
            <w:r>
              <w:t>vertical dimension of source divided by 2.15</w:t>
            </w:r>
          </w:p>
        </w:tc>
      </w:tr>
      <w:tr w:rsidR="003E7867" w14:paraId="15130F77" w14:textId="77777777" w:rsidTr="00954121">
        <w:trPr>
          <w:cantSplit/>
        </w:trPr>
        <w:tc>
          <w:tcPr>
            <w:tcW w:w="2385" w:type="pct"/>
          </w:tcPr>
          <w:p w14:paraId="2037D019" w14:textId="77777777" w:rsidR="003E7867" w:rsidRDefault="003E7867" w:rsidP="00B10CF3">
            <w:pPr>
              <w:keepNext/>
              <w:keepLines/>
              <w:spacing w:after="60"/>
            </w:pPr>
            <w:r>
              <w:t>Elevated source (h &gt; 0) on or adjacent to a building</w:t>
            </w:r>
          </w:p>
        </w:tc>
        <w:tc>
          <w:tcPr>
            <w:tcW w:w="2615" w:type="pct"/>
          </w:tcPr>
          <w:p w14:paraId="18371AFD" w14:textId="77777777" w:rsidR="003E7867" w:rsidRDefault="003E7867" w:rsidP="00B10CF3">
            <w:pPr>
              <w:keepNext/>
              <w:keepLines/>
              <w:spacing w:after="60"/>
            </w:pPr>
            <w:r>
              <w:t>building height divided by 2.15</w:t>
            </w:r>
          </w:p>
        </w:tc>
      </w:tr>
      <w:tr w:rsidR="003E7867" w14:paraId="797730BC" w14:textId="77777777" w:rsidTr="00954121">
        <w:trPr>
          <w:cantSplit/>
        </w:trPr>
        <w:tc>
          <w:tcPr>
            <w:tcW w:w="2385" w:type="pct"/>
          </w:tcPr>
          <w:p w14:paraId="1744FA83" w14:textId="77777777" w:rsidR="003E7867" w:rsidRDefault="003E7867" w:rsidP="00B10CF3">
            <w:pPr>
              <w:keepNext/>
              <w:keepLines/>
              <w:spacing w:after="60"/>
            </w:pPr>
            <w:r>
              <w:t>Elevated source (h &gt; 0) not on or adjacent to a building</w:t>
            </w:r>
          </w:p>
        </w:tc>
        <w:tc>
          <w:tcPr>
            <w:tcW w:w="2615" w:type="pct"/>
          </w:tcPr>
          <w:p w14:paraId="4C4B227F" w14:textId="77777777" w:rsidR="003E7867" w:rsidRDefault="003E7867" w:rsidP="00B10CF3">
            <w:pPr>
              <w:keepNext/>
              <w:keepLines/>
              <w:spacing w:after="60"/>
            </w:pPr>
            <w:r>
              <w:t>vertical dimension of source divided by 4.3</w:t>
            </w:r>
          </w:p>
        </w:tc>
      </w:tr>
    </w:tbl>
    <w:p w14:paraId="6C958AE3" w14:textId="77777777" w:rsidR="003E7867" w:rsidRPr="001C219E" w:rsidRDefault="003E7867" w:rsidP="003E7867">
      <w:pPr>
        <w:rPr>
          <w:sz w:val="2"/>
          <w:szCs w:val="2"/>
        </w:rPr>
      </w:pPr>
    </w:p>
    <w:p w14:paraId="3FFE2A90" w14:textId="77777777" w:rsidR="003E7867" w:rsidRDefault="003E7867" w:rsidP="003E7867">
      <w:r>
        <w:t>Area sources are not affected by downwash in the models.  Additionally, elevated terrain is not considered when modeling impacts from area sources.  Models like AERMOD treat area sources as if in flat terrain, even if elevated receptors are incorporated.</w:t>
      </w:r>
    </w:p>
    <w:p w14:paraId="14B3B925" w14:textId="77777777" w:rsidR="00803250" w:rsidRDefault="003E7867" w:rsidP="00B10CF3">
      <w:pPr>
        <w:keepNext/>
        <w:spacing w:after="60"/>
        <w:rPr>
          <w:b/>
          <w:u w:val="single"/>
        </w:rPr>
      </w:pPr>
      <w:r>
        <w:rPr>
          <w:b/>
          <w:u w:val="single"/>
        </w:rPr>
        <w:t>Volume Sources</w:t>
      </w:r>
    </w:p>
    <w:p w14:paraId="490D7627" w14:textId="77777777" w:rsidR="00AD31DE" w:rsidRDefault="003E7867" w:rsidP="00AD31DE">
      <w:r>
        <w:t>Volume sources are sources that have initial dispersion prior to release, such as building roof monitors, vents and conveyor belts.  Volume sources can also be used to characterize the mobile</w:t>
      </w:r>
      <w:r w:rsidR="008E7078">
        <w:t>/fugitive</w:t>
      </w:r>
      <w:r>
        <w:t xml:space="preserve"> emissions associated with construction activities</w:t>
      </w:r>
      <w:r w:rsidR="008E7078">
        <w:t xml:space="preserve"> or haul roads</w:t>
      </w:r>
      <w:r w:rsidR="00AD31DE">
        <w:t xml:space="preserve"> (see the subsequent discussion regarding </w:t>
      </w:r>
      <w:r w:rsidR="00AD31DE" w:rsidRPr="00AD31DE">
        <w:rPr>
          <w:b/>
        </w:rPr>
        <w:t>Roadways and Line Sources</w:t>
      </w:r>
      <w:r w:rsidR="00AD31DE">
        <w:t>)</w:t>
      </w:r>
      <w:r>
        <w:t xml:space="preserve">.  </w:t>
      </w:r>
    </w:p>
    <w:p w14:paraId="4DD28A52" w14:textId="247AA357" w:rsidR="003E7867" w:rsidRDefault="003E7867" w:rsidP="00AD31DE">
      <w:r>
        <w:t xml:space="preserve">The location of the volume source is specified relative to the location of the center of the </w:t>
      </w:r>
      <w:proofErr w:type="gramStart"/>
      <w:r>
        <w:t>source</w:t>
      </w:r>
      <w:proofErr w:type="gramEnd"/>
      <w:r>
        <w:t>.  Volume sources are characterized by a volume emission rate (in g/s), an emission release height, an initial lateral dimension (</w:t>
      </w:r>
      <w:proofErr w:type="spellStart"/>
      <w:r>
        <w:t>Syinit</w:t>
      </w:r>
      <w:proofErr w:type="spellEnd"/>
      <w:r w:rsidR="00E21B18">
        <w:t>; you may see σ</w:t>
      </w:r>
      <w:r w:rsidR="00C9400C" w:rsidRPr="00C9400C">
        <w:rPr>
          <w:vertAlign w:val="subscript"/>
        </w:rPr>
        <w:t>y0</w:t>
      </w:r>
      <w:r w:rsidR="00E21B18">
        <w:t xml:space="preserve"> in the equations and user’s manuals for this parameter</w:t>
      </w:r>
      <w:r>
        <w:t>), and an initial vertical dimension (</w:t>
      </w:r>
      <w:proofErr w:type="spellStart"/>
      <w:r>
        <w:t>Szinit</w:t>
      </w:r>
      <w:proofErr w:type="spellEnd"/>
      <w:r>
        <w:t xml:space="preserve">).  The release height is the center of where most of the plume is emitted from (i.e., the center of the initial volume).  For buoyant sources, such as engine emissions associated with construction/yard activities, assume that the volume height equals the plume height under annual average (or period average) conditions.  The initial lateral and vertical dimensions represent one standard deviation of the plume.  Therefore, the initial dimensions can be smaller than the release height.  The initial vertical dimension is calculated in the same manner as for area sources, shown above.  In estimating </w:t>
      </w:r>
      <w:proofErr w:type="spellStart"/>
      <w:r>
        <w:t>Szinit</w:t>
      </w:r>
      <w:proofErr w:type="spellEnd"/>
      <w:r>
        <w:t xml:space="preserve"> for the fugitive dust from truck tire, h~ 0</w:t>
      </w:r>
      <w:r w:rsidR="000A5887">
        <w:t xml:space="preserve"> (i.e., a surface-based release)</w:t>
      </w:r>
      <w:r>
        <w:t xml:space="preserve">, so </w:t>
      </w:r>
      <w:proofErr w:type="spellStart"/>
      <w:r>
        <w:t>Szinit</w:t>
      </w:r>
      <w:proofErr w:type="spellEnd"/>
      <w:r>
        <w:t xml:space="preserve"> = plume height/2.15.  For stack emissions, h &gt; 0, so </w:t>
      </w:r>
      <w:proofErr w:type="spellStart"/>
      <w:r>
        <w:t>Szinit</w:t>
      </w:r>
      <w:proofErr w:type="spellEnd"/>
      <w:r>
        <w:t xml:space="preserve"> = plume height/4.3.  The initial lateral dimension is calculated differently depending on whether the source is a single volume source or a line source.  The following criteria should be applied: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4428"/>
      </w:tblGrid>
      <w:tr w:rsidR="003E7867" w14:paraId="2EABC3D2" w14:textId="77777777" w:rsidTr="00BA19F1">
        <w:trPr>
          <w:cantSplit/>
        </w:trPr>
        <w:tc>
          <w:tcPr>
            <w:tcW w:w="4428" w:type="dxa"/>
            <w:tcBorders>
              <w:bottom w:val="single" w:sz="12" w:space="0" w:color="auto"/>
            </w:tcBorders>
          </w:tcPr>
          <w:p w14:paraId="21114960" w14:textId="77777777" w:rsidR="003E7867" w:rsidRDefault="003E7867" w:rsidP="005A4B00">
            <w:pPr>
              <w:keepNext/>
              <w:keepLines/>
              <w:spacing w:after="60"/>
              <w:jc w:val="center"/>
              <w:rPr>
                <w:b/>
              </w:rPr>
            </w:pPr>
            <w:r>
              <w:rPr>
                <w:b/>
              </w:rPr>
              <w:lastRenderedPageBreak/>
              <w:t>Criteria</w:t>
            </w:r>
          </w:p>
        </w:tc>
        <w:tc>
          <w:tcPr>
            <w:tcW w:w="4428" w:type="dxa"/>
            <w:tcBorders>
              <w:bottom w:val="single" w:sz="12" w:space="0" w:color="auto"/>
            </w:tcBorders>
          </w:tcPr>
          <w:p w14:paraId="2F38BCB2" w14:textId="77777777" w:rsidR="003E7867" w:rsidRDefault="003E7867" w:rsidP="005A4B00">
            <w:pPr>
              <w:keepNext/>
              <w:keepLines/>
              <w:spacing w:after="60"/>
              <w:jc w:val="center"/>
              <w:rPr>
                <w:b/>
              </w:rPr>
            </w:pPr>
            <w:proofErr w:type="spellStart"/>
            <w:r>
              <w:rPr>
                <w:b/>
              </w:rPr>
              <w:t>Syinit</w:t>
            </w:r>
            <w:proofErr w:type="spellEnd"/>
            <w:r>
              <w:rPr>
                <w:b/>
              </w:rPr>
              <w:t xml:space="preserve"> equals</w:t>
            </w:r>
          </w:p>
        </w:tc>
      </w:tr>
      <w:tr w:rsidR="003E7867" w14:paraId="01E2B862" w14:textId="77777777" w:rsidTr="00BA19F1">
        <w:trPr>
          <w:cantSplit/>
        </w:trPr>
        <w:tc>
          <w:tcPr>
            <w:tcW w:w="4428" w:type="dxa"/>
            <w:tcBorders>
              <w:top w:val="single" w:sz="12" w:space="0" w:color="auto"/>
            </w:tcBorders>
          </w:tcPr>
          <w:p w14:paraId="0E8409E3" w14:textId="77777777" w:rsidR="003E7867" w:rsidRDefault="003E7867" w:rsidP="005A4B00">
            <w:pPr>
              <w:keepNext/>
              <w:keepLines/>
              <w:spacing w:after="60"/>
            </w:pPr>
            <w:r>
              <w:t>Single volume source</w:t>
            </w:r>
          </w:p>
        </w:tc>
        <w:tc>
          <w:tcPr>
            <w:tcW w:w="4428" w:type="dxa"/>
            <w:tcBorders>
              <w:top w:val="single" w:sz="12" w:space="0" w:color="auto"/>
            </w:tcBorders>
          </w:tcPr>
          <w:p w14:paraId="7A7BFE96" w14:textId="77777777" w:rsidR="003E7867" w:rsidRDefault="003E7867" w:rsidP="005A4B00">
            <w:pPr>
              <w:keepNext/>
              <w:keepLines/>
              <w:spacing w:after="60"/>
            </w:pPr>
            <w:r>
              <w:t>length of side divided by 4.3</w:t>
            </w:r>
          </w:p>
        </w:tc>
      </w:tr>
      <w:tr w:rsidR="003E7867" w14:paraId="42C55FA6" w14:textId="77777777" w:rsidTr="00D23E94">
        <w:trPr>
          <w:cantSplit/>
        </w:trPr>
        <w:tc>
          <w:tcPr>
            <w:tcW w:w="4428" w:type="dxa"/>
          </w:tcPr>
          <w:p w14:paraId="71C82CB0" w14:textId="77777777" w:rsidR="003E7867" w:rsidRDefault="003E7867" w:rsidP="005A4B00">
            <w:pPr>
              <w:keepNext/>
              <w:keepLines/>
              <w:spacing w:after="60"/>
            </w:pPr>
            <w:r>
              <w:t>Line source represented by adjacent volume sources</w:t>
            </w:r>
          </w:p>
        </w:tc>
        <w:tc>
          <w:tcPr>
            <w:tcW w:w="4428" w:type="dxa"/>
          </w:tcPr>
          <w:p w14:paraId="276758C6" w14:textId="77777777" w:rsidR="003E7867" w:rsidRDefault="003E7867" w:rsidP="005A4B00">
            <w:pPr>
              <w:keepNext/>
              <w:keepLines/>
              <w:spacing w:after="60"/>
            </w:pPr>
            <w:r>
              <w:t>length of side divided by 2.15</w:t>
            </w:r>
          </w:p>
        </w:tc>
      </w:tr>
      <w:tr w:rsidR="003E7867" w14:paraId="25D3A6F0" w14:textId="77777777" w:rsidTr="00D23E94">
        <w:trPr>
          <w:cantSplit/>
        </w:trPr>
        <w:tc>
          <w:tcPr>
            <w:tcW w:w="4428" w:type="dxa"/>
          </w:tcPr>
          <w:p w14:paraId="28F3343B" w14:textId="77777777" w:rsidR="003E7867" w:rsidRDefault="003E7867" w:rsidP="00B10CF3">
            <w:pPr>
              <w:keepNext/>
              <w:keepLines/>
              <w:spacing w:after="60"/>
            </w:pPr>
            <w:r>
              <w:t>Line source represented by separated volume sources</w:t>
            </w:r>
          </w:p>
        </w:tc>
        <w:tc>
          <w:tcPr>
            <w:tcW w:w="4428" w:type="dxa"/>
          </w:tcPr>
          <w:p w14:paraId="15277582" w14:textId="77777777" w:rsidR="003E7867" w:rsidRDefault="003E7867" w:rsidP="005A4B00">
            <w:pPr>
              <w:keepNext/>
              <w:keepLines/>
              <w:spacing w:after="60"/>
            </w:pPr>
            <w:r>
              <w:t>center to center distance divided by 2.15</w:t>
            </w:r>
          </w:p>
        </w:tc>
      </w:tr>
    </w:tbl>
    <w:p w14:paraId="43B80D32" w14:textId="77777777" w:rsidR="003E7867" w:rsidRDefault="003E7867" w:rsidP="00B10CF3">
      <w:pPr>
        <w:spacing w:before="240"/>
      </w:pPr>
      <w:r>
        <w:t xml:space="preserve">Like area sources, volume sources are not affected by downwash in the models.  </w:t>
      </w:r>
    </w:p>
    <w:p w14:paraId="06DF0000" w14:textId="77777777" w:rsidR="003C251D" w:rsidRDefault="003E7867" w:rsidP="00B10CF3">
      <w:pPr>
        <w:keepNext/>
        <w:spacing w:after="60"/>
        <w:rPr>
          <w:b/>
          <w:u w:val="single"/>
        </w:rPr>
      </w:pPr>
      <w:r>
        <w:rPr>
          <w:b/>
          <w:u w:val="single"/>
        </w:rPr>
        <w:t>Roadways and Line Sources</w:t>
      </w:r>
    </w:p>
    <w:p w14:paraId="340FA265" w14:textId="77777777" w:rsidR="003E7867" w:rsidRDefault="003E7867" w:rsidP="003E7867">
      <w:r>
        <w:t>Line sources are sources that may be represented as a series of volume or area sources, such as roads, runways or conveyor belts.  Near ground level sources may be modeled using a series of area sources.  Line sources with an initial plume depth, such as a conveyor belt or rail line, may be modeled as a series of volume sources.  The number of line sources required to represent the source, N, is calculated as the length of the line source divided by its width.</w:t>
      </w:r>
    </w:p>
    <w:p w14:paraId="60F93A97" w14:textId="563BF9E5" w:rsidR="003E7867" w:rsidRDefault="003E7867" w:rsidP="003E7867">
      <w:r>
        <w:t>In the case of a long and narrow line source such as a rail line, it may not be practical to divide the source into N volume sources.  It is acceptable to approximate the representation of the line source by placing a smaller number of volume sources at equal intervals along the line source.  In general, the spacing between individual volume sources should not be greater than twice the width of the line source.  However, a larger spacing can be used if the ratio of the minimum source-receptor separation and the spacing between individual volume sources is greater than about 3.  The total line source emission rate is divided equally among the individual volumes used to represent the line source, unless there is a known spatial variation in emissions.</w:t>
      </w:r>
    </w:p>
    <w:p w14:paraId="54499EC0" w14:textId="77777777" w:rsidR="00803250" w:rsidRDefault="00D43B77" w:rsidP="00B10CF3">
      <w:pPr>
        <w:pStyle w:val="Level5"/>
      </w:pPr>
      <w:r w:rsidRPr="00F669A2">
        <w:t>Haul Roads</w:t>
      </w:r>
    </w:p>
    <w:p w14:paraId="76220D6C" w14:textId="77777777" w:rsidR="008345FE" w:rsidRDefault="00D43B77" w:rsidP="00D43B77">
      <w:r>
        <w:t xml:space="preserve">A subset of roadways and line sources are haul roads.  Haul trucks are used to move materials at mining operations, logging sites, and other activities.  These trucks can generate large amounts of dust emissions along the haul roads.  </w:t>
      </w:r>
    </w:p>
    <w:p w14:paraId="275C1B2C" w14:textId="538A7CB9" w:rsidR="00D43B77" w:rsidRDefault="00D43B77" w:rsidP="00D43B77">
      <w:r>
        <w:t xml:space="preserve">In 2009 EPA formed the Haul Road Workgroup to identify and recommend a technically supportable approach to </w:t>
      </w:r>
      <w:r w:rsidR="003525E4">
        <w:t>characterize</w:t>
      </w:r>
      <w:r>
        <w:t xml:space="preserve"> haul road re-entrained fugitive dust.  </w:t>
      </w:r>
      <w:r w:rsidR="008E7078">
        <w:t>T</w:t>
      </w:r>
      <w:r>
        <w:t xml:space="preserve">he workgroup issued its final report </w:t>
      </w:r>
      <w:r w:rsidR="008E7078">
        <w:t>and</w:t>
      </w:r>
      <w:r>
        <w:t xml:space="preserve"> recommendation</w:t>
      </w:r>
      <w:r w:rsidR="008E7078">
        <w:t>s</w:t>
      </w:r>
      <w:r>
        <w:t xml:space="preserve"> to </w:t>
      </w:r>
      <w:r w:rsidR="003525E4">
        <w:t>EPA</w:t>
      </w:r>
      <w:r w:rsidR="008E7078">
        <w:t xml:space="preserve"> in December 2011, which EPA forwarded to the Regional Office modeling </w:t>
      </w:r>
      <w:proofErr w:type="gramStart"/>
      <w:r w:rsidR="008E7078">
        <w:t>contacts</w:t>
      </w:r>
      <w:proofErr w:type="gramEnd"/>
      <w:r w:rsidR="008E7078">
        <w:t xml:space="preserve"> under a March 2012 memorandum</w:t>
      </w:r>
      <w:r>
        <w:t>.</w:t>
      </w:r>
      <w:r w:rsidR="008E7078">
        <w:rPr>
          <w:rStyle w:val="FootnoteReference"/>
        </w:rPr>
        <w:footnoteReference w:id="60"/>
      </w:r>
      <w:r>
        <w:t xml:space="preserve">  The report </w:t>
      </w:r>
      <w:r w:rsidR="008E7078">
        <w:t>discusses the advantages and disadvantages of various modeling approaches</w:t>
      </w:r>
      <w:r w:rsidR="00DD1998">
        <w:t xml:space="preserve"> for characterizing the fugitive dust emissions from haul roads.  The Workgroup generally recommended the volume source approach, except for cases where receptors are located within the volume’s “exclusion zone.”</w:t>
      </w:r>
      <w:r w:rsidR="008E7078">
        <w:t xml:space="preserve"> </w:t>
      </w:r>
      <w:r w:rsidR="00DD1998">
        <w:t xml:space="preserve"> In those situations, the Workgroup recommends using the area source approach.  EPA noted in their transmittal memorandum that </w:t>
      </w:r>
      <w:r w:rsidR="00B11928">
        <w:t xml:space="preserve">they are not endorsing </w:t>
      </w:r>
      <w:r w:rsidR="00DD1998">
        <w:t xml:space="preserve">the recommendations </w:t>
      </w:r>
      <w:r w:rsidR="00B11928">
        <w:t>“</w:t>
      </w:r>
      <w:r w:rsidR="00DD1998">
        <w:t>as the definitive methodology for characterizing and addressing fugitive dust emissions from haul roads</w:t>
      </w:r>
      <w:r w:rsidR="00B11928">
        <w:t>;”</w:t>
      </w:r>
      <w:r w:rsidR="00DD1998">
        <w:t xml:space="preserve"> </w:t>
      </w:r>
      <w:r w:rsidR="00B11928">
        <w:t xml:space="preserve">however, the recommendations </w:t>
      </w:r>
      <w:r w:rsidR="00DD1998">
        <w:lastRenderedPageBreak/>
        <w:t>should be</w:t>
      </w:r>
      <w:r w:rsidR="00B11928">
        <w:t xml:space="preserve"> considered</w:t>
      </w:r>
      <w:r w:rsidR="00DD1998">
        <w:t xml:space="preserve"> </w:t>
      </w:r>
      <w:r w:rsidR="00B11928">
        <w:t>a “</w:t>
      </w:r>
      <w:r w:rsidR="00DD1998">
        <w:t>best practice approach</w:t>
      </w:r>
      <w:r w:rsidR="00B11928">
        <w:t>.”</w:t>
      </w:r>
      <w:r w:rsidR="00DD1998">
        <w:t xml:space="preserve"> </w:t>
      </w:r>
      <w:r w:rsidR="00B11928">
        <w:t xml:space="preserve"> </w:t>
      </w:r>
      <w:r w:rsidR="00DD1998">
        <w:t xml:space="preserve">See the report for details, including </w:t>
      </w:r>
      <w:r w:rsidR="00B11928">
        <w:t xml:space="preserve">the Workgroup’s </w:t>
      </w:r>
      <w:r w:rsidR="00DD1998">
        <w:t xml:space="preserve">recommendations for </w:t>
      </w:r>
      <w:r w:rsidR="00B11928">
        <w:t>determining</w:t>
      </w:r>
      <w:r w:rsidR="00DD1998">
        <w:t xml:space="preserve"> the volume/area source </w:t>
      </w:r>
      <w:r w:rsidR="00B11928">
        <w:t>dimensions</w:t>
      </w:r>
      <w:r w:rsidR="00FB62A3">
        <w:t>.</w:t>
      </w:r>
      <w:r>
        <w:t xml:space="preserve"> </w:t>
      </w:r>
    </w:p>
    <w:p w14:paraId="03EFC9AF" w14:textId="78AD554A" w:rsidR="00BD7A36" w:rsidRDefault="00BD7A36" w:rsidP="00BD7A36">
      <w:pPr>
        <w:keepNext/>
        <w:spacing w:after="60"/>
        <w:rPr>
          <w:b/>
          <w:u w:val="single"/>
        </w:rPr>
      </w:pPr>
      <w:r>
        <w:rPr>
          <w:b/>
          <w:u w:val="single"/>
        </w:rPr>
        <w:t>Wind-Blown Emissions</w:t>
      </w:r>
    </w:p>
    <w:p w14:paraId="0F5D4DE7" w14:textId="424F2C9A" w:rsidR="00A17EAA" w:rsidRDefault="000279A1" w:rsidP="00D43B77">
      <w:r>
        <w:t>Min</w:t>
      </w:r>
      <w:r w:rsidR="00FA64AA">
        <w:t>ing</w:t>
      </w:r>
      <w:r>
        <w:t xml:space="preserve"> or aggregate handling operations typically need to include wind-blown dust emissions in their PM-10/PM-2.5 </w:t>
      </w:r>
      <w:r w:rsidR="00BD7A36">
        <w:t>modeling a</w:t>
      </w:r>
      <w:r>
        <w:t>ssessments (as applicable)</w:t>
      </w:r>
      <w:r w:rsidR="00BD7A36">
        <w:t xml:space="preserve">.  </w:t>
      </w:r>
      <w:r w:rsidR="00127C4B">
        <w:t>Most applicants use AP-42 to estimate the</w:t>
      </w:r>
      <w:r w:rsidR="00FA64AA">
        <w:t>se</w:t>
      </w:r>
      <w:r w:rsidR="00127C4B">
        <w:t xml:space="preserve"> emissions.  </w:t>
      </w:r>
      <w:r w:rsidR="00CC237E">
        <w:t>T</w:t>
      </w:r>
      <w:r w:rsidR="00FA64AA">
        <w:t>he</w:t>
      </w:r>
      <w:r w:rsidR="00CC237E">
        <w:t xml:space="preserve"> variable nature of these </w:t>
      </w:r>
      <w:r w:rsidR="00FA64AA">
        <w:t>emissions</w:t>
      </w:r>
      <w:r w:rsidR="00CC237E">
        <w:t>,</w:t>
      </w:r>
      <w:r w:rsidR="00FA64AA">
        <w:t xml:space="preserve"> and </w:t>
      </w:r>
      <w:r w:rsidR="005E23E1">
        <w:t xml:space="preserve">the various ways to characterize </w:t>
      </w:r>
      <w:r w:rsidR="00FA64AA">
        <w:t>them in a modeling analysis</w:t>
      </w:r>
      <w:r w:rsidR="00CC237E">
        <w:t>,</w:t>
      </w:r>
      <w:r w:rsidR="00FA64AA">
        <w:t xml:space="preserve"> merits discussion. </w:t>
      </w:r>
      <w:r w:rsidR="00A17EAA">
        <w:t xml:space="preserve">  </w:t>
      </w:r>
    </w:p>
    <w:p w14:paraId="0B56B042" w14:textId="77777777" w:rsidR="002739B2" w:rsidRDefault="00FA64AA" w:rsidP="00D43B77">
      <w:r>
        <w:t>Section</w:t>
      </w:r>
      <w:r w:rsidRPr="008D4BE3">
        <w:t> </w:t>
      </w:r>
      <w:r>
        <w:t xml:space="preserve">13.2.5 </w:t>
      </w:r>
      <w:r w:rsidR="008748A6">
        <w:t xml:space="preserve">(Industrial Wind Erosion) </w:t>
      </w:r>
      <w:r>
        <w:t>of AP-42</w:t>
      </w:r>
      <w:r w:rsidR="008748A6">
        <w:t xml:space="preserve"> describes the approach for estimating wind-blown emissions from exposed stockpiles.  As discussed by EPA, the</w:t>
      </w:r>
      <w:r w:rsidR="00F45F60">
        <w:t>se</w:t>
      </w:r>
      <w:r w:rsidR="008748A6">
        <w:t xml:space="preserve"> fugitive dust </w:t>
      </w:r>
      <w:r w:rsidR="00F45F60">
        <w:t xml:space="preserve">emissions </w:t>
      </w:r>
      <w:r w:rsidR="00BD7A36">
        <w:t xml:space="preserve">occur when the wind speed over a freshly exposed surface exceeds the threshold friction velocity for the given material.  </w:t>
      </w:r>
      <w:r w:rsidR="00F45F60">
        <w:t xml:space="preserve">This means the emissions do not occur during low speeds or from crusted material, and that when the fugitive emissions do occur, the quantity varies by wind-speed and exposed area.  </w:t>
      </w:r>
    </w:p>
    <w:p w14:paraId="0227EAD2" w14:textId="7DA63397" w:rsidR="002739B2" w:rsidRDefault="002739B2" w:rsidP="002739B2">
      <w:r>
        <w:t xml:space="preserve">AP-42 requires “fastest-mile” (2-minute average) wind speed data for estimating the wind-blown emissions from stockpiles.  EPA assumes the user can obtain the 2-minute wind speed data from a representative NWS </w:t>
      </w:r>
      <w:r w:rsidR="00AB446A">
        <w:t>dataset</w:t>
      </w:r>
      <w:r>
        <w:t>.  Since representative NWS data is not generally available within Alaska</w:t>
      </w:r>
      <w:r w:rsidR="00DE2384">
        <w:t xml:space="preserve"> (see Section </w:t>
      </w:r>
      <w:r w:rsidR="001070A3">
        <w:fldChar w:fldCharType="begin"/>
      </w:r>
      <w:r w:rsidR="001070A3">
        <w:instrText xml:space="preserve"> REF _Ref448908007 \w \h </w:instrText>
      </w:r>
      <w:r w:rsidR="001070A3">
        <w:fldChar w:fldCharType="separate"/>
      </w:r>
      <w:r w:rsidR="00135FFD">
        <w:t>2.6</w:t>
      </w:r>
      <w:r w:rsidR="001070A3">
        <w:fldChar w:fldCharType="end"/>
      </w:r>
      <w:r w:rsidR="00DE2384">
        <w:t>)</w:t>
      </w:r>
      <w:r>
        <w:t xml:space="preserve">, most applicants need to pull the fastest 2-minute wind speed data from their site-specific meteorological data.  </w:t>
      </w:r>
      <w:r w:rsidR="002E0742">
        <w:t xml:space="preserve">This means applicants who have fugitive dust sources should save their 2-minute wind speed data.  For those situations where that does not occur, they will need to </w:t>
      </w:r>
      <w:r w:rsidR="002C15A7">
        <w:t xml:space="preserve">submit for ADEC review and approval, some other approach for estimating the local fastest mile wind speeds.  Recent examples include: the </w:t>
      </w:r>
      <w:r w:rsidR="002E0742">
        <w:t xml:space="preserve">use </w:t>
      </w:r>
      <w:r w:rsidR="002C15A7">
        <w:t xml:space="preserve">of regional </w:t>
      </w:r>
      <w:r w:rsidR="002E0742">
        <w:t xml:space="preserve">NWS wind speed data </w:t>
      </w:r>
      <w:r w:rsidR="002C15A7">
        <w:t xml:space="preserve">from a location that is windier than the applicant’s location (see the </w:t>
      </w:r>
      <w:hyperlink r:id="rId106" w:history="1">
        <w:r w:rsidR="00B81B9A">
          <w:rPr>
            <w:rStyle w:val="Hyperlink"/>
          </w:rPr>
          <w:t>Modeling Review Report</w:t>
        </w:r>
      </w:hyperlink>
      <w:r w:rsidR="002C15A7">
        <w:t xml:space="preserve"> for Minor Permit AQ1227MSS04); and, the use of a multiplier for estimating the maximum 2-minute wind speeds from hourly wind speed data (see the </w:t>
      </w:r>
      <w:hyperlink r:id="rId107" w:history="1">
        <w:r w:rsidR="00E82708" w:rsidRPr="00E82708">
          <w:rPr>
            <w:rStyle w:val="Hyperlink"/>
          </w:rPr>
          <w:t>Protocol Approval</w:t>
        </w:r>
      </w:hyperlink>
      <w:r w:rsidR="002C15A7">
        <w:t xml:space="preserve"> for Construction Permit AQ0934CPT01)</w:t>
      </w:r>
      <w:r w:rsidR="002E0742">
        <w:t>.</w:t>
      </w:r>
    </w:p>
    <w:p w14:paraId="05F6A58E" w14:textId="14E3C293" w:rsidR="00E54AEF" w:rsidRDefault="00E54AEF" w:rsidP="002739B2">
      <w:r>
        <w:t xml:space="preserve">It is worth noting that wind-blown emissions are associated with </w:t>
      </w:r>
      <w:r w:rsidRPr="00A17EAA">
        <w:t>intermittent</w:t>
      </w:r>
      <w:r>
        <w:t xml:space="preserve"> wind gusts, but they are generally assumed to occur for the entire hour for NSR modeling purposes.  Assuming the emissions continuously occur for an entire hour is very conservative, but it’s the only practical approach for characterizing the release when using a model with one-hour time steps (e.g., AERMOD).</w:t>
      </w:r>
    </w:p>
    <w:p w14:paraId="4D6E517A" w14:textId="2766E259" w:rsidR="00F45F60" w:rsidRDefault="00E42D46" w:rsidP="00D43B77">
      <w:r>
        <w:t xml:space="preserve">Some applicants </w:t>
      </w:r>
      <w:r w:rsidR="00416A1B">
        <w:t>assume the worst-case conditions</w:t>
      </w:r>
      <w:r w:rsidR="0070232F">
        <w:t>/emissions</w:t>
      </w:r>
      <w:r w:rsidR="00416A1B">
        <w:t xml:space="preserve"> occur on a constant</w:t>
      </w:r>
      <w:r w:rsidR="0070232F">
        <w:t>, year-round,</w:t>
      </w:r>
      <w:r w:rsidR="00416A1B">
        <w:t xml:space="preserve"> basis for modeling purposes.  This is the simplest approach for including wind-blown emissions in the modeling analysis, but it tends to substantially overstate the 24-hour and annual average impacts.  Some applicants therefore propose/use various methods for incorporating the on/off nature of these fugitive emissions.  </w:t>
      </w:r>
      <w:r w:rsidR="0070232F">
        <w:t xml:space="preserve">It is your job to review their approach to determine if it’s reasonable.  </w:t>
      </w:r>
      <w:r w:rsidR="00E22B16">
        <w:t xml:space="preserve">ADEC has allowed applicants to use the WSPEED option in AERMOD to vary the emission rates by the hourly-average wind speed.  ADEC has also allowed applicants to </w:t>
      </w:r>
      <w:r w:rsidR="009F6A29">
        <w:t xml:space="preserve">use an external emission file which contains the </w:t>
      </w:r>
      <w:r w:rsidR="00E22B16">
        <w:t xml:space="preserve">actual emission rate for each hour of the meteorological data period.  </w:t>
      </w:r>
      <w:r w:rsidR="005821B9">
        <w:t xml:space="preserve">(See Section </w:t>
      </w:r>
      <w:r w:rsidR="00D91BF3">
        <w:t>3.3</w:t>
      </w:r>
      <w:r w:rsidR="00C811C7">
        <w:t>.</w:t>
      </w:r>
      <w:r w:rsidR="00D91BF3">
        <w:t>11</w:t>
      </w:r>
      <w:r w:rsidR="005821B9">
        <w:t xml:space="preserve"> of the </w:t>
      </w:r>
      <w:hyperlink r:id="rId108" w:history="1">
        <w:r w:rsidR="005821B9" w:rsidRPr="00D91BF3">
          <w:rPr>
            <w:rStyle w:val="Hyperlink"/>
          </w:rPr>
          <w:t>AERMOD User’s Guide</w:t>
        </w:r>
      </w:hyperlink>
      <w:r w:rsidR="005821B9">
        <w:t xml:space="preserve"> for details regarding </w:t>
      </w:r>
      <w:r w:rsidR="009F6A29">
        <w:t>both of these modeling options</w:t>
      </w:r>
      <w:r w:rsidR="005821B9">
        <w:t>.)</w:t>
      </w:r>
    </w:p>
    <w:p w14:paraId="189CE36B" w14:textId="0065C224" w:rsidR="000279A1" w:rsidRDefault="00127C4B" w:rsidP="00D43B77">
      <w:r>
        <w:lastRenderedPageBreak/>
        <w:t>Section</w:t>
      </w:r>
      <w:r w:rsidRPr="008D4BE3">
        <w:t> </w:t>
      </w:r>
      <w:r>
        <w:t xml:space="preserve">13.2.4 of AP-42 (Aggregated Handling and Storage Piles) describes the method for estimating the quantity of dust generated from loading and unloading operations. </w:t>
      </w:r>
      <w:r w:rsidR="00343C4D">
        <w:t xml:space="preserve"> </w:t>
      </w:r>
      <w:r>
        <w:t xml:space="preserve">This procedure requires the use of a </w:t>
      </w:r>
      <w:r w:rsidRPr="00015DDB">
        <w:rPr>
          <w:i/>
        </w:rPr>
        <w:t>mean</w:t>
      </w:r>
      <w:r>
        <w:t xml:space="preserve"> wind speed, rather than the </w:t>
      </w:r>
      <w:r w:rsidRPr="00015DDB">
        <w:rPr>
          <w:i/>
        </w:rPr>
        <w:t>fastest-mile</w:t>
      </w:r>
      <w:r>
        <w:t xml:space="preserve"> wind speed.</w:t>
      </w:r>
      <w:r w:rsidR="00015DDB">
        <w:t xml:space="preserve">  The emissions are nevertheless still variable, and the previously discuss</w:t>
      </w:r>
      <w:r w:rsidR="00343C4D">
        <w:t>ed</w:t>
      </w:r>
      <w:r w:rsidR="00015DDB">
        <w:t xml:space="preserve"> methods for </w:t>
      </w:r>
      <w:r w:rsidR="00C25E83">
        <w:t>simulating</w:t>
      </w:r>
      <w:r w:rsidR="00015DDB">
        <w:t xml:space="preserve"> variable emissions may still be considered. </w:t>
      </w:r>
    </w:p>
    <w:p w14:paraId="138B1E49" w14:textId="77777777" w:rsidR="00803250" w:rsidRDefault="003E7867" w:rsidP="00B10CF3">
      <w:pPr>
        <w:keepNext/>
        <w:spacing w:after="60"/>
      </w:pPr>
      <w:r>
        <w:rPr>
          <w:b/>
          <w:u w:val="single"/>
        </w:rPr>
        <w:t>Open Pit Sources</w:t>
      </w:r>
    </w:p>
    <w:p w14:paraId="5B158BF1" w14:textId="624C36E2" w:rsidR="003E7867" w:rsidRDefault="003E7867" w:rsidP="003E7867">
      <w:r>
        <w:t xml:space="preserve">The open pit source algorithm is available only in </w:t>
      </w:r>
      <w:r w:rsidR="000A5887">
        <w:t>AERMOD</w:t>
      </w:r>
      <w:r>
        <w:t xml:space="preserve">.  This option is used to model particulate emissions from open pits, such as surface coal mines, and rock quarries and addresses the reduced wind speeds and dispersion inside such a pit.  </w:t>
      </w:r>
      <w:r w:rsidR="00E262C7">
        <w:t xml:space="preserve">The option can also be used to model gaseous emissions within an open pit.  </w:t>
      </w:r>
      <w:r>
        <w:t xml:space="preserve">The pit is represented as a rectangle.  Unlike area sources, </w:t>
      </w:r>
      <w:proofErr w:type="gramStart"/>
      <w:r>
        <w:t>unusual shaped</w:t>
      </w:r>
      <w:proofErr w:type="gramEnd"/>
      <w:r>
        <w:t xml:space="preserve"> pits cannot be represented by a series of smaller sources. Consequently, the area of the rectangle should be equal to the area of the pit.  In addition to the emission rate, the modeler must specify the release height (above the pit base, but less than or equal to the top of the pit), the length and width, the pit volume, and the orientation angle.  The length to width ratio of open pit sources should be less than 10 to 1.</w:t>
      </w:r>
      <w:r w:rsidR="00026869">
        <w:t xml:space="preserve">  Note that this aspect ratio for pit sources </w:t>
      </w:r>
      <w:r w:rsidR="003E64A1">
        <w:t xml:space="preserve">(10:1) </w:t>
      </w:r>
      <w:r w:rsidR="00026869">
        <w:t xml:space="preserve">differs from the aspect ratio for area sources (100:1). </w:t>
      </w:r>
      <w:r>
        <w:t xml:space="preserve"> Receptors should not be located within the boundaries of the pit; concentration and/or deposition at such receptors will be set to zero.</w:t>
      </w:r>
    </w:p>
    <w:p w14:paraId="64A689F2" w14:textId="77777777" w:rsidR="00803250" w:rsidRDefault="00ED3984" w:rsidP="00B10CF3">
      <w:pPr>
        <w:keepNext/>
        <w:spacing w:after="60"/>
        <w:rPr>
          <w:b/>
          <w:u w:val="single"/>
        </w:rPr>
      </w:pPr>
      <w:r>
        <w:rPr>
          <w:b/>
          <w:u w:val="single"/>
        </w:rPr>
        <w:t>Treatment of Horizontal Stacks and Rain Caps</w:t>
      </w:r>
    </w:p>
    <w:p w14:paraId="13FC726F" w14:textId="1C2F97F7" w:rsidR="007353D7" w:rsidRDefault="00321010" w:rsidP="00FF3AE6">
      <w:pPr>
        <w:keepNext/>
        <w:rPr>
          <w:snapToGrid w:val="0"/>
        </w:rPr>
      </w:pPr>
      <w:r>
        <w:rPr>
          <w:snapToGrid w:val="0"/>
        </w:rPr>
        <w:t>A</w:t>
      </w:r>
      <w:r w:rsidR="00ED3984">
        <w:rPr>
          <w:snapToGrid w:val="0"/>
        </w:rPr>
        <w:t xml:space="preserve"> unique approach may be needed to characterize </w:t>
      </w:r>
      <w:r>
        <w:rPr>
          <w:snapToGrid w:val="0"/>
        </w:rPr>
        <w:t>an exhaust stack with a rain</w:t>
      </w:r>
      <w:r w:rsidR="0002040F">
        <w:rPr>
          <w:snapToGrid w:val="0"/>
        </w:rPr>
        <w:t xml:space="preserve"> </w:t>
      </w:r>
      <w:r>
        <w:rPr>
          <w:snapToGrid w:val="0"/>
        </w:rPr>
        <w:t xml:space="preserve">cap or horizontal orientation since the vertical component of the exit velocity is effectively removed. </w:t>
      </w:r>
      <w:r w:rsidR="00ED3984">
        <w:rPr>
          <w:snapToGrid w:val="0"/>
        </w:rPr>
        <w:t xml:space="preserve">  </w:t>
      </w:r>
      <w:r w:rsidR="009F0CE6">
        <w:rPr>
          <w:snapToGrid w:val="0"/>
        </w:rPr>
        <w:t>Using the proper approach is important since c</w:t>
      </w:r>
      <w:r w:rsidR="009F0CE6">
        <w:t>apped</w:t>
      </w:r>
      <w:r>
        <w:t>/horizontal</w:t>
      </w:r>
      <w:r w:rsidR="009F0CE6">
        <w:t xml:space="preserve"> </w:t>
      </w:r>
      <w:r>
        <w:t xml:space="preserve">stacks </w:t>
      </w:r>
      <w:r w:rsidR="009F0CE6">
        <w:t xml:space="preserve">generally </w:t>
      </w:r>
      <w:r>
        <w:t xml:space="preserve">have </w:t>
      </w:r>
      <w:r w:rsidR="009F0CE6">
        <w:t xml:space="preserve">higher impacts in the immediate </w:t>
      </w:r>
      <w:proofErr w:type="gramStart"/>
      <w:r w:rsidR="009F0CE6">
        <w:t>near-field</w:t>
      </w:r>
      <w:proofErr w:type="gramEnd"/>
      <w:r w:rsidR="009F0CE6">
        <w:t xml:space="preserve"> than what would occur from uncapped, vertical releases.</w:t>
      </w:r>
    </w:p>
    <w:p w14:paraId="4C1EA380" w14:textId="603F7D27" w:rsidR="00632E0B" w:rsidRDefault="009F0CE6" w:rsidP="00632E0B">
      <w:r>
        <w:t xml:space="preserve">The general purpose </w:t>
      </w:r>
      <w:proofErr w:type="gramStart"/>
      <w:r>
        <w:t>for</w:t>
      </w:r>
      <w:proofErr w:type="gramEnd"/>
      <w:r>
        <w:t xml:space="preserve"> a rain</w:t>
      </w:r>
      <w:r w:rsidR="0002040F">
        <w:t xml:space="preserve"> </w:t>
      </w:r>
      <w:r>
        <w:t xml:space="preserve">cap or horizontal outlet is to keep precipitation out of the exhaust stack.  </w:t>
      </w:r>
      <w:r w:rsidR="00925811">
        <w:t xml:space="preserve">However, not all capped stack designs lead to a reduced vertical exit velocity.  A common example is the use of a “flapper” on a reciprocating engine stack (see </w:t>
      </w:r>
      <w:r w:rsidR="00C76E92">
        <w:fldChar w:fldCharType="begin"/>
      </w:r>
      <w:r w:rsidR="00C76E92">
        <w:instrText xml:space="preserve"> REF _Ref452117228 \h </w:instrText>
      </w:r>
      <w:r w:rsidR="00C76E92">
        <w:fldChar w:fldCharType="separate"/>
      </w:r>
      <w:r w:rsidR="00135FFD">
        <w:t xml:space="preserve">Figure </w:t>
      </w:r>
      <w:r w:rsidR="00135FFD">
        <w:rPr>
          <w:noProof/>
        </w:rPr>
        <w:t>9</w:t>
      </w:r>
      <w:r w:rsidR="00C76E92">
        <w:fldChar w:fldCharType="end"/>
      </w:r>
      <w:r w:rsidR="00925811">
        <w:t xml:space="preserve"> below)</w:t>
      </w:r>
      <w:r w:rsidR="00632E0B">
        <w:t xml:space="preserve">.   </w:t>
      </w:r>
      <w:r w:rsidR="00DB5EFF">
        <w:t xml:space="preserve">They are essentially counter-weighted lids that easily open </w:t>
      </w:r>
      <w:r w:rsidR="001150C5">
        <w:t xml:space="preserve">when there is exhaust gas moving through the stack (i.e., </w:t>
      </w:r>
      <w:r w:rsidR="00DB5EFF">
        <w:t>when the engine is operating</w:t>
      </w:r>
      <w:r w:rsidR="001150C5">
        <w:t>)</w:t>
      </w:r>
      <w:r w:rsidR="00DB5EFF">
        <w:t xml:space="preserve">.  </w:t>
      </w:r>
      <w:r w:rsidR="00925811">
        <w:t xml:space="preserve">This </w:t>
      </w:r>
      <w:r w:rsidR="00DB5EFF">
        <w:t>approach</w:t>
      </w:r>
      <w:r w:rsidR="00925811">
        <w:t xml:space="preserve"> </w:t>
      </w:r>
      <w:r w:rsidR="00632E0B">
        <w:t>do</w:t>
      </w:r>
      <w:r w:rsidR="00925811">
        <w:t>es</w:t>
      </w:r>
      <w:r w:rsidR="00632E0B">
        <w:t xml:space="preserve"> not hinder </w:t>
      </w:r>
      <w:r w:rsidR="00925811">
        <w:t xml:space="preserve">the </w:t>
      </w:r>
      <w:r w:rsidR="00632E0B">
        <w:t xml:space="preserve">vertical momentum </w:t>
      </w:r>
      <w:r w:rsidR="00925811">
        <w:t>of the exhaust plume</w:t>
      </w:r>
      <w:r w:rsidR="00DB5EFF">
        <w:t xml:space="preserve">.  </w:t>
      </w:r>
      <w:r w:rsidR="00344C67">
        <w:t>A s</w:t>
      </w:r>
      <w:r w:rsidR="00DB5EFF">
        <w:t xml:space="preserve">tack with </w:t>
      </w:r>
      <w:r w:rsidR="0019242E">
        <w:t xml:space="preserve">a </w:t>
      </w:r>
      <w:r w:rsidR="00DB5EFF">
        <w:t>flapper</w:t>
      </w:r>
      <w:r w:rsidR="0002040F">
        <w:t xml:space="preserve"> type of rain cap</w:t>
      </w:r>
      <w:r w:rsidR="00DB5EFF">
        <w:t xml:space="preserve"> </w:t>
      </w:r>
      <w:r w:rsidR="00632E0B">
        <w:t xml:space="preserve">should </w:t>
      </w:r>
      <w:r w:rsidR="00DB5EFF">
        <w:t xml:space="preserve">therefore </w:t>
      </w:r>
      <w:r w:rsidR="00632E0B">
        <w:t xml:space="preserve">be treated </w:t>
      </w:r>
      <w:r w:rsidR="00BD5454">
        <w:t xml:space="preserve">in the same manner </w:t>
      </w:r>
      <w:r w:rsidR="00632E0B">
        <w:t xml:space="preserve">as an uncapped stack.  </w:t>
      </w:r>
    </w:p>
    <w:p w14:paraId="4E7347F5" w14:textId="1A3A6F21" w:rsidR="00632E0B" w:rsidRDefault="00945DE6" w:rsidP="00632E0B">
      <w:pPr>
        <w:keepNext/>
        <w:jc w:val="center"/>
      </w:pPr>
      <w:r>
        <w:rPr>
          <w:noProof/>
        </w:rPr>
        <w:lastRenderedPageBreak/>
        <w:drawing>
          <wp:inline distT="0" distB="0" distL="0" distR="0" wp14:anchorId="6ACC2F38" wp14:editId="766C2FD3">
            <wp:extent cx="2091648" cy="2249311"/>
            <wp:effectExtent l="0" t="0" r="4445" b="0"/>
            <wp:docPr id="32" name="Picture 32" descr="picture of open and closed flapper rain c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icture of open and closed flapper rain caps"/>
                    <pic:cNvPicPr/>
                  </pic:nvPicPr>
                  <pic:blipFill rotWithShape="1">
                    <a:blip r:embed="rId109"/>
                    <a:srcRect l="55930" t="31909" r="12179" b="10222"/>
                    <a:stretch/>
                  </pic:blipFill>
                  <pic:spPr bwMode="auto">
                    <a:xfrm>
                      <a:off x="0" y="0"/>
                      <a:ext cx="2146329" cy="2308113"/>
                    </a:xfrm>
                    <a:prstGeom prst="rect">
                      <a:avLst/>
                    </a:prstGeom>
                    <a:ln>
                      <a:noFill/>
                    </a:ln>
                    <a:extLst>
                      <a:ext uri="{53640926-AAD7-44D8-BBD7-CCE9431645EC}">
                        <a14:shadowObscured xmlns:a14="http://schemas.microsoft.com/office/drawing/2010/main"/>
                      </a:ext>
                    </a:extLst>
                  </pic:spPr>
                </pic:pic>
              </a:graphicData>
            </a:graphic>
          </wp:inline>
        </w:drawing>
      </w:r>
    </w:p>
    <w:p w14:paraId="379C4F68" w14:textId="693305ED" w:rsidR="00632E0B" w:rsidRDefault="00632E0B" w:rsidP="00632E0B">
      <w:pPr>
        <w:pStyle w:val="Caption"/>
        <w:spacing w:after="240"/>
        <w:jc w:val="center"/>
      </w:pPr>
      <w:bookmarkStart w:id="164" w:name="_Ref452117228"/>
      <w:bookmarkStart w:id="165" w:name="_Toc526778352"/>
      <w:r>
        <w:t xml:space="preserve">Figure </w:t>
      </w:r>
      <w:r w:rsidR="00B560B0">
        <w:rPr>
          <w:noProof/>
        </w:rPr>
        <w:fldChar w:fldCharType="begin"/>
      </w:r>
      <w:r w:rsidR="00B560B0">
        <w:rPr>
          <w:noProof/>
        </w:rPr>
        <w:instrText xml:space="preserve"> SEQ Figure \* ARABIC </w:instrText>
      </w:r>
      <w:r w:rsidR="00B560B0">
        <w:rPr>
          <w:noProof/>
        </w:rPr>
        <w:fldChar w:fldCharType="separate"/>
      </w:r>
      <w:r w:rsidR="00135FFD">
        <w:rPr>
          <w:noProof/>
        </w:rPr>
        <w:t>9</w:t>
      </w:r>
      <w:r w:rsidR="00B560B0">
        <w:rPr>
          <w:noProof/>
        </w:rPr>
        <w:fldChar w:fldCharType="end"/>
      </w:r>
      <w:bookmarkEnd w:id="164"/>
      <w:r>
        <w:t xml:space="preserve">.  Example of Open and Closed Flapper </w:t>
      </w:r>
      <w:r w:rsidR="0002040F">
        <w:t>Rain Caps</w:t>
      </w:r>
      <w:bookmarkEnd w:id="165"/>
    </w:p>
    <w:p w14:paraId="6406EA3E" w14:textId="49D1CACA" w:rsidR="0007387C" w:rsidRDefault="007353D7" w:rsidP="00FF3AE6">
      <w:pPr>
        <w:keepNext/>
        <w:rPr>
          <w:snapToGrid w:val="0"/>
        </w:rPr>
      </w:pPr>
      <w:r>
        <w:rPr>
          <w:snapToGrid w:val="0"/>
        </w:rPr>
        <w:t xml:space="preserve">For stack designs that do affect the vertical component of the exit velocity, the approach for </w:t>
      </w:r>
      <w:r w:rsidR="00581868">
        <w:rPr>
          <w:snapToGrid w:val="0"/>
        </w:rPr>
        <w:t xml:space="preserve">characterizing the stack </w:t>
      </w:r>
      <w:r w:rsidR="00ED3984">
        <w:rPr>
          <w:snapToGrid w:val="0"/>
        </w:rPr>
        <w:t>varies by model</w:t>
      </w:r>
      <w:r>
        <w:rPr>
          <w:snapToGrid w:val="0"/>
        </w:rPr>
        <w:t>.</w:t>
      </w:r>
      <w:r w:rsidR="00ED3984">
        <w:rPr>
          <w:snapToGrid w:val="0"/>
        </w:rPr>
        <w:t xml:space="preserve"> </w:t>
      </w:r>
      <w:r>
        <w:rPr>
          <w:snapToGrid w:val="0"/>
        </w:rPr>
        <w:t xml:space="preserve"> </w:t>
      </w:r>
      <w:r w:rsidR="007C15FA">
        <w:rPr>
          <w:snapToGrid w:val="0"/>
        </w:rPr>
        <w:t>The approaches are summarized below</w:t>
      </w:r>
      <w:r w:rsidR="00400F3A">
        <w:rPr>
          <w:snapToGrid w:val="0"/>
        </w:rPr>
        <w:t xml:space="preserve"> (s</w:t>
      </w:r>
      <w:r w:rsidR="007C15FA">
        <w:rPr>
          <w:snapToGrid w:val="0"/>
        </w:rPr>
        <w:t xml:space="preserve">ee the </w:t>
      </w:r>
      <w:r>
        <w:rPr>
          <w:snapToGrid w:val="0"/>
        </w:rPr>
        <w:t>applicable user</w:t>
      </w:r>
      <w:r w:rsidR="007C15FA">
        <w:rPr>
          <w:snapToGrid w:val="0"/>
        </w:rPr>
        <w:t>’s</w:t>
      </w:r>
      <w:r>
        <w:rPr>
          <w:snapToGrid w:val="0"/>
        </w:rPr>
        <w:t xml:space="preserve"> guide or user’s guide addendum for details</w:t>
      </w:r>
      <w:r w:rsidR="00400F3A">
        <w:rPr>
          <w:snapToGrid w:val="0"/>
        </w:rPr>
        <w:t>)</w:t>
      </w:r>
      <w:r w:rsidR="00ED3984">
        <w:rPr>
          <w:snapToGrid w:val="0"/>
        </w:rPr>
        <w:t>.</w:t>
      </w:r>
    </w:p>
    <w:p w14:paraId="24C3A770" w14:textId="332006FE" w:rsidR="006E5921" w:rsidRDefault="00ED3984" w:rsidP="00950223">
      <w:pPr>
        <w:numPr>
          <w:ilvl w:val="0"/>
          <w:numId w:val="77"/>
        </w:numPr>
      </w:pPr>
      <w:r w:rsidRPr="00C83D1D">
        <w:rPr>
          <w:b/>
          <w:snapToGrid w:val="0"/>
        </w:rPr>
        <w:t>AERMOD</w:t>
      </w:r>
      <w:r>
        <w:rPr>
          <w:snapToGrid w:val="0"/>
        </w:rPr>
        <w:t xml:space="preserve">:  </w:t>
      </w:r>
      <w:r w:rsidR="000D144C">
        <w:rPr>
          <w:snapToGrid w:val="0"/>
        </w:rPr>
        <w:t>EPA</w:t>
      </w:r>
      <w:r w:rsidR="005A41B2">
        <w:rPr>
          <w:snapToGrid w:val="0"/>
        </w:rPr>
        <w:t xml:space="preserve"> </w:t>
      </w:r>
      <w:r w:rsidR="00721CC2">
        <w:rPr>
          <w:snapToGrid w:val="0"/>
        </w:rPr>
        <w:t>describes their recommended</w:t>
      </w:r>
      <w:r w:rsidR="005A41B2">
        <w:rPr>
          <w:snapToGrid w:val="0"/>
        </w:rPr>
        <w:t xml:space="preserve"> approach </w:t>
      </w:r>
      <w:r w:rsidR="00721CC2">
        <w:rPr>
          <w:snapToGrid w:val="0"/>
        </w:rPr>
        <w:t xml:space="preserve">for characterizing capped/horizontal stacks </w:t>
      </w:r>
      <w:r w:rsidR="005A41B2">
        <w:rPr>
          <w:snapToGrid w:val="0"/>
        </w:rPr>
        <w:t xml:space="preserve">in Section 6.1 of their </w:t>
      </w:r>
      <w:hyperlink r:id="rId110" w:history="1">
        <w:r w:rsidR="005A41B2" w:rsidRPr="002F33C1">
          <w:rPr>
            <w:rStyle w:val="Hyperlink"/>
            <w:i/>
            <w:snapToGrid w:val="0"/>
          </w:rPr>
          <w:t>AERMOD Implementation Guide</w:t>
        </w:r>
      </w:hyperlink>
      <w:r w:rsidR="005A41B2">
        <w:rPr>
          <w:rStyle w:val="Hyperlink"/>
          <w:i/>
          <w:snapToGrid w:val="0"/>
        </w:rPr>
        <w:t>.</w:t>
      </w:r>
      <w:r w:rsidR="005A41B2">
        <w:rPr>
          <w:snapToGrid w:val="0"/>
        </w:rPr>
        <w:fldChar w:fldCharType="begin"/>
      </w:r>
      <w:r w:rsidR="005A41B2">
        <w:rPr>
          <w:i/>
          <w:snapToGrid w:val="0"/>
        </w:rPr>
        <w:instrText xml:space="preserve"> NOTEREF _Ref360000403 \f \h </w:instrText>
      </w:r>
      <w:r w:rsidR="005A41B2">
        <w:rPr>
          <w:snapToGrid w:val="0"/>
        </w:rPr>
      </w:r>
      <w:r w:rsidR="005A41B2">
        <w:rPr>
          <w:snapToGrid w:val="0"/>
        </w:rPr>
        <w:fldChar w:fldCharType="separate"/>
      </w:r>
      <w:r w:rsidR="00135FFD" w:rsidRPr="00135FFD">
        <w:rPr>
          <w:rStyle w:val="FootnoteReference"/>
        </w:rPr>
        <w:t>52</w:t>
      </w:r>
      <w:r w:rsidR="005A41B2">
        <w:rPr>
          <w:snapToGrid w:val="0"/>
        </w:rPr>
        <w:fldChar w:fldCharType="end"/>
      </w:r>
      <w:r w:rsidR="005A41B2">
        <w:rPr>
          <w:snapToGrid w:val="0"/>
        </w:rPr>
        <w:t xml:space="preserve">  </w:t>
      </w:r>
      <w:r w:rsidR="00A32F8E">
        <w:t>They</w:t>
      </w:r>
      <w:r w:rsidR="000D144C" w:rsidRPr="003A6157">
        <w:t xml:space="preserve"> also </w:t>
      </w:r>
      <w:r w:rsidR="00A32F8E">
        <w:t xml:space="preserve">developed an </w:t>
      </w:r>
      <w:r w:rsidR="000D144C" w:rsidRPr="003A6157">
        <w:t>option in AERMOD</w:t>
      </w:r>
      <w:r w:rsidR="00A32F8E">
        <w:t xml:space="preserve"> that will automatically revise the stack and exhaust parameters according to their recommended procedure for any stack identified as horizontal (using the POINTHOR keyword) or capped (using the POINTCAP keyword)</w:t>
      </w:r>
      <w:r w:rsidR="000D144C" w:rsidRPr="005A41B2">
        <w:t xml:space="preserve"> in the Source</w:t>
      </w:r>
      <w:r w:rsidR="00924599" w:rsidRPr="005A41B2">
        <w:t xml:space="preserve"> (SO)</w:t>
      </w:r>
      <w:r w:rsidR="000D144C" w:rsidRPr="005A41B2">
        <w:t xml:space="preserve"> pathway.  Use of this option ensures the correct adjustments are made to the stack characteristics.</w:t>
      </w:r>
      <w:r w:rsidR="00623F55">
        <w:t xml:space="preserve">  See Section</w:t>
      </w:r>
      <w:r w:rsidR="009B71C4" w:rsidRPr="009628A0">
        <w:t> </w:t>
      </w:r>
      <w:r w:rsidR="00623F55">
        <w:t xml:space="preserve">3.2.2.3 of the </w:t>
      </w:r>
      <w:hyperlink r:id="rId111" w:history="1">
        <w:r w:rsidR="00623F55" w:rsidRPr="0083369C">
          <w:rPr>
            <w:rStyle w:val="Hyperlink"/>
          </w:rPr>
          <w:t>AERMOD User’s Guide</w:t>
        </w:r>
      </w:hyperlink>
      <w:r w:rsidR="00623F55">
        <w:t xml:space="preserve"> for additional information regarding the POINTHOR and POINTCAP source designations within AERMOD</w:t>
      </w:r>
      <w:r w:rsidR="00BB5266" w:rsidRPr="005A41B2">
        <w:t>.</w:t>
      </w:r>
      <w:r w:rsidR="000D144C">
        <w:t xml:space="preserve"> </w:t>
      </w:r>
    </w:p>
    <w:p w14:paraId="171235D4" w14:textId="03B0DFED" w:rsidR="004A021C" w:rsidRDefault="00416F48" w:rsidP="00950223">
      <w:pPr>
        <w:ind w:left="360"/>
      </w:pPr>
      <w:r>
        <w:rPr>
          <w:snapToGrid w:val="0"/>
        </w:rPr>
        <w:t>An alternative approach needs to be used for stacks that are partially offset from vertical (e.g., stacks that are angled at</w:t>
      </w:r>
      <w:r w:rsidR="00D916F6">
        <w:rPr>
          <w:snapToGrid w:val="0"/>
        </w:rPr>
        <w:t xml:space="preserve"> </w:t>
      </w:r>
      <w:r>
        <w:rPr>
          <w:snapToGrid w:val="0"/>
        </w:rPr>
        <w:t xml:space="preserve">45 degrees from vertical).  AERMOD does not include an algorithm for handling this situation, which means the user must </w:t>
      </w:r>
      <w:r w:rsidR="00BA7E20">
        <w:rPr>
          <w:snapToGrid w:val="0"/>
        </w:rPr>
        <w:t xml:space="preserve">derive </w:t>
      </w:r>
      <w:r>
        <w:rPr>
          <w:snapToGrid w:val="0"/>
        </w:rPr>
        <w:t xml:space="preserve">the appropriate </w:t>
      </w:r>
      <w:r w:rsidR="00BA7E20">
        <w:rPr>
          <w:snapToGrid w:val="0"/>
        </w:rPr>
        <w:t xml:space="preserve">revisions to the stack </w:t>
      </w:r>
      <w:r w:rsidR="00F76CAD">
        <w:rPr>
          <w:snapToGrid w:val="0"/>
        </w:rPr>
        <w:t>characterization</w:t>
      </w:r>
      <w:r>
        <w:rPr>
          <w:snapToGrid w:val="0"/>
        </w:rPr>
        <w:t xml:space="preserve">.  </w:t>
      </w:r>
      <w:r w:rsidR="00BA7E20">
        <w:rPr>
          <w:snapToGrid w:val="0"/>
        </w:rPr>
        <w:t xml:space="preserve">A reasonable approach would be to reduce the </w:t>
      </w:r>
      <w:r w:rsidR="001248FA">
        <w:rPr>
          <w:snapToGrid w:val="0"/>
        </w:rPr>
        <w:t xml:space="preserve">exit velocity </w:t>
      </w:r>
      <w:r>
        <w:rPr>
          <w:snapToGrid w:val="0"/>
        </w:rPr>
        <w:t xml:space="preserve">by the offset angle.  To account only for the vertical component of plume rise, set the exit velocity </w:t>
      </w:r>
      <w:proofErr w:type="spellStart"/>
      <w:r>
        <w:rPr>
          <w:snapToGrid w:val="0"/>
        </w:rPr>
        <w:t>v</w:t>
      </w:r>
      <w:r>
        <w:rPr>
          <w:snapToGrid w:val="0"/>
          <w:vertAlign w:val="subscript"/>
        </w:rPr>
        <w:t>v</w:t>
      </w:r>
      <w:proofErr w:type="spellEnd"/>
      <w:r>
        <w:rPr>
          <w:snapToGrid w:val="0"/>
        </w:rPr>
        <w:t xml:space="preserve"> = v * cos (</w:t>
      </w:r>
      <w:r>
        <w:rPr>
          <w:snapToGrid w:val="0"/>
        </w:rPr>
        <w:sym w:font="UniversalMath1 BT" w:char="F055"/>
      </w:r>
      <w:r>
        <w:rPr>
          <w:snapToGrid w:val="0"/>
        </w:rPr>
        <w:t xml:space="preserve">), where </w:t>
      </w:r>
      <w:r>
        <w:rPr>
          <w:snapToGrid w:val="0"/>
        </w:rPr>
        <w:sym w:font="UniversalMath1 BT" w:char="F055"/>
      </w:r>
      <w:r>
        <w:rPr>
          <w:snapToGrid w:val="0"/>
        </w:rPr>
        <w:t xml:space="preserve"> is the offset angle from vertical.  The stack exit diameter </w:t>
      </w:r>
      <w:r w:rsidR="00BA7E20">
        <w:rPr>
          <w:snapToGrid w:val="0"/>
        </w:rPr>
        <w:t>would</w:t>
      </w:r>
      <w:r w:rsidR="00F76CAD">
        <w:rPr>
          <w:snapToGrid w:val="0"/>
        </w:rPr>
        <w:t xml:space="preserve"> </w:t>
      </w:r>
      <w:r>
        <w:rPr>
          <w:snapToGrid w:val="0"/>
        </w:rPr>
        <w:t xml:space="preserve">be </w:t>
      </w:r>
      <w:r w:rsidR="00BA7E20">
        <w:rPr>
          <w:snapToGrid w:val="0"/>
        </w:rPr>
        <w:t>treated</w:t>
      </w:r>
      <w:r>
        <w:rPr>
          <w:snapToGrid w:val="0"/>
        </w:rPr>
        <w:t xml:space="preserve"> in the same manner </w:t>
      </w:r>
      <w:r w:rsidR="00BA7E20">
        <w:rPr>
          <w:snapToGrid w:val="0"/>
        </w:rPr>
        <w:t>as described in the AERMOD Implementation Guide for horizontal stacks (i.e., the approach depends on whether the stack is subject to building downwash)</w:t>
      </w:r>
      <w:r>
        <w:rPr>
          <w:snapToGrid w:val="0"/>
        </w:rPr>
        <w:t xml:space="preserve">.  </w:t>
      </w:r>
      <w:r w:rsidR="00160D98">
        <w:rPr>
          <w:snapToGrid w:val="0"/>
        </w:rPr>
        <w:t xml:space="preserve">The stack </w:t>
      </w:r>
      <w:r w:rsidR="00F76CAD">
        <w:rPr>
          <w:snapToGrid w:val="0"/>
        </w:rPr>
        <w:t xml:space="preserve">orientation </w:t>
      </w:r>
      <w:r w:rsidR="00160D98">
        <w:rPr>
          <w:snapToGrid w:val="0"/>
        </w:rPr>
        <w:t xml:space="preserve">should </w:t>
      </w:r>
      <w:r w:rsidR="00F76CAD">
        <w:rPr>
          <w:snapToGrid w:val="0"/>
        </w:rPr>
        <w:t>not affect the exhaust temperature</w:t>
      </w:r>
      <w:r w:rsidR="00160D98">
        <w:rPr>
          <w:snapToGrid w:val="0"/>
        </w:rPr>
        <w:t>; t</w:t>
      </w:r>
      <w:r w:rsidR="00F76CAD">
        <w:rPr>
          <w:snapToGrid w:val="0"/>
        </w:rPr>
        <w:t>herefore, it</w:t>
      </w:r>
      <w:r w:rsidR="00160D98">
        <w:rPr>
          <w:snapToGrid w:val="0"/>
        </w:rPr>
        <w:t>’</w:t>
      </w:r>
      <w:r w:rsidR="00F76CAD">
        <w:rPr>
          <w:snapToGrid w:val="0"/>
        </w:rPr>
        <w:t xml:space="preserve">s </w:t>
      </w:r>
      <w:r w:rsidR="00160D98">
        <w:rPr>
          <w:snapToGrid w:val="0"/>
        </w:rPr>
        <w:t>reasonable to keep the exhaust temperature as is</w:t>
      </w:r>
      <w:r>
        <w:rPr>
          <w:snapToGrid w:val="0"/>
        </w:rPr>
        <w:t>.</w:t>
      </w:r>
    </w:p>
    <w:p w14:paraId="00FB3D59" w14:textId="66DF9478" w:rsidR="006E5921" w:rsidRDefault="006E5921" w:rsidP="006E5921">
      <w:pPr>
        <w:numPr>
          <w:ilvl w:val="0"/>
          <w:numId w:val="77"/>
        </w:numPr>
        <w:rPr>
          <w:snapToGrid w:val="0"/>
        </w:rPr>
      </w:pPr>
      <w:r>
        <w:rPr>
          <w:b/>
          <w:snapToGrid w:val="0"/>
        </w:rPr>
        <w:t>OCD</w:t>
      </w:r>
      <w:r>
        <w:rPr>
          <w:snapToGrid w:val="0"/>
        </w:rPr>
        <w:t>:  OCD handles</w:t>
      </w:r>
      <w:r w:rsidR="00496271">
        <w:rPr>
          <w:snapToGrid w:val="0"/>
        </w:rPr>
        <w:t xml:space="preserve"> horizontal and ti</w:t>
      </w:r>
      <w:r>
        <w:rPr>
          <w:snapToGrid w:val="0"/>
        </w:rPr>
        <w:t>l</w:t>
      </w:r>
      <w:r w:rsidR="00496271">
        <w:rPr>
          <w:snapToGrid w:val="0"/>
        </w:rPr>
        <w:t>t</w:t>
      </w:r>
      <w:r>
        <w:rPr>
          <w:snapToGrid w:val="0"/>
        </w:rPr>
        <w:t>ed stacks internally – just enter the stack orientation angle.  Use the SCREEN3 approach for capped stacks:</w:t>
      </w:r>
    </w:p>
    <w:p w14:paraId="2D1C15DD" w14:textId="0F266A84" w:rsidR="000852C5" w:rsidRDefault="000852C5" w:rsidP="006E5921">
      <w:pPr>
        <w:ind w:left="1080" w:hanging="360"/>
      </w:pPr>
      <w:r>
        <w:t>1</w:t>
      </w:r>
      <w:proofErr w:type="gramStart"/>
      <w:r>
        <w:t>.  Assume</w:t>
      </w:r>
      <w:proofErr w:type="gramEnd"/>
      <w:r>
        <w:t xml:space="preserve"> the exit velocity = 0.001 </w:t>
      </w:r>
      <w:r w:rsidR="000046FF">
        <w:t>m/s</w:t>
      </w:r>
      <w:r>
        <w:t xml:space="preserve"> </w:t>
      </w:r>
    </w:p>
    <w:p w14:paraId="297F8785" w14:textId="77777777" w:rsidR="000852C5" w:rsidRDefault="000852C5" w:rsidP="000852C5">
      <w:pPr>
        <w:spacing w:before="120"/>
        <w:ind w:left="1080" w:hanging="360"/>
      </w:pPr>
      <w:r>
        <w:lastRenderedPageBreak/>
        <w:t>2</w:t>
      </w:r>
      <w:proofErr w:type="gramStart"/>
      <w:r>
        <w:t>.  Assume</w:t>
      </w:r>
      <w:proofErr w:type="gramEnd"/>
      <w:r>
        <w:t xml:space="preserve"> the stack diameter equals the value needed to conserve the stack flow rate. This artificial diameter “</w:t>
      </w:r>
      <w:proofErr w:type="spellStart"/>
      <w:r>
        <w:t>d</w:t>
      </w:r>
      <w:r w:rsidRPr="00CC4121">
        <w:rPr>
          <w:vertAlign w:val="subscript"/>
        </w:rPr>
        <w:t>eq</w:t>
      </w:r>
      <w:proofErr w:type="spellEnd"/>
      <w:r>
        <w:t>” may be determined using either of the following equations.  (</w:t>
      </w:r>
      <w:r w:rsidRPr="00327741">
        <w:rPr>
          <w:i/>
        </w:rPr>
        <w:t xml:space="preserve">Note: these artificial diameters can be </w:t>
      </w:r>
      <w:r w:rsidRPr="00EE7D86">
        <w:rPr>
          <w:i/>
          <w:u w:val="single"/>
        </w:rPr>
        <w:t>very</w:t>
      </w:r>
      <w:r w:rsidRPr="00327741">
        <w:rPr>
          <w:i/>
        </w:rPr>
        <w:t xml:space="preserve"> large</w:t>
      </w:r>
      <w:r>
        <w:rPr>
          <w:i/>
        </w:rPr>
        <w:t>.</w:t>
      </w:r>
      <w:r>
        <w:t>)</w:t>
      </w:r>
    </w:p>
    <w:p w14:paraId="1C7EB0B1" w14:textId="0B72DB7F" w:rsidR="005A4B00" w:rsidRDefault="000852C5" w:rsidP="005A4B00">
      <w:pPr>
        <w:ind w:firstLine="720"/>
        <w:rPr>
          <w:b/>
        </w:rPr>
      </w:pPr>
      <w:r w:rsidRPr="006024A7">
        <w:rPr>
          <w:b/>
        </w:rPr>
        <w:t>(1)</w:t>
      </w:r>
      <w:r>
        <w:tab/>
      </w:r>
      <w:r>
        <w:tab/>
      </w:r>
      <w:proofErr w:type="spellStart"/>
      <w:proofErr w:type="gramStart"/>
      <w:r w:rsidRPr="00752913">
        <w:rPr>
          <w:b/>
        </w:rPr>
        <w:t>d</w:t>
      </w:r>
      <w:r w:rsidRPr="00752913">
        <w:rPr>
          <w:b/>
          <w:vertAlign w:val="subscript"/>
        </w:rPr>
        <w:t>eq</w:t>
      </w:r>
      <w:proofErr w:type="spellEnd"/>
      <w:r w:rsidRPr="00752913">
        <w:rPr>
          <w:b/>
        </w:rPr>
        <w:t xml:space="preserve">  </w:t>
      </w:r>
      <w:r w:rsidRPr="00752913">
        <w:rPr>
          <w:b/>
          <w:snapToGrid w:val="0"/>
        </w:rPr>
        <w:t>=</w:t>
      </w:r>
      <w:proofErr w:type="gramEnd"/>
      <w:r w:rsidRPr="00752913">
        <w:rPr>
          <w:b/>
          <w:snapToGrid w:val="0"/>
        </w:rPr>
        <w:t xml:space="preserve">  d </w:t>
      </w:r>
      <w:r w:rsidR="00957D88" w:rsidRPr="00752913">
        <w:rPr>
          <w:b/>
          <w:snapToGrid w:val="0"/>
          <w:position w:val="-26"/>
        </w:rPr>
        <w:object w:dxaOrig="820" w:dyaOrig="700" w14:anchorId="4B75FAD6">
          <v:shape id="_x0000_i1033" type="#_x0000_t75" alt="part of stack diameter equation " style="width:43.8pt;height:36pt" o:ole="">
            <v:imagedata r:id="rId112" o:title=""/>
          </v:shape>
          <o:OLEObject Type="Embed" ProgID="Equation.3" ShapeID="_x0000_i1033" DrawAspect="Content" ObjectID="_1837838076" r:id="rId113"/>
        </w:object>
      </w:r>
      <w:r w:rsidRPr="00752913">
        <w:rPr>
          <w:b/>
          <w:snapToGrid w:val="0"/>
        </w:rPr>
        <w:t xml:space="preserve">  =  31.6 d </w:t>
      </w:r>
      <w:r w:rsidR="00FB2C91" w:rsidRPr="00752913">
        <w:rPr>
          <w:b/>
          <w:snapToGrid w:val="0"/>
          <w:position w:val="-8"/>
        </w:rPr>
        <w:object w:dxaOrig="360" w:dyaOrig="360" w14:anchorId="0824C5D4">
          <v:shape id="_x0000_i1034" type="#_x0000_t75" alt="part of stack diameter equation" style="width:21.6pt;height:21.6pt" o:ole="">
            <v:imagedata r:id="rId114" o:title=""/>
          </v:shape>
          <o:OLEObject Type="Embed" ProgID="Equation.3" ShapeID="_x0000_i1034" DrawAspect="Content" ObjectID="_1837838077" r:id="rId115"/>
        </w:object>
      </w:r>
    </w:p>
    <w:p w14:paraId="434D32B1" w14:textId="77777777" w:rsidR="005A4B00" w:rsidRDefault="005A4B00" w:rsidP="005A4B00">
      <w:pPr>
        <w:ind w:firstLine="720"/>
        <w:rPr>
          <w:b/>
        </w:rPr>
      </w:pPr>
      <w:r>
        <w:rPr>
          <w:b/>
        </w:rPr>
        <w:tab/>
      </w:r>
      <w:r>
        <w:rPr>
          <w:b/>
        </w:rPr>
        <w:tab/>
      </w:r>
      <w:proofErr w:type="gramStart"/>
      <w:r w:rsidR="000852C5">
        <w:t>where</w:t>
      </w:r>
      <w:proofErr w:type="gramEnd"/>
      <w:r w:rsidR="000852C5">
        <w:t xml:space="preserve"> </w:t>
      </w:r>
    </w:p>
    <w:p w14:paraId="039E9994" w14:textId="77777777" w:rsidR="005A4B00" w:rsidRDefault="005A4B00" w:rsidP="005A4B00">
      <w:pPr>
        <w:ind w:firstLine="720"/>
      </w:pPr>
      <w:r>
        <w:rPr>
          <w:b/>
        </w:rPr>
        <w:tab/>
      </w:r>
      <w:r>
        <w:rPr>
          <w:b/>
        </w:rPr>
        <w:tab/>
      </w:r>
      <w:r>
        <w:rPr>
          <w:b/>
        </w:rPr>
        <w:tab/>
      </w:r>
      <w:proofErr w:type="spellStart"/>
      <w:proofErr w:type="gramStart"/>
      <w:r w:rsidR="000852C5">
        <w:t>d</w:t>
      </w:r>
      <w:r w:rsidR="000852C5" w:rsidRPr="0044172C">
        <w:rPr>
          <w:vertAlign w:val="subscript"/>
        </w:rPr>
        <w:t>eq</w:t>
      </w:r>
      <w:proofErr w:type="spellEnd"/>
      <w:r w:rsidR="000852C5">
        <w:t xml:space="preserve"> </w:t>
      </w:r>
      <w:r w:rsidR="00772B27">
        <w:t xml:space="preserve"> </w:t>
      </w:r>
      <w:r w:rsidR="000852C5">
        <w:t>=</w:t>
      </w:r>
      <w:proofErr w:type="gramEnd"/>
      <w:r w:rsidR="000852C5">
        <w:t xml:space="preserve"> the equivalent stack diameter in meters (m),</w:t>
      </w:r>
    </w:p>
    <w:p w14:paraId="76767E1B" w14:textId="0A400BF9" w:rsidR="000852C5" w:rsidRPr="005A4B00" w:rsidRDefault="005A4B00" w:rsidP="005A4B00">
      <w:pPr>
        <w:ind w:firstLine="720"/>
        <w:rPr>
          <w:b/>
        </w:rPr>
      </w:pPr>
      <w:r>
        <w:tab/>
      </w:r>
      <w:r>
        <w:tab/>
      </w:r>
      <w:r>
        <w:tab/>
      </w:r>
      <w:proofErr w:type="gramStart"/>
      <w:r w:rsidR="000852C5" w:rsidRPr="003E11AB">
        <w:rPr>
          <w:i/>
        </w:rPr>
        <w:t>v</w:t>
      </w:r>
      <w:r w:rsidR="000852C5">
        <w:rPr>
          <w:vertAlign w:val="subscript"/>
        </w:rPr>
        <w:t xml:space="preserve"> </w:t>
      </w:r>
      <w:r w:rsidR="00772B27">
        <w:t xml:space="preserve"> </w:t>
      </w:r>
      <w:r w:rsidR="000852C5">
        <w:t>=</w:t>
      </w:r>
      <w:proofErr w:type="gramEnd"/>
      <w:r w:rsidR="000852C5">
        <w:t xml:space="preserve"> the </w:t>
      </w:r>
      <w:r w:rsidR="000852C5" w:rsidRPr="00982764">
        <w:rPr>
          <w:i/>
        </w:rPr>
        <w:t>actual</w:t>
      </w:r>
      <w:r w:rsidR="000852C5">
        <w:t xml:space="preserve"> exit velocity in </w:t>
      </w:r>
      <w:r w:rsidR="000046FF">
        <w:t>meters per second (</w:t>
      </w:r>
      <w:r w:rsidR="000852C5">
        <w:t>m/s</w:t>
      </w:r>
      <w:r w:rsidR="000046FF">
        <w:t>)</w:t>
      </w:r>
      <w:r w:rsidR="000852C5">
        <w:t xml:space="preserve">, and </w:t>
      </w:r>
    </w:p>
    <w:p w14:paraId="3AD0CC9E" w14:textId="77777777" w:rsidR="000852C5" w:rsidRDefault="000852C5" w:rsidP="005A4B00">
      <w:pPr>
        <w:spacing w:after="60"/>
        <w:ind w:left="1440" w:firstLine="720"/>
      </w:pPr>
      <w:proofErr w:type="gramStart"/>
      <w:r>
        <w:t xml:space="preserve">d </w:t>
      </w:r>
      <w:r w:rsidR="00772B27">
        <w:t xml:space="preserve"> </w:t>
      </w:r>
      <w:r>
        <w:t>=</w:t>
      </w:r>
      <w:proofErr w:type="gramEnd"/>
      <w:r>
        <w:t xml:space="preserve"> the </w:t>
      </w:r>
      <w:r w:rsidRPr="00982764">
        <w:rPr>
          <w:i/>
        </w:rPr>
        <w:t>actual</w:t>
      </w:r>
      <w:r>
        <w:t xml:space="preserve"> stack diameter in meters (m</w:t>
      </w:r>
      <w:proofErr w:type="gramStart"/>
      <w:r>
        <w:t>);</w:t>
      </w:r>
      <w:proofErr w:type="gramEnd"/>
      <w:r>
        <w:t xml:space="preserve">  </w:t>
      </w:r>
    </w:p>
    <w:p w14:paraId="77469825" w14:textId="77777777" w:rsidR="000852C5" w:rsidRDefault="000852C5" w:rsidP="000852C5">
      <w:pPr>
        <w:jc w:val="center"/>
      </w:pPr>
      <w:r>
        <w:t>-- or --</w:t>
      </w:r>
    </w:p>
    <w:p w14:paraId="6A47BFF8" w14:textId="7506680F" w:rsidR="000852C5" w:rsidRPr="000852C5" w:rsidRDefault="000852C5" w:rsidP="00407F48">
      <w:pPr>
        <w:numPr>
          <w:ilvl w:val="0"/>
          <w:numId w:val="46"/>
        </w:numPr>
        <w:rPr>
          <w:b/>
        </w:rPr>
      </w:pPr>
      <w:proofErr w:type="spellStart"/>
      <w:proofErr w:type="gramStart"/>
      <w:r w:rsidRPr="000852C5">
        <w:rPr>
          <w:b/>
        </w:rPr>
        <w:t>d</w:t>
      </w:r>
      <w:r w:rsidRPr="000852C5">
        <w:rPr>
          <w:b/>
          <w:vertAlign w:val="subscript"/>
        </w:rPr>
        <w:t>eq</w:t>
      </w:r>
      <w:proofErr w:type="spellEnd"/>
      <w:r w:rsidRPr="000852C5">
        <w:rPr>
          <w:b/>
        </w:rPr>
        <w:t xml:space="preserve">  =</w:t>
      </w:r>
      <w:proofErr w:type="gramEnd"/>
      <w:r w:rsidRPr="000852C5">
        <w:rPr>
          <w:b/>
        </w:rPr>
        <w:t xml:space="preserve">  </w:t>
      </w:r>
      <w:r w:rsidR="00957D88" w:rsidRPr="000852C5">
        <w:rPr>
          <w:b/>
        </w:rPr>
        <w:object w:dxaOrig="700" w:dyaOrig="840" w14:anchorId="05C60094">
          <v:shape id="_x0000_i1035" type="#_x0000_t75" alt="part of stack diameter equation" style="width:36pt;height:43.8pt" o:ole="">
            <v:imagedata r:id="rId116" o:title=""/>
          </v:shape>
          <o:OLEObject Type="Embed" ProgID="Equation.3" ShapeID="_x0000_i1035" DrawAspect="Content" ObjectID="_1837838078" r:id="rId117"/>
        </w:object>
      </w:r>
      <w:r w:rsidRPr="000852C5">
        <w:rPr>
          <w:b/>
        </w:rPr>
        <w:t xml:space="preserve">  =  </w:t>
      </w:r>
      <w:r w:rsidR="00957D88" w:rsidRPr="000852C5">
        <w:rPr>
          <w:b/>
        </w:rPr>
        <w:object w:dxaOrig="1100" w:dyaOrig="840" w14:anchorId="1810E7D6">
          <v:shape id="_x0000_i1036" type="#_x0000_t75" alt="part of stack diameter equation" style="width:57.6pt;height:43.8pt" o:ole="">
            <v:imagedata r:id="rId118" o:title=""/>
          </v:shape>
          <o:OLEObject Type="Embed" ProgID="Equation.3" ShapeID="_x0000_i1036" DrawAspect="Content" ObjectID="_1837838079" r:id="rId119"/>
        </w:object>
      </w:r>
      <w:r w:rsidRPr="000852C5">
        <w:rPr>
          <w:b/>
        </w:rPr>
        <w:t xml:space="preserve">  =  35.68 </w:t>
      </w:r>
      <w:r w:rsidR="00957D88" w:rsidRPr="000852C5">
        <w:rPr>
          <w:b/>
        </w:rPr>
        <w:object w:dxaOrig="420" w:dyaOrig="499" w14:anchorId="5B9ACDD0">
          <v:shape id="_x0000_i1037" type="#_x0000_t75" alt="root of stack flow rate" style="width:21.6pt;height:28.2pt" o:ole="">
            <v:imagedata r:id="rId120" o:title=""/>
          </v:shape>
          <o:OLEObject Type="Embed" ProgID="Equation.3" ShapeID="_x0000_i1037" DrawAspect="Content" ObjectID="_1837838080" r:id="rId121"/>
        </w:object>
      </w:r>
      <w:r w:rsidRPr="000852C5">
        <w:rPr>
          <w:b/>
        </w:rPr>
        <w:t xml:space="preserve">  </w:t>
      </w:r>
    </w:p>
    <w:p w14:paraId="5D9C8919" w14:textId="77777777" w:rsidR="000852C5" w:rsidRPr="000852C5" w:rsidRDefault="000852C5" w:rsidP="005A4B00">
      <w:pPr>
        <w:spacing w:after="60"/>
        <w:ind w:left="1440" w:firstLine="720"/>
      </w:pPr>
      <w:proofErr w:type="gramStart"/>
      <w:r w:rsidRPr="000852C5">
        <w:t>where</w:t>
      </w:r>
      <w:proofErr w:type="gramEnd"/>
    </w:p>
    <w:p w14:paraId="59447586" w14:textId="77777777" w:rsidR="000852C5" w:rsidRPr="000852C5" w:rsidRDefault="000852C5" w:rsidP="005A4B00">
      <w:pPr>
        <w:spacing w:after="60"/>
        <w:ind w:left="1440" w:firstLine="720"/>
      </w:pPr>
      <w:r w:rsidRPr="000852C5">
        <w:tab/>
      </w:r>
      <w:proofErr w:type="spellStart"/>
      <w:r w:rsidRPr="000852C5">
        <w:t>d</w:t>
      </w:r>
      <w:r w:rsidRPr="000852C5">
        <w:rPr>
          <w:vertAlign w:val="subscript"/>
        </w:rPr>
        <w:t>eq</w:t>
      </w:r>
      <w:proofErr w:type="spellEnd"/>
      <w:r w:rsidRPr="000852C5">
        <w:t xml:space="preserve"> = the equivalent stack diameter in meters (m), and</w:t>
      </w:r>
    </w:p>
    <w:p w14:paraId="325D6FAB" w14:textId="4D9C0850" w:rsidR="00D83C3B" w:rsidRDefault="000852C5" w:rsidP="005A4B00">
      <w:pPr>
        <w:ind w:left="1440" w:firstLine="720"/>
      </w:pPr>
      <w:r w:rsidRPr="000852C5">
        <w:tab/>
      </w:r>
      <w:r w:rsidR="00957D88" w:rsidRPr="000852C5">
        <w:object w:dxaOrig="240" w:dyaOrig="440" w14:anchorId="5CD692EE">
          <v:shape id="_x0000_i1038" type="#_x0000_t75" alt="stack flow rate in cubic meters per second" style="width:14.4pt;height:21.6pt" o:ole="">
            <v:imagedata r:id="rId122" o:title=""/>
          </v:shape>
          <o:OLEObject Type="Embed" ProgID="Equation.3" ShapeID="_x0000_i1038" DrawAspect="Content" ObjectID="_1837838081" r:id="rId123"/>
        </w:object>
      </w:r>
      <w:r w:rsidRPr="000852C5">
        <w:t xml:space="preserve">  = stack flow rate in cubic meters per second (m</w:t>
      </w:r>
      <w:r w:rsidRPr="000852C5">
        <w:rPr>
          <w:vertAlign w:val="superscript"/>
        </w:rPr>
        <w:t>3</w:t>
      </w:r>
      <w:r w:rsidRPr="000852C5">
        <w:t>/s).</w:t>
      </w:r>
      <w:r w:rsidR="00D83C3B">
        <w:t xml:space="preserve"> </w:t>
      </w:r>
    </w:p>
    <w:p w14:paraId="6B5FCF07" w14:textId="6245FE58" w:rsidR="00D83C3B" w:rsidRDefault="00D83C3B">
      <w:pPr>
        <w:spacing w:after="0"/>
      </w:pPr>
    </w:p>
    <w:p w14:paraId="617E75B6" w14:textId="0E486335" w:rsidR="00831B68" w:rsidRPr="003A120E" w:rsidRDefault="00410DBF" w:rsidP="00831B68">
      <w:pPr>
        <w:numPr>
          <w:ilvl w:val="0"/>
          <w:numId w:val="6"/>
        </w:numPr>
        <w:rPr>
          <w:snapToGrid w:val="0"/>
        </w:rPr>
      </w:pPr>
      <w:r w:rsidRPr="008E3038">
        <w:rPr>
          <w:b/>
          <w:snapToGrid w:val="0"/>
        </w:rPr>
        <w:t>AERSCREEN</w:t>
      </w:r>
      <w:proofErr w:type="gramStart"/>
      <w:r w:rsidR="00ED3984" w:rsidRPr="008E3038">
        <w:rPr>
          <w:snapToGrid w:val="0"/>
        </w:rPr>
        <w:t xml:space="preserve">:  </w:t>
      </w:r>
      <w:r w:rsidR="00924599" w:rsidRPr="008E3038">
        <w:rPr>
          <w:snapToGrid w:val="0"/>
        </w:rPr>
        <w:t>AERSCREEN</w:t>
      </w:r>
      <w:proofErr w:type="gramEnd"/>
      <w:r w:rsidR="00772B27" w:rsidRPr="008E3038">
        <w:rPr>
          <w:snapToGrid w:val="0"/>
        </w:rPr>
        <w:t xml:space="preserve"> uses a</w:t>
      </w:r>
      <w:r w:rsidR="006268D6" w:rsidRPr="008E3038">
        <w:rPr>
          <w:snapToGrid w:val="0"/>
        </w:rPr>
        <w:t>n interactive</w:t>
      </w:r>
      <w:r w:rsidR="00924599" w:rsidRPr="008E3038">
        <w:rPr>
          <w:snapToGrid w:val="0"/>
        </w:rPr>
        <w:t xml:space="preserve"> prompt-resp</w:t>
      </w:r>
      <w:r w:rsidR="00772B27" w:rsidRPr="008E3038">
        <w:rPr>
          <w:snapToGrid w:val="0"/>
        </w:rPr>
        <w:t xml:space="preserve">onse method to develop the necessary input to run AERMOD in a screening mode. </w:t>
      </w:r>
      <w:r w:rsidR="006268D6" w:rsidRPr="008E3038">
        <w:rPr>
          <w:snapToGrid w:val="0"/>
        </w:rPr>
        <w:t xml:space="preserve"> </w:t>
      </w:r>
      <w:r w:rsidR="007542F3" w:rsidRPr="008E3038">
        <w:rPr>
          <w:snapToGrid w:val="0"/>
        </w:rPr>
        <w:t>In the interactive mode, t</w:t>
      </w:r>
      <w:r w:rsidR="00924599" w:rsidRPr="008E3038">
        <w:rPr>
          <w:snapToGrid w:val="0"/>
        </w:rPr>
        <w:t>he user respond</w:t>
      </w:r>
      <w:r w:rsidR="007542F3" w:rsidRPr="008E3038">
        <w:rPr>
          <w:snapToGrid w:val="0"/>
        </w:rPr>
        <w:t>s</w:t>
      </w:r>
      <w:r w:rsidR="00924599" w:rsidRPr="008E3038">
        <w:rPr>
          <w:snapToGrid w:val="0"/>
        </w:rPr>
        <w:t xml:space="preserve"> to the AERSCREEN prompt for source type</w:t>
      </w:r>
      <w:r w:rsidR="007542F3" w:rsidRPr="008E3038">
        <w:rPr>
          <w:snapToGrid w:val="0"/>
        </w:rPr>
        <w:t>.  B</w:t>
      </w:r>
      <w:r w:rsidR="00924599" w:rsidRPr="008E3038">
        <w:rPr>
          <w:snapToGrid w:val="0"/>
        </w:rPr>
        <w:t xml:space="preserve">y </w:t>
      </w:r>
      <w:r w:rsidR="007542F3" w:rsidRPr="008E3038">
        <w:rPr>
          <w:snapToGrid w:val="0"/>
        </w:rPr>
        <w:t>entering a</w:t>
      </w:r>
      <w:r w:rsidR="00924599" w:rsidRPr="008E3038">
        <w:rPr>
          <w:snapToGrid w:val="0"/>
        </w:rPr>
        <w:t>n “S” or “s” for a capped point source or “H” or “h” for a horizontal stack</w:t>
      </w:r>
      <w:r w:rsidR="007542F3" w:rsidRPr="008E3038">
        <w:rPr>
          <w:snapToGrid w:val="0"/>
        </w:rPr>
        <w:t>, a capped or horizontal stack can be modeled</w:t>
      </w:r>
      <w:r w:rsidR="00924599" w:rsidRPr="008E3038">
        <w:rPr>
          <w:snapToGrid w:val="0"/>
        </w:rPr>
        <w:t>.  AERSCREEN will prompt the user for the source parameters (the same parameters are entered for a point, capped, or horizontal stack)</w:t>
      </w:r>
      <w:r w:rsidR="007542F3" w:rsidRPr="008E3038">
        <w:rPr>
          <w:snapToGrid w:val="0"/>
        </w:rPr>
        <w:t xml:space="preserve">.  </w:t>
      </w:r>
      <w:r w:rsidR="00924599" w:rsidRPr="008E3038">
        <w:rPr>
          <w:snapToGrid w:val="0"/>
        </w:rPr>
        <w:t>AERMOD will then use the option described above to invoke the algorithms for horizontal and capped stacks.</w:t>
      </w:r>
    </w:p>
    <w:p w14:paraId="3DF46506" w14:textId="77777777" w:rsidR="00803250" w:rsidRDefault="00ED3984" w:rsidP="00B10CF3">
      <w:pPr>
        <w:keepNext/>
        <w:spacing w:after="60"/>
        <w:rPr>
          <w:b/>
          <w:u w:val="single"/>
        </w:rPr>
      </w:pPr>
      <w:r>
        <w:rPr>
          <w:b/>
          <w:u w:val="single"/>
        </w:rPr>
        <w:t>Treatment of Cooling Towers</w:t>
      </w:r>
    </w:p>
    <w:p w14:paraId="63D45C69" w14:textId="77777777" w:rsidR="00ED3984" w:rsidRDefault="00ED3984" w:rsidP="00ED3984">
      <w:r>
        <w:t>Cooling towers should also be modeled as point sources as each cell in the cooling tower has associated with it a diameter, exit temperature, and exit velocity.  Often, cooling tower plumes are quite buoyant and therefore are best represented as point sources.  The primary emission from cooling towers is PM-10</w:t>
      </w:r>
      <w:r w:rsidR="00954FFF">
        <w:t xml:space="preserve"> and PM-2.5</w:t>
      </w:r>
      <w:r>
        <w:t xml:space="preserve"> (and some Hazardous Air Pollutant compounds).  Often, cooling towers are subject to downwash effects from the cooling tower structure itself.  </w:t>
      </w:r>
    </w:p>
    <w:p w14:paraId="133B3575" w14:textId="3E520B3E" w:rsidR="00831B68" w:rsidRPr="00753E03" w:rsidRDefault="00ED3984" w:rsidP="00831B68">
      <w:pPr>
        <w:numPr>
          <w:ilvl w:val="0"/>
          <w:numId w:val="20"/>
        </w:numPr>
        <w:spacing w:before="120" w:after="120"/>
        <w:rPr>
          <w:sz w:val="8"/>
          <w:szCs w:val="8"/>
        </w:rPr>
      </w:pPr>
      <w:r>
        <w:t xml:space="preserve">Make certain building downwash effects from the cooling tower structure and stacks were accounted for (i.e., </w:t>
      </w:r>
      <w:proofErr w:type="gramStart"/>
      <w:r>
        <w:t>entered into</w:t>
      </w:r>
      <w:proofErr w:type="gramEnd"/>
      <w:r>
        <w:t xml:space="preserve"> BPIP</w:t>
      </w:r>
      <w:r w:rsidR="00CD6119">
        <w:t>PRM</w:t>
      </w:r>
      <w:r>
        <w:t>).</w:t>
      </w:r>
      <w:r w:rsidR="00753E03">
        <w:br/>
      </w:r>
    </w:p>
    <w:p w14:paraId="05293ADF" w14:textId="77777777" w:rsidR="00803250" w:rsidRDefault="00ED3984" w:rsidP="00B10CF3">
      <w:pPr>
        <w:keepNext/>
        <w:spacing w:after="60"/>
        <w:rPr>
          <w:b/>
          <w:u w:val="single"/>
        </w:rPr>
      </w:pPr>
      <w:r w:rsidRPr="008C1D00">
        <w:rPr>
          <w:b/>
          <w:u w:val="single"/>
        </w:rPr>
        <w:lastRenderedPageBreak/>
        <w:t xml:space="preserve">Non-buoyant Plumes   </w:t>
      </w:r>
    </w:p>
    <w:p w14:paraId="75703708" w14:textId="078DDBD1" w:rsidR="00213693" w:rsidRDefault="00ED3984" w:rsidP="00ED3984">
      <w:r>
        <w:t>The stack gas exit temperature may be set to zero in AERMOD to invoke an internal algorithm which sets the stack gas temperature equal to the ambient temperature.</w:t>
      </w:r>
    </w:p>
    <w:p w14:paraId="16963C4F" w14:textId="1B2DB6F4" w:rsidR="009A01E5" w:rsidRDefault="00AD5C0A" w:rsidP="00E255C0">
      <w:pPr>
        <w:pStyle w:val="Heading3"/>
      </w:pPr>
      <w:r>
        <w:tab/>
      </w:r>
      <w:bookmarkStart w:id="166" w:name="_Ref439919721"/>
      <w:bookmarkStart w:id="167" w:name="_Toc526778264"/>
      <w:r w:rsidR="003E7867">
        <w:t xml:space="preserve">Additional </w:t>
      </w:r>
      <w:r w:rsidR="009A01E5">
        <w:t xml:space="preserve">Information on Common </w:t>
      </w:r>
      <w:bookmarkEnd w:id="166"/>
      <w:r w:rsidR="00C45E64">
        <w:t>Types of EUs</w:t>
      </w:r>
      <w:bookmarkEnd w:id="167"/>
    </w:p>
    <w:p w14:paraId="1C94635D" w14:textId="46CDE849" w:rsidR="009A01E5" w:rsidRDefault="00C45E64">
      <w:r>
        <w:t>Most Alaskan permit applicants have one or more of the following types of EUs at their stationary source</w:t>
      </w:r>
      <w:r w:rsidR="009A01E5">
        <w:t xml:space="preserve">: </w:t>
      </w:r>
      <w:r>
        <w:t>reciprocating</w:t>
      </w:r>
      <w:r w:rsidR="009A01E5">
        <w:t xml:space="preserve"> engines, boilers/heaters, </w:t>
      </w:r>
      <w:r>
        <w:t>or</w:t>
      </w:r>
      <w:r w:rsidR="009A01E5">
        <w:t xml:space="preserve"> combustion turbines.  </w:t>
      </w:r>
      <w:r w:rsidR="0035000C">
        <w:t xml:space="preserve">Flares are also </w:t>
      </w:r>
      <w:proofErr w:type="gramStart"/>
      <w:r w:rsidR="0035000C">
        <w:t>fairly common</w:t>
      </w:r>
      <w:proofErr w:type="gramEnd"/>
      <w:r w:rsidR="0035000C">
        <w:t xml:space="preserve">. </w:t>
      </w:r>
      <w:r w:rsidR="00DB1CC8">
        <w:t>The emissions</w:t>
      </w:r>
      <w:r w:rsidR="00B46516">
        <w:t>,</w:t>
      </w:r>
      <w:r w:rsidR="00DB1CC8">
        <w:t xml:space="preserve"> stack </w:t>
      </w:r>
      <w:r w:rsidR="00B46516">
        <w:t xml:space="preserve">and load </w:t>
      </w:r>
      <w:r w:rsidR="00DB1CC8">
        <w:t xml:space="preserve">characteristics of each </w:t>
      </w:r>
      <w:r w:rsidR="00C86B2F">
        <w:t xml:space="preserve">type </w:t>
      </w:r>
      <w:proofErr w:type="gramStart"/>
      <w:r w:rsidR="00DB1CC8">
        <w:t>is</w:t>
      </w:r>
      <w:proofErr w:type="gramEnd"/>
      <w:r w:rsidR="00DB1CC8">
        <w:t xml:space="preserve"> described </w:t>
      </w:r>
      <w:r w:rsidR="00C86B2F">
        <w:t>in the following subsections.</w:t>
      </w:r>
      <w:r w:rsidR="00DB1CC8">
        <w:t xml:space="preserve">  Each subsection also contains background information regarding the</w:t>
      </w:r>
      <w:r w:rsidR="0078535C">
        <w:t>se types of</w:t>
      </w:r>
      <w:r w:rsidR="00DB1CC8">
        <w:t xml:space="preserve"> combustion source</w:t>
      </w:r>
      <w:r w:rsidR="0078535C">
        <w:t>s</w:t>
      </w:r>
      <w:r w:rsidR="00DB1CC8">
        <w:t xml:space="preserve">.  </w:t>
      </w:r>
    </w:p>
    <w:p w14:paraId="03B4B743" w14:textId="161615E3" w:rsidR="009A01E5" w:rsidRPr="005B60B0" w:rsidRDefault="00C45E64" w:rsidP="00E255C0">
      <w:pPr>
        <w:pStyle w:val="Heading4"/>
        <w:rPr>
          <w:szCs w:val="24"/>
        </w:rPr>
      </w:pPr>
      <w:bookmarkStart w:id="168" w:name="_Ref489871287"/>
      <w:bookmarkStart w:id="169" w:name="_Toc526778265"/>
      <w:r>
        <w:rPr>
          <w:szCs w:val="24"/>
        </w:rPr>
        <w:t>Reciprocating</w:t>
      </w:r>
      <w:r w:rsidR="002B2249" w:rsidRPr="002B2249">
        <w:rPr>
          <w:szCs w:val="24"/>
        </w:rPr>
        <w:t xml:space="preserve"> Engines</w:t>
      </w:r>
      <w:bookmarkEnd w:id="168"/>
      <w:bookmarkEnd w:id="169"/>
    </w:p>
    <w:p w14:paraId="46E73BF6" w14:textId="09CDDD53" w:rsidR="00DB1CC8" w:rsidRDefault="00DB1CC8">
      <w:r>
        <w:t>The compression of the fuel/air mixture in a</w:t>
      </w:r>
      <w:r w:rsidR="00C45E64">
        <w:t xml:space="preserve"> reciprocating </w:t>
      </w:r>
      <w:r>
        <w:t xml:space="preserve">internal combustion </w:t>
      </w:r>
      <w:r w:rsidR="00BD4B1E">
        <w:t xml:space="preserve">(IC) </w:t>
      </w:r>
      <w:r>
        <w:t xml:space="preserve">engine leads </w:t>
      </w:r>
      <w:r w:rsidR="00C45E64">
        <w:t xml:space="preserve">to </w:t>
      </w:r>
      <w:r>
        <w:t>higher combustion temperatures and NOx emission rates than what is found in a</w:t>
      </w:r>
      <w:r w:rsidR="00C45E64">
        <w:t>n external combustion source (e.g., a</w:t>
      </w:r>
      <w:r>
        <w:t xml:space="preserve"> boiler/heater</w:t>
      </w:r>
      <w:r w:rsidR="00C45E64">
        <w:t>)</w:t>
      </w:r>
      <w:r>
        <w:t xml:space="preserve">.  </w:t>
      </w:r>
    </w:p>
    <w:p w14:paraId="2FF4362B" w14:textId="72977380" w:rsidR="009A01E5" w:rsidRDefault="00B112D4">
      <w:r>
        <w:t>A</w:t>
      </w:r>
      <w:r w:rsidR="009A01E5">
        <w:t xml:space="preserve">pplicants </w:t>
      </w:r>
      <w:r>
        <w:t xml:space="preserve">periodically rely on </w:t>
      </w:r>
      <w:r w:rsidR="009A01E5">
        <w:t>a combination of data sources</w:t>
      </w:r>
      <w:r>
        <w:t xml:space="preserve"> for calculating emissions</w:t>
      </w:r>
      <w:r w:rsidR="009A01E5">
        <w:t xml:space="preserve">.  The preferred data source is </w:t>
      </w:r>
      <w:r w:rsidR="00657909">
        <w:t xml:space="preserve">source test data (if it represents the desired load), </w:t>
      </w:r>
      <w:r w:rsidR="009A01E5">
        <w:t>manufacturer</w:t>
      </w:r>
      <w:r w:rsidR="000236E0">
        <w:t>- or vendor-</w:t>
      </w:r>
      <w:r w:rsidR="009A01E5">
        <w:t>specific information, followed by general AP-42 equations</w:t>
      </w:r>
      <w:r w:rsidR="00657909">
        <w:t>.  M</w:t>
      </w:r>
      <w:r w:rsidR="009A01E5">
        <w:t xml:space="preserve">ass-balance </w:t>
      </w:r>
      <w:r w:rsidR="00657909">
        <w:t xml:space="preserve">should be used for </w:t>
      </w:r>
      <w:r w:rsidR="009A01E5">
        <w:t>calculati</w:t>
      </w:r>
      <w:r w:rsidR="00657909">
        <w:t>ng SO</w:t>
      </w:r>
      <w:r w:rsidR="00657909">
        <w:rPr>
          <w:vertAlign w:val="subscript"/>
        </w:rPr>
        <w:t>2</w:t>
      </w:r>
      <w:r w:rsidR="00657909">
        <w:t xml:space="preserve"> emissions</w:t>
      </w:r>
      <w:r w:rsidR="009A01E5">
        <w:t xml:space="preserve">.  For example, an applicant </w:t>
      </w:r>
      <w:r>
        <w:t>could be using</w:t>
      </w:r>
      <w:r w:rsidR="009A01E5">
        <w:t xml:space="preserve"> manufacture</w:t>
      </w:r>
      <w:r w:rsidR="000236E0">
        <w:t>r</w:t>
      </w:r>
      <w:r w:rsidR="009A01E5">
        <w:t xml:space="preserve"> data for estimating the</w:t>
      </w:r>
      <w:r>
        <w:t>ir NOx and CO</w:t>
      </w:r>
      <w:r w:rsidR="009A01E5">
        <w:t xml:space="preserve"> emissions, mass-balance for SO</w:t>
      </w:r>
      <w:r w:rsidR="009A01E5">
        <w:rPr>
          <w:vertAlign w:val="subscript"/>
        </w:rPr>
        <w:t>2</w:t>
      </w:r>
      <w:r w:rsidR="009A01E5">
        <w:t>, and AP-42 for PM</w:t>
      </w:r>
      <w:r w:rsidR="00D541C1">
        <w:t>-</w:t>
      </w:r>
      <w:r w:rsidR="009A01E5">
        <w:t xml:space="preserve">10 and VOCs. </w:t>
      </w:r>
    </w:p>
    <w:p w14:paraId="46CED561" w14:textId="02173258" w:rsidR="009A01E5" w:rsidRDefault="001355A4">
      <w:r>
        <w:t>EPA’s general e</w:t>
      </w:r>
      <w:r w:rsidR="009A01E5">
        <w:t>mission factors for diesel-fueled engines are contained in Section</w:t>
      </w:r>
      <w:r w:rsidR="00AE2375" w:rsidRPr="008E3429">
        <w:t> </w:t>
      </w:r>
      <w:r w:rsidR="009A01E5">
        <w:t>3.3 and 3.4 of AP-42.  Section</w:t>
      </w:r>
      <w:r w:rsidR="00AE2375" w:rsidRPr="008E3429">
        <w:t> </w:t>
      </w:r>
      <w:r w:rsidR="009A01E5">
        <w:t>3.3 is appropriate for diesel engines up to 600</w:t>
      </w:r>
      <w:r w:rsidR="00AE2375" w:rsidRPr="008E3429">
        <w:t> </w:t>
      </w:r>
      <w:r w:rsidR="00795DA0">
        <w:t>b</w:t>
      </w:r>
      <w:r w:rsidR="009A01E5">
        <w:t xml:space="preserve">hp, and Section 3.4 is used for larger engines.   If the engine or generator set identified in the permit application is identified </w:t>
      </w:r>
      <w:r>
        <w:t>by some other metric</w:t>
      </w:r>
      <w:r w:rsidR="009A01E5">
        <w:t>, the</w:t>
      </w:r>
      <w:r>
        <w:t>n you or the permit engineer</w:t>
      </w:r>
      <w:r w:rsidR="009A01E5">
        <w:t xml:space="preserve"> should </w:t>
      </w:r>
      <w:r>
        <w:t xml:space="preserve">determine the equivalent </w:t>
      </w:r>
      <w:r w:rsidR="00795DA0">
        <w:t>b</w:t>
      </w:r>
      <w:r>
        <w:t xml:space="preserve">hp-rating </w:t>
      </w:r>
      <w:r w:rsidR="009A01E5">
        <w:t xml:space="preserve">to make certain the applicant used the correct </w:t>
      </w:r>
      <w:r w:rsidR="00D541C1">
        <w:t>s</w:t>
      </w:r>
      <w:r w:rsidR="009A01E5">
        <w:t>ection of AP-42.  Errors are often made when the applicant refers to the generator</w:t>
      </w:r>
      <w:r>
        <w:t xml:space="preserve"> capacity</w:t>
      </w:r>
      <w:r w:rsidR="009A01E5">
        <w:t>, rather than the engine</w:t>
      </w:r>
      <w:r w:rsidR="009D310D">
        <w:t xml:space="preserve"> capacity</w:t>
      </w:r>
      <w:r w:rsidR="009A01E5">
        <w:t xml:space="preserve">, in determining </w:t>
      </w:r>
      <w:r w:rsidR="009D310D">
        <w:t xml:space="preserve">the </w:t>
      </w:r>
      <w:r w:rsidR="009A01E5">
        <w:t>engine size</w:t>
      </w:r>
      <w:r w:rsidR="009D310D">
        <w:t xml:space="preserve"> and applicable emission factor</w:t>
      </w:r>
      <w:r w:rsidR="009A01E5">
        <w:t xml:space="preserve">. </w:t>
      </w:r>
      <w:r w:rsidR="00942476">
        <w:t xml:space="preserve"> See the Background Information section below for additional details. </w:t>
      </w:r>
    </w:p>
    <w:p w14:paraId="07DCC834" w14:textId="6C0834BE" w:rsidR="009A01E5" w:rsidRDefault="008337FB">
      <w:r>
        <w:t xml:space="preserve">Per </w:t>
      </w:r>
      <w:proofErr w:type="gramStart"/>
      <w:r w:rsidR="00CC0554">
        <w:t>the</w:t>
      </w:r>
      <w:r w:rsidR="002270EC">
        <w:t xml:space="preserve"> Section</w:t>
      </w:r>
      <w:proofErr w:type="gramEnd"/>
      <w:r w:rsidR="002270EC">
        <w:t xml:space="preserve"> 8.2.2</w:t>
      </w:r>
      <w:r w:rsidR="008F461C">
        <w:t>(</w:t>
      </w:r>
      <w:r w:rsidR="002270EC">
        <w:t>d</w:t>
      </w:r>
      <w:r w:rsidR="008F461C">
        <w:t>)</w:t>
      </w:r>
      <w:r w:rsidR="002270EC">
        <w:t xml:space="preserve"> of the</w:t>
      </w:r>
      <w:r w:rsidR="00CC0554">
        <w:t xml:space="preserve"> </w:t>
      </w:r>
      <w:r w:rsidR="00CC0554" w:rsidRPr="00196955">
        <w:t>Guideline</w:t>
      </w:r>
      <w:r>
        <w:t xml:space="preserve">, applicants </w:t>
      </w:r>
      <w:r w:rsidR="002270EC">
        <w:t xml:space="preserve">may need to consider the effects of </w:t>
      </w:r>
      <w:r w:rsidR="009A01E5" w:rsidRPr="00B10CF3">
        <w:t xml:space="preserve">partial load </w:t>
      </w:r>
      <w:r w:rsidR="009A01E5">
        <w:t xml:space="preserve">operation </w:t>
      </w:r>
      <w:r w:rsidR="002270EC">
        <w:t xml:space="preserve">in their ambient demonstration (see Section </w:t>
      </w:r>
      <w:r w:rsidR="00905260">
        <w:fldChar w:fldCharType="begin"/>
      </w:r>
      <w:r w:rsidR="00905260">
        <w:instrText xml:space="preserve"> REF _Ref439925499 \w \h </w:instrText>
      </w:r>
      <w:r w:rsidR="00905260">
        <w:fldChar w:fldCharType="separate"/>
      </w:r>
      <w:r w:rsidR="00135FFD">
        <w:t>2.7.5</w:t>
      </w:r>
      <w:r w:rsidR="00905260">
        <w:fldChar w:fldCharType="end"/>
      </w:r>
      <w:r w:rsidR="002270EC">
        <w:t>)</w:t>
      </w:r>
      <w:r w:rsidR="009A01E5">
        <w:t xml:space="preserve">.  </w:t>
      </w:r>
      <w:r w:rsidR="002270EC">
        <w:t>In those situations, EPA recommends a screening analysis where a range of operating conditions are assessed</w:t>
      </w:r>
      <w:r w:rsidR="00EE1840">
        <w:t xml:space="preserve"> (e.g., the</w:t>
      </w:r>
      <w:r w:rsidR="002270EC">
        <w:t xml:space="preserve"> </w:t>
      </w:r>
      <w:r w:rsidR="009A01E5">
        <w:t>100</w:t>
      </w:r>
      <w:r w:rsidR="00D541C1">
        <w:t xml:space="preserve"> percent</w:t>
      </w:r>
      <w:r w:rsidR="009A01E5">
        <w:t>, 75</w:t>
      </w:r>
      <w:r w:rsidR="00D541C1">
        <w:t xml:space="preserve"> percent</w:t>
      </w:r>
      <w:r w:rsidR="009A01E5">
        <w:t>, and 50</w:t>
      </w:r>
      <w:r w:rsidR="00D541C1">
        <w:t xml:space="preserve"> percent</w:t>
      </w:r>
      <w:r w:rsidR="009A01E5">
        <w:t xml:space="preserve"> load points</w:t>
      </w:r>
      <w:r w:rsidR="00EE1840">
        <w:t>)</w:t>
      </w:r>
      <w:r w:rsidR="002270EC">
        <w:t xml:space="preserve">, </w:t>
      </w:r>
      <w:proofErr w:type="gramStart"/>
      <w:r w:rsidR="002270EC">
        <w:t>in order to</w:t>
      </w:r>
      <w:proofErr w:type="gramEnd"/>
      <w:r w:rsidR="002270EC">
        <w:t xml:space="preserve"> </w:t>
      </w:r>
      <w:r w:rsidR="00F357C0">
        <w:t>determine which load causes the maximum ground-level concentrations</w:t>
      </w:r>
      <w:r w:rsidR="009A01E5">
        <w:t xml:space="preserve">.  </w:t>
      </w:r>
      <w:r w:rsidR="006F6E51">
        <w:t xml:space="preserve">Part-load vendor </w:t>
      </w:r>
      <w:r w:rsidR="00D67994">
        <w:t xml:space="preserve">or source test </w:t>
      </w:r>
      <w:r w:rsidR="006F6E51">
        <w:t>data should be used when available</w:t>
      </w:r>
      <w:r w:rsidR="00F357C0">
        <w:t xml:space="preserve"> for making this type of screening-level analysis</w:t>
      </w:r>
      <w:r w:rsidR="006F6E51">
        <w:t>.  When vendor</w:t>
      </w:r>
      <w:r w:rsidR="00D67994">
        <w:t xml:space="preserve"> or source test</w:t>
      </w:r>
      <w:r w:rsidR="006F6E51">
        <w:t xml:space="preserve"> data is not </w:t>
      </w:r>
      <w:proofErr w:type="gramStart"/>
      <w:r w:rsidR="006F6E51">
        <w:t xml:space="preserve">available, </w:t>
      </w:r>
      <w:r w:rsidR="0003619D">
        <w:t xml:space="preserve"> </w:t>
      </w:r>
      <w:r w:rsidR="00A9315F">
        <w:t>applicants</w:t>
      </w:r>
      <w:proofErr w:type="gramEnd"/>
      <w:r w:rsidR="00A9315F">
        <w:t xml:space="preserve"> may </w:t>
      </w:r>
      <w:r w:rsidR="006F6E51">
        <w:t>assume th</w:t>
      </w:r>
      <w:r w:rsidR="00A9315F">
        <w:t>at th</w:t>
      </w:r>
      <w:r w:rsidR="006F6E51">
        <w:t xml:space="preserve">e actual flow rate varies linearly with load (i.e., multiply the </w:t>
      </w:r>
      <w:r w:rsidR="00A9315F">
        <w:t>vendor</w:t>
      </w:r>
      <w:r w:rsidR="006F6E51">
        <w:t>’s 100</w:t>
      </w:r>
      <w:r w:rsidR="00D541C1">
        <w:t xml:space="preserve"> percent</w:t>
      </w:r>
      <w:r w:rsidR="006F6E51">
        <w:t xml:space="preserve"> load data by 0.75 for the 75</w:t>
      </w:r>
      <w:r w:rsidR="00D541C1">
        <w:t xml:space="preserve"> percent</w:t>
      </w:r>
      <w:r w:rsidR="006F6E51">
        <w:t xml:space="preserve"> load scenario and by 0.50 for the 50</w:t>
      </w:r>
      <w:r w:rsidR="00D541C1">
        <w:t xml:space="preserve"> percent</w:t>
      </w:r>
      <w:r w:rsidR="006F6E51">
        <w:t xml:space="preserve"> load scenario</w:t>
      </w:r>
      <w:r w:rsidR="00277663">
        <w:t>)</w:t>
      </w:r>
      <w:r w:rsidR="00F357C0">
        <w:t xml:space="preserve"> as a reasonable rule-of-thumb</w:t>
      </w:r>
      <w:r w:rsidR="006F6E51">
        <w:t xml:space="preserve">. </w:t>
      </w:r>
      <w:r w:rsidR="00277663">
        <w:t xml:space="preserve"> </w:t>
      </w:r>
      <w:r w:rsidR="001F5EB5">
        <w:t xml:space="preserve">For estimating the part-load exhaust temperature (in degrees K), </w:t>
      </w:r>
      <w:r w:rsidR="00A9315F">
        <w:t xml:space="preserve">applicants may </w:t>
      </w:r>
      <w:r w:rsidR="006F6E51">
        <w:t>multiply the 100</w:t>
      </w:r>
      <w:r w:rsidR="00D541C1">
        <w:t xml:space="preserve"> percent</w:t>
      </w:r>
      <w:r w:rsidR="006F6E51">
        <w:t xml:space="preserve"> load data by 0.90 for the 75</w:t>
      </w:r>
      <w:r w:rsidR="00D541C1">
        <w:t xml:space="preserve"> percent</w:t>
      </w:r>
      <w:r w:rsidR="006F6E51">
        <w:t xml:space="preserve"> load scenario</w:t>
      </w:r>
      <w:r w:rsidR="009235F3">
        <w:t>,</w:t>
      </w:r>
      <w:r w:rsidR="006F6E51">
        <w:t xml:space="preserve"> and by 0.85 for the 50</w:t>
      </w:r>
      <w:r w:rsidR="00D541C1">
        <w:t xml:space="preserve"> percent</w:t>
      </w:r>
      <w:r w:rsidR="006F6E51">
        <w:t xml:space="preserve"> load scenario.</w:t>
      </w:r>
      <w:r w:rsidR="006F6E51">
        <w:rPr>
          <w:rStyle w:val="FootnoteReference"/>
        </w:rPr>
        <w:footnoteReference w:id="61"/>
      </w:r>
      <w:r w:rsidR="006F6E51">
        <w:t xml:space="preserve">  </w:t>
      </w:r>
      <w:r w:rsidR="004D09DA">
        <w:lastRenderedPageBreak/>
        <w:t xml:space="preserve">Please note that these assumptions may not be appropriate for other permitting aspects, such as PSD avoidance caps.  </w:t>
      </w:r>
    </w:p>
    <w:p w14:paraId="3BF91DD3" w14:textId="676EF956" w:rsidR="00803250" w:rsidRDefault="00DB1CC8">
      <w:pPr>
        <w:keepNext/>
        <w:spacing w:after="120"/>
        <w:rPr>
          <w:b/>
          <w:u w:val="single"/>
        </w:rPr>
      </w:pPr>
      <w:r w:rsidRPr="00B30D97">
        <w:rPr>
          <w:b/>
          <w:u w:val="single"/>
        </w:rPr>
        <w:t xml:space="preserve">Background Information – </w:t>
      </w:r>
      <w:r w:rsidR="00AD630A">
        <w:rPr>
          <w:b/>
          <w:u w:val="single"/>
        </w:rPr>
        <w:t>Reciprocating</w:t>
      </w:r>
      <w:r w:rsidR="00AD630A" w:rsidRPr="00B30D97">
        <w:rPr>
          <w:b/>
          <w:u w:val="single"/>
        </w:rPr>
        <w:t xml:space="preserve"> </w:t>
      </w:r>
      <w:r w:rsidRPr="00B30D97">
        <w:rPr>
          <w:b/>
          <w:u w:val="single"/>
        </w:rPr>
        <w:t>Engines</w:t>
      </w:r>
    </w:p>
    <w:p w14:paraId="5EFA0490" w14:textId="0C5557DE" w:rsidR="00DB1CC8" w:rsidRDefault="00DB1CC8" w:rsidP="00DB1CC8">
      <w:r>
        <w:t xml:space="preserve">Diesel-fired </w:t>
      </w:r>
      <w:r w:rsidR="00AD630A">
        <w:t xml:space="preserve">or gas-fired reciprocating </w:t>
      </w:r>
      <w:r>
        <w:t xml:space="preserve">engines are commonly used in Alaska for </w:t>
      </w:r>
      <w:r w:rsidR="00AD630A">
        <w:t xml:space="preserve">a wide variety of purposes, including </w:t>
      </w:r>
      <w:r>
        <w:t xml:space="preserve">electrical </w:t>
      </w:r>
      <w:r w:rsidR="00AD630A">
        <w:t xml:space="preserve">power </w:t>
      </w:r>
      <w:r>
        <w:t xml:space="preserve">generation.  All </w:t>
      </w:r>
      <w:r w:rsidR="00834DDE">
        <w:t xml:space="preserve">reciprocating </w:t>
      </w:r>
      <w:r>
        <w:t xml:space="preserve">engines operate </w:t>
      </w:r>
      <w:proofErr w:type="gramStart"/>
      <w:r>
        <w:t>by</w:t>
      </w:r>
      <w:proofErr w:type="gramEnd"/>
      <w:r>
        <w:t xml:space="preserve"> the same basic process.  A combustible air-fuel mixture is first compressed in a small volume between the head of a piston and its surrounding cylinder.  The mixture is then ignited</w:t>
      </w:r>
      <w:r w:rsidR="00AD630A">
        <w:t xml:space="preserve"> (through either a spark or through the compression process)</w:t>
      </w:r>
      <w:r>
        <w:t>, and the resulting high-pressure products of combustion push the piston down the cylinder, converting the energy to rotary motion of the crankshaft.  The piston returns, pushing out the exhaust gases, and the cycle is repeated.</w:t>
      </w:r>
      <w:r w:rsidR="00834DDE">
        <w:rPr>
          <w:rStyle w:val="FootnoteReference"/>
        </w:rPr>
        <w:footnoteReference w:id="62"/>
      </w:r>
      <w:r>
        <w:t xml:space="preserve">  Because the combustion process occurs at relatively high temperatures, there is a relatively high concentration of </w:t>
      </w:r>
      <w:proofErr w:type="gramStart"/>
      <w:r>
        <w:t>thermally-formed</w:t>
      </w:r>
      <w:proofErr w:type="gramEnd"/>
      <w:r>
        <w:t xml:space="preserve"> NOx in the exhaust.  Other pollutants in the exhaust gases include CO, particulates, and VOCs, which all result from incomplete combustion of the fuel.  There are two different general designs of IC engines, referred to as “rich-burn” or “lean-burn”.  Rich-burn engines have an air-to-fuel ratio operating range that is near stoichiometric or fuel-rich of stoichiometric and as a result the exhaust gas has little or no excess oxygen.  A lean-burn engine has an air-to-fuel operating range that is fuel-lean of stoichiometric; therefore, the exhaust from these engines is characterized by medium to high levels of O</w:t>
      </w:r>
      <w:r>
        <w:rPr>
          <w:vertAlign w:val="subscript"/>
        </w:rPr>
        <w:t>2</w:t>
      </w:r>
      <w:r>
        <w:t>.  The most common NOx emission control techniques are injection timing retard (ITR), pre-ignition chamber combustion (PCC), and computerized air-to-fuel ratio adjustments.</w:t>
      </w:r>
    </w:p>
    <w:p w14:paraId="388DEB25" w14:textId="460C9A96" w:rsidR="00DB1CC8" w:rsidRDefault="00DB1CC8" w:rsidP="00DB1CC8">
      <w:r>
        <w:t xml:space="preserve">If the engine is used for electricity generation, the shaft of the engine is connected to an electrical generator.  Often, a manufacturer will sell the generator and engine together as a matched package, referred to as a “generator set”, but in some cases the engine may be under- or over-sized with respect to the generator.  The distinction between the power rating of the engine and output electrical capacity of the generator is important, especially in calculating emissions and stack parameters.  </w:t>
      </w:r>
    </w:p>
    <w:p w14:paraId="738E985C" w14:textId="625D72C4" w:rsidR="00142883" w:rsidRDefault="00DB1CC8" w:rsidP="00E71FA7">
      <w:pPr>
        <w:widowControl w:val="0"/>
      </w:pPr>
      <w:r>
        <w:t xml:space="preserve">Engine capacities are commonly </w:t>
      </w:r>
      <w:r w:rsidR="00E65477">
        <w:t xml:space="preserve">provided </w:t>
      </w:r>
      <w:r w:rsidR="00BD11BE">
        <w:t>in terms of “</w:t>
      </w:r>
      <w:r w:rsidR="00E65477">
        <w:t>brake horsepower</w:t>
      </w:r>
      <w:r w:rsidR="00597722">
        <w:t>,</w:t>
      </w:r>
      <w:r w:rsidR="00BD11BE">
        <w:t>”</w:t>
      </w:r>
      <w:r w:rsidR="00E65477">
        <w:t xml:space="preserve"> which reflects </w:t>
      </w:r>
      <w:r>
        <w:t>the mechanical shaft power output</w:t>
      </w:r>
      <w:r w:rsidR="00E65477">
        <w:t xml:space="preserve">.  However, </w:t>
      </w:r>
      <w:r w:rsidR="00BD11BE">
        <w:t xml:space="preserve">generator sets may be </w:t>
      </w:r>
      <w:r w:rsidR="00E65477">
        <w:t xml:space="preserve">rated in terms of the generator output – </w:t>
      </w:r>
      <w:r w:rsidR="00DD3316">
        <w:t>e.g.</w:t>
      </w:r>
      <w:r>
        <w:t xml:space="preserve"> kilowatts (kW) </w:t>
      </w:r>
      <w:r w:rsidR="00E65477">
        <w:t xml:space="preserve">or megawatts (MW).  </w:t>
      </w:r>
      <w:r w:rsidR="00A42234">
        <w:t xml:space="preserve">Engines can also be rated by fuel consumption, which would </w:t>
      </w:r>
      <w:r w:rsidR="00CE3583">
        <w:t xml:space="preserve">typically be </w:t>
      </w:r>
      <w:r w:rsidR="00A42234">
        <w:t xml:space="preserve">provided in terms of either </w:t>
      </w:r>
      <w:r w:rsidR="00DD3316">
        <w:t xml:space="preserve">maximum </w:t>
      </w:r>
      <w:r>
        <w:t xml:space="preserve">heat input </w:t>
      </w:r>
      <w:r w:rsidR="00A937D7">
        <w:t>(</w:t>
      </w:r>
      <w:r w:rsidR="00A42234">
        <w:t xml:space="preserve">e.g., </w:t>
      </w:r>
      <w:r w:rsidR="00A937D7">
        <w:t>million British thermal units per hour (</w:t>
      </w:r>
      <w:r>
        <w:t>MMBtu/</w:t>
      </w:r>
      <w:proofErr w:type="spellStart"/>
      <w:r>
        <w:t>hr</w:t>
      </w:r>
      <w:proofErr w:type="spellEnd"/>
      <w:r w:rsidR="00A42234">
        <w:t>)</w:t>
      </w:r>
      <w:r w:rsidR="00A937D7">
        <w:t>),</w:t>
      </w:r>
      <w:r w:rsidR="00A42234">
        <w:t xml:space="preserve"> or </w:t>
      </w:r>
      <w:r w:rsidR="00A937D7">
        <w:t xml:space="preserve">maximum </w:t>
      </w:r>
      <w:r w:rsidR="00A42234">
        <w:t>volume</w:t>
      </w:r>
      <w:r w:rsidR="00DD3316">
        <w:t>tric</w:t>
      </w:r>
      <w:r w:rsidR="00A42234">
        <w:t xml:space="preserve"> </w:t>
      </w:r>
      <w:r w:rsidR="00CE3583">
        <w:t xml:space="preserve">flow </w:t>
      </w:r>
      <w:r w:rsidR="00A42234">
        <w:t>(e.g., gallons per hour</w:t>
      </w:r>
      <w:r w:rsidR="00A937D7">
        <w:t xml:space="preserve"> (gal/</w:t>
      </w:r>
      <w:proofErr w:type="spellStart"/>
      <w:r w:rsidR="00A937D7">
        <w:t>hr</w:t>
      </w:r>
      <w:proofErr w:type="spellEnd"/>
      <w:r w:rsidR="00A937D7">
        <w:t>)</w:t>
      </w:r>
      <w:r>
        <w:t xml:space="preserve">).  </w:t>
      </w:r>
      <w:r w:rsidR="009D6E29">
        <w:t xml:space="preserve">The various points of measurement discussed above are illustrated in </w:t>
      </w:r>
      <w:r w:rsidR="00112C4A">
        <w:fldChar w:fldCharType="begin"/>
      </w:r>
      <w:r w:rsidR="00112C4A">
        <w:instrText xml:space="preserve"> REF _Ref447713780 \h </w:instrText>
      </w:r>
      <w:r w:rsidR="00112C4A">
        <w:fldChar w:fldCharType="separate"/>
      </w:r>
      <w:r w:rsidR="008F4A3B">
        <w:t xml:space="preserve">Figure </w:t>
      </w:r>
      <w:r w:rsidR="008F4A3B">
        <w:rPr>
          <w:noProof/>
        </w:rPr>
        <w:t>10</w:t>
      </w:r>
      <w:r w:rsidR="00112C4A">
        <w:fldChar w:fldCharType="end"/>
      </w:r>
      <w:r w:rsidR="009D6E29">
        <w:t>.</w:t>
      </w:r>
    </w:p>
    <w:p w14:paraId="19702D02" w14:textId="648D7B01" w:rsidR="00793A39" w:rsidRDefault="00CA24F1" w:rsidP="00E71FA7">
      <w:pPr>
        <w:pStyle w:val="Caption"/>
        <w:widowControl w:val="0"/>
      </w:pPr>
      <w:bookmarkStart w:id="170" w:name="_Ref447706302"/>
      <w:r>
        <w:rPr>
          <w:noProof/>
        </w:rPr>
        <w:lastRenderedPageBreak/>
        <mc:AlternateContent>
          <mc:Choice Requires="wps">
            <w:drawing>
              <wp:anchor distT="0" distB="0" distL="114300" distR="114300" simplePos="0" relativeHeight="251709440" behindDoc="0" locked="0" layoutInCell="1" allowOverlap="1" wp14:anchorId="3ED3111C" wp14:editId="1195FE64">
                <wp:simplePos x="0" y="0"/>
                <wp:positionH relativeFrom="column">
                  <wp:posOffset>0</wp:posOffset>
                </wp:positionH>
                <wp:positionV relativeFrom="paragraph">
                  <wp:posOffset>2372360</wp:posOffset>
                </wp:positionV>
                <wp:extent cx="5457825" cy="635"/>
                <wp:effectExtent l="0" t="0" r="0" b="0"/>
                <wp:wrapTopAndBottom/>
                <wp:docPr id="195" name="Text Box 195"/>
                <wp:cNvGraphicFramePr/>
                <a:graphic xmlns:a="http://schemas.openxmlformats.org/drawingml/2006/main">
                  <a:graphicData uri="http://schemas.microsoft.com/office/word/2010/wordprocessingShape">
                    <wps:wsp>
                      <wps:cNvSpPr txBox="1"/>
                      <wps:spPr>
                        <a:xfrm>
                          <a:off x="0" y="0"/>
                          <a:ext cx="5457825" cy="635"/>
                        </a:xfrm>
                        <a:prstGeom prst="rect">
                          <a:avLst/>
                        </a:prstGeom>
                        <a:solidFill>
                          <a:prstClr val="white"/>
                        </a:solidFill>
                        <a:ln>
                          <a:noFill/>
                        </a:ln>
                        <a:effectLst/>
                      </wps:spPr>
                      <wps:txbx>
                        <w:txbxContent>
                          <w:p w14:paraId="125C319F" w14:textId="1BA716BE" w:rsidR="004830EA" w:rsidRPr="009D7748" w:rsidRDefault="004830EA" w:rsidP="00CA24F1">
                            <w:pPr>
                              <w:pStyle w:val="Caption"/>
                              <w:jc w:val="center"/>
                              <w:rPr>
                                <w:noProof/>
                              </w:rPr>
                            </w:pPr>
                            <w:bookmarkStart w:id="171" w:name="_Ref447713780"/>
                            <w:bookmarkStart w:id="172" w:name="_Toc526778353"/>
                            <w:r>
                              <w:t xml:space="preserve">Figure </w:t>
                            </w:r>
                            <w:r>
                              <w:rPr>
                                <w:noProof/>
                              </w:rPr>
                              <w:fldChar w:fldCharType="begin"/>
                            </w:r>
                            <w:r>
                              <w:rPr>
                                <w:noProof/>
                              </w:rPr>
                              <w:instrText xml:space="preserve"> SEQ Figure \* ARABIC </w:instrText>
                            </w:r>
                            <w:r>
                              <w:rPr>
                                <w:noProof/>
                              </w:rPr>
                              <w:fldChar w:fldCharType="separate"/>
                            </w:r>
                            <w:r>
                              <w:rPr>
                                <w:noProof/>
                              </w:rPr>
                              <w:t>10</w:t>
                            </w:r>
                            <w:r>
                              <w:rPr>
                                <w:noProof/>
                              </w:rPr>
                              <w:fldChar w:fldCharType="end"/>
                            </w:r>
                            <w:bookmarkEnd w:id="171"/>
                            <w:r>
                              <w:t>.  Illustration of Typical Generator Set Measurement Points</w:t>
                            </w:r>
                            <w:bookmarkEnd w:id="17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ED3111C" id="Text Box 195" o:spid="_x0000_s1046" type="#_x0000_t202" style="position:absolute;margin-left:0;margin-top:186.8pt;width:429.75pt;height:.0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" stroked="f">
                <v:textbox style="mso-fit-shape-to-text:t" inset="0,0,0,0">
                  <w:txbxContent>
                    <w:p w14:paraId="125C319F" w14:textId="1BA716BE" w:rsidR="004830EA" w:rsidRPr="009D7748" w:rsidRDefault="004830EA" w:rsidP="00CA24F1">
                      <w:pPr>
                        <w:pStyle w:val="Caption"/>
                        <w:jc w:val="center"/>
                        <w:rPr>
                          <w:noProof/>
                        </w:rPr>
                      </w:pPr>
                      <w:bookmarkStart w:id="173" w:name="_Ref447713780"/>
                      <w:bookmarkStart w:id="174" w:name="_Toc526778353"/>
                      <w:r>
                        <w:t xml:space="preserve">Figure </w:t>
                      </w:r>
                      <w:r>
                        <w:rPr>
                          <w:noProof/>
                        </w:rPr>
                        <w:fldChar w:fldCharType="begin"/>
                      </w:r>
                      <w:r>
                        <w:rPr>
                          <w:noProof/>
                        </w:rPr>
                        <w:instrText xml:space="preserve"> SEQ Figure \* ARABIC </w:instrText>
                      </w:r>
                      <w:r>
                        <w:rPr>
                          <w:noProof/>
                        </w:rPr>
                        <w:fldChar w:fldCharType="separate"/>
                      </w:r>
                      <w:r>
                        <w:rPr>
                          <w:noProof/>
                        </w:rPr>
                        <w:t>10</w:t>
                      </w:r>
                      <w:r>
                        <w:rPr>
                          <w:noProof/>
                        </w:rPr>
                        <w:fldChar w:fldCharType="end"/>
                      </w:r>
                      <w:bookmarkEnd w:id="173"/>
                      <w:r>
                        <w:t>.  Illustration of Typical Generator Set Measurement Points</w:t>
                      </w:r>
                      <w:bookmarkEnd w:id="174"/>
                    </w:p>
                  </w:txbxContent>
                </v:textbox>
                <w10:wrap type="topAndBottom"/>
              </v:shape>
            </w:pict>
          </mc:Fallback>
        </mc:AlternateContent>
      </w:r>
      <w:r w:rsidR="00793A39">
        <w:rPr>
          <w:noProof/>
        </w:rPr>
        <w:drawing>
          <wp:anchor distT="0" distB="0" distL="114300" distR="114300" simplePos="0" relativeHeight="251707392" behindDoc="0" locked="0" layoutInCell="1" allowOverlap="1" wp14:anchorId="4D50E642" wp14:editId="5E7A9948">
            <wp:simplePos x="0" y="0"/>
            <wp:positionH relativeFrom="margin">
              <wp:align>right</wp:align>
            </wp:positionH>
            <wp:positionV relativeFrom="paragraph">
              <wp:posOffset>251460</wp:posOffset>
            </wp:positionV>
            <wp:extent cx="5457825" cy="2063750"/>
            <wp:effectExtent l="19050" t="19050" r="28575" b="12700"/>
            <wp:wrapTopAndBottom/>
            <wp:docPr id="26" name="Picture 26" descr="illustration of typical generator set measurement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llustration of typical generator set measurement points"/>
                    <pic:cNvPicPr/>
                  </pic:nvPicPr>
                  <pic:blipFill rotWithShape="1">
                    <a:blip r:embed="rId124">
                      <a:extLst>
                        <a:ext uri="{28A0092B-C50C-407E-A947-70E740481C1C}">
                          <a14:useLocalDpi xmlns:a14="http://schemas.microsoft.com/office/drawing/2010/main" val="0"/>
                        </a:ext>
                      </a:extLst>
                    </a:blip>
                    <a:srcRect l="-694" t="11462" r="5241" b="31229"/>
                    <a:stretch/>
                  </pic:blipFill>
                  <pic:spPr bwMode="auto">
                    <a:xfrm>
                      <a:off x="0" y="0"/>
                      <a:ext cx="5457825" cy="20637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70"/>
    </w:p>
    <w:p w14:paraId="5E2D9178" w14:textId="5AF3E3AA" w:rsidR="00CC70CE" w:rsidRDefault="00142883" w:rsidP="00DB1CC8">
      <w:r>
        <w:t xml:space="preserve">The engine rating may need to be converted to some other reference point and units of measure </w:t>
      </w:r>
      <w:proofErr w:type="gramStart"/>
      <w:r>
        <w:t>in order to</w:t>
      </w:r>
      <w:proofErr w:type="gramEnd"/>
      <w:r>
        <w:t xml:space="preserve"> estimate the emissions.  For example, a kW rating for a generator set would need to be converted to the mechanical shaft output rating </w:t>
      </w:r>
      <w:proofErr w:type="gramStart"/>
      <w:r>
        <w:t>in order to</w:t>
      </w:r>
      <w:proofErr w:type="gramEnd"/>
      <w:r>
        <w:t xml:space="preserve"> use </w:t>
      </w:r>
      <w:r w:rsidR="00585909">
        <w:t>an AP-42</w:t>
      </w:r>
      <w:r>
        <w:t xml:space="preserve"> pound per horsepower-hour (</w:t>
      </w:r>
      <w:proofErr w:type="spellStart"/>
      <w:r>
        <w:t>lb</w:t>
      </w:r>
      <w:proofErr w:type="spellEnd"/>
      <w:r>
        <w:t>/hp-</w:t>
      </w:r>
      <w:proofErr w:type="spellStart"/>
      <w:r>
        <w:t>hr</w:t>
      </w:r>
      <w:proofErr w:type="spellEnd"/>
      <w:r>
        <w:t>) emission factor</w:t>
      </w:r>
      <w:r w:rsidR="00585909">
        <w:t xml:space="preserve">.  </w:t>
      </w:r>
      <w:r w:rsidR="00836C54">
        <w:t>The following two factors would therefore need to be considered in making this conversion</w:t>
      </w:r>
      <w:proofErr w:type="gramStart"/>
      <w:r w:rsidR="00836C54">
        <w:t>:  1</w:t>
      </w:r>
      <w:proofErr w:type="gramEnd"/>
      <w:r w:rsidR="00836C54">
        <w:t>) what’s the generator efficiency (i.e., how much of the engine output is converted into electricity); and 2)</w:t>
      </w:r>
      <w:r w:rsidR="00B33728" w:rsidRPr="008E3429">
        <w:t> </w:t>
      </w:r>
      <w:r w:rsidR="00836C54">
        <w:t xml:space="preserve">what’s the kW to hp conversion factor?  </w:t>
      </w:r>
      <w:r w:rsidR="006B418E">
        <w:t>The answer to question 2 is straight-forward: 1</w:t>
      </w:r>
      <w:r w:rsidR="00436E5C" w:rsidRPr="008E3429">
        <w:t> </w:t>
      </w:r>
      <w:r w:rsidR="006B418E">
        <w:t>hp equals 0.746</w:t>
      </w:r>
      <w:r w:rsidR="00436E5C" w:rsidRPr="008E3429">
        <w:t> </w:t>
      </w:r>
      <w:r w:rsidR="006B418E">
        <w:t xml:space="preserve">kW. </w:t>
      </w:r>
    </w:p>
    <w:p w14:paraId="2C4C8B60" w14:textId="0BDEFAD7" w:rsidR="00DB1CC8" w:rsidRDefault="006B418E" w:rsidP="00DB1CC8">
      <w:r>
        <w:t xml:space="preserve">The answer to </w:t>
      </w:r>
      <w:r w:rsidR="0008067A">
        <w:t xml:space="preserve">the first </w:t>
      </w:r>
      <w:r>
        <w:t xml:space="preserve">question varies by generator design and size.  </w:t>
      </w:r>
      <w:r w:rsidR="00CD4D73">
        <w:t>As a rule of thumb though</w:t>
      </w:r>
      <w:r>
        <w:t xml:space="preserve">, </w:t>
      </w:r>
      <w:r w:rsidR="00DB1CC8">
        <w:t xml:space="preserve">generators </w:t>
      </w:r>
      <w:r w:rsidR="00CD4D73">
        <w:t xml:space="preserve">typically convert 90 to 95 percent of the </w:t>
      </w:r>
      <w:r w:rsidR="00DB1CC8">
        <w:t xml:space="preserve">shaft mechanical power to electrical power.  </w:t>
      </w:r>
      <w:r w:rsidR="00CD4D73">
        <w:t>For</w:t>
      </w:r>
      <w:r w:rsidR="00DB1CC8">
        <w:t xml:space="preserve"> example, in a matched engine/generator system, an engine rated at 900</w:t>
      </w:r>
      <w:r w:rsidR="00436E5C" w:rsidRPr="008E3429">
        <w:t> </w:t>
      </w:r>
      <w:r w:rsidR="00DB1CC8">
        <w:t>bhp (</w:t>
      </w:r>
      <w:r w:rsidR="00CD4D73">
        <w:t>671</w:t>
      </w:r>
      <w:r w:rsidR="00CD4D73" w:rsidRPr="008E3429">
        <w:t> </w:t>
      </w:r>
      <w:r w:rsidR="00DB1CC8">
        <w:t xml:space="preserve">kW of mechanical power output), </w:t>
      </w:r>
      <w:r w:rsidR="00CD4D73">
        <w:t>would likely only produce</w:t>
      </w:r>
      <w:r>
        <w:t xml:space="preserve"> </w:t>
      </w:r>
      <w:r w:rsidR="00CD4D73">
        <w:t>604</w:t>
      </w:r>
      <w:r>
        <w:t xml:space="preserve"> </w:t>
      </w:r>
      <w:r w:rsidR="003D1E3E">
        <w:t>–</w:t>
      </w:r>
      <w:r>
        <w:t xml:space="preserve"> </w:t>
      </w:r>
      <w:r w:rsidR="00DB1CC8">
        <w:t>6</w:t>
      </w:r>
      <w:r w:rsidR="00CD4D73">
        <w:t>37</w:t>
      </w:r>
      <w:r w:rsidR="003D1E3E" w:rsidRPr="008E3429">
        <w:t> </w:t>
      </w:r>
      <w:r w:rsidR="00DB1CC8">
        <w:t>kW</w:t>
      </w:r>
      <w:r w:rsidR="00CD4D73">
        <w:t xml:space="preserve"> of electrical power</w:t>
      </w:r>
      <w:r w:rsidR="00DB1CC8">
        <w:t>.</w:t>
      </w:r>
    </w:p>
    <w:p w14:paraId="1769FA28" w14:textId="0E9E7F35" w:rsidR="00B63D2C" w:rsidRDefault="006B418E" w:rsidP="009B72E5">
      <w:pPr>
        <w:widowControl w:val="0"/>
      </w:pPr>
      <w:r>
        <w:t xml:space="preserve">The overall efficiency of </w:t>
      </w:r>
      <w:r w:rsidR="0061513A">
        <w:t xml:space="preserve">using a reciprocating </w:t>
      </w:r>
      <w:r>
        <w:t>engine</w:t>
      </w:r>
      <w:r w:rsidR="0061513A">
        <w:t xml:space="preserve"> to convert fuel into mechanical shaft power also varies by size and d</w:t>
      </w:r>
      <w:r>
        <w:t xml:space="preserve">esign, but </w:t>
      </w:r>
      <w:r w:rsidR="0061513A">
        <w:t xml:space="preserve">it roughly ranges from </w:t>
      </w:r>
      <w:r>
        <w:t>35</w:t>
      </w:r>
      <w:r w:rsidR="0061513A">
        <w:t xml:space="preserve"> to </w:t>
      </w:r>
      <w:r>
        <w:t>40 percent.  This translates into a conversion from heat input rate in MMBtu/</w:t>
      </w:r>
      <w:proofErr w:type="spellStart"/>
      <w:r>
        <w:t>hr</w:t>
      </w:r>
      <w:proofErr w:type="spellEnd"/>
      <w:r>
        <w:t xml:space="preserve"> to output power rate of bhp/</w:t>
      </w:r>
      <w:proofErr w:type="spellStart"/>
      <w:r>
        <w:t>hr</w:t>
      </w:r>
      <w:proofErr w:type="spellEnd"/>
      <w:r>
        <w:t xml:space="preserve"> of approximately 0.007</w:t>
      </w:r>
      <w:r w:rsidR="00436E5C" w:rsidRPr="008E3429">
        <w:t> </w:t>
      </w:r>
      <w:r>
        <w:t>MMBtu/bhp-</w:t>
      </w:r>
      <w:proofErr w:type="spellStart"/>
      <w:r>
        <w:t>hr</w:t>
      </w:r>
      <w:proofErr w:type="spellEnd"/>
      <w:r>
        <w:t xml:space="preserve"> (7,000</w:t>
      </w:r>
      <w:r w:rsidR="00436E5C" w:rsidRPr="008E3429">
        <w:t> </w:t>
      </w:r>
      <w:r>
        <w:t>Btu/bhp-</w:t>
      </w:r>
      <w:proofErr w:type="spellStart"/>
      <w:r>
        <w:t>hr</w:t>
      </w:r>
      <w:proofErr w:type="spellEnd"/>
      <w:r>
        <w:t xml:space="preserve">).  </w:t>
      </w:r>
    </w:p>
    <w:p w14:paraId="0F8BB6B2" w14:textId="77777777" w:rsidR="009A01E5" w:rsidRPr="005B60B0" w:rsidRDefault="002B2249" w:rsidP="00A5581E">
      <w:pPr>
        <w:pStyle w:val="Heading4"/>
        <w:keepLines/>
        <w:rPr>
          <w:szCs w:val="24"/>
        </w:rPr>
      </w:pPr>
      <w:bookmarkStart w:id="175" w:name="_Toc526778266"/>
      <w:r w:rsidRPr="002B2249">
        <w:rPr>
          <w:szCs w:val="24"/>
        </w:rPr>
        <w:lastRenderedPageBreak/>
        <w:t>Boilers and Heaters</w:t>
      </w:r>
      <w:bookmarkEnd w:id="175"/>
    </w:p>
    <w:p w14:paraId="7DEC95D0" w14:textId="77777777" w:rsidR="00630B69" w:rsidRDefault="00496E96" w:rsidP="00A5581E">
      <w:pPr>
        <w:keepNext/>
        <w:keepLines/>
      </w:pPr>
      <w:r>
        <w:t>External combustion sources (e.g., boilers and heaters) typically have lower emission r</w:t>
      </w:r>
      <w:r w:rsidR="00630B69">
        <w:t>ates</w:t>
      </w:r>
      <w:r>
        <w:t xml:space="preserve">, smaller exit velocities (volumetric flow rates) and cooler exhaust temperatures than internal combustion sources.  </w:t>
      </w:r>
    </w:p>
    <w:p w14:paraId="783C53E1" w14:textId="77777777" w:rsidR="001F7966" w:rsidRDefault="009A01E5" w:rsidP="00A5581E">
      <w:pPr>
        <w:keepNext/>
        <w:keepLines/>
      </w:pPr>
      <w:r w:rsidRPr="00D23EE5">
        <w:t xml:space="preserve">Stack flow rates and temperatures </w:t>
      </w:r>
      <w:r>
        <w:t>should be taken from manufacturer’s data</w:t>
      </w:r>
      <w:r w:rsidR="00F300A5">
        <w:t>, when available</w:t>
      </w:r>
      <w:r>
        <w:t xml:space="preserve">.  </w:t>
      </w:r>
      <w:r w:rsidR="00F300A5">
        <w:t>If not, i</w:t>
      </w:r>
      <w:r>
        <w:t xml:space="preserve">t is possible to estimate </w:t>
      </w:r>
      <w:r w:rsidR="00F300A5">
        <w:t xml:space="preserve">the stack </w:t>
      </w:r>
      <w:r>
        <w:t>flow rate using the heat input rate and the appropriate “F-factor”.</w:t>
      </w:r>
      <w:r w:rsidR="00F300A5">
        <w:rPr>
          <w:rStyle w:val="FootnoteReference"/>
        </w:rPr>
        <w:footnoteReference w:id="63"/>
      </w:r>
      <w:r>
        <w:t xml:space="preserve">  An F-factor is the ratio of the </w:t>
      </w:r>
      <w:r w:rsidR="00705C6D">
        <w:t xml:space="preserve">combustion gas volume </w:t>
      </w:r>
      <w:r>
        <w:t>to the heat content of the fuel, expresse</w:t>
      </w:r>
      <w:r w:rsidR="0061179D">
        <w:t>d</w:t>
      </w:r>
      <w:r>
        <w:t xml:space="preserve"> as </w:t>
      </w:r>
      <w:r w:rsidR="0061179D">
        <w:t>standard cubic f</w:t>
      </w:r>
      <w:r w:rsidR="00303D92">
        <w:t>eet</w:t>
      </w:r>
      <w:r w:rsidR="0061179D">
        <w:t xml:space="preserve"> </w:t>
      </w:r>
      <w:r w:rsidR="008824E4">
        <w:t xml:space="preserve">per </w:t>
      </w:r>
      <w:r w:rsidR="0071391F">
        <w:t>million B</w:t>
      </w:r>
      <w:r>
        <w:t>tu</w:t>
      </w:r>
      <w:r w:rsidR="00303D92">
        <w:t xml:space="preserve"> (</w:t>
      </w:r>
      <w:proofErr w:type="spellStart"/>
      <w:r w:rsidR="00303D92">
        <w:t>scf</w:t>
      </w:r>
      <w:proofErr w:type="spellEnd"/>
      <w:r w:rsidR="00303D92">
        <w:t>/MMBtu)</w:t>
      </w:r>
      <w:r>
        <w:t>.</w:t>
      </w:r>
      <w:r w:rsidR="00303D92">
        <w:rPr>
          <w:rStyle w:val="FootnoteReference"/>
        </w:rPr>
        <w:footnoteReference w:id="64"/>
      </w:r>
      <w:r>
        <w:t xml:space="preserve">  </w:t>
      </w:r>
      <w:r w:rsidR="00705C6D">
        <w:t xml:space="preserve">F-factors are listed under Method 19 of </w:t>
      </w:r>
      <w:hyperlink r:id="rId125" w:history="1">
        <w:r w:rsidR="00705C6D" w:rsidRPr="00FB62A3">
          <w:rPr>
            <w:rStyle w:val="Hyperlink"/>
          </w:rPr>
          <w:t>40 CFR 60</w:t>
        </w:r>
      </w:hyperlink>
      <w:r w:rsidR="00705C6D">
        <w:t xml:space="preserve">, Appendix A.  </w:t>
      </w:r>
      <w:r>
        <w:t>The “wet</w:t>
      </w:r>
      <w:r w:rsidR="001F7966">
        <w:t>”</w:t>
      </w:r>
      <w:r>
        <w:t xml:space="preserve"> F-factor includes all the products of combustion, including water.  </w:t>
      </w:r>
      <w:r w:rsidR="001F7966">
        <w:t>The “dry” F-</w:t>
      </w:r>
      <w:r w:rsidR="00705C6D">
        <w:t>f</w:t>
      </w:r>
      <w:r w:rsidR="001F7966">
        <w:t xml:space="preserve">actor excludes water vapor.  The wet F-factor should be used for modeling purposes.  </w:t>
      </w:r>
    </w:p>
    <w:p w14:paraId="3D6AE0BD" w14:textId="77777777" w:rsidR="00703EE8" w:rsidRDefault="001F7966" w:rsidP="00A5581E">
      <w:pPr>
        <w:keepNext/>
        <w:keepLines/>
      </w:pPr>
      <w:r>
        <w:t>Th</w:t>
      </w:r>
      <w:r w:rsidR="009A01E5">
        <w:t>e range of wet F-factors for bituminous coal, oil, and natural gas range from 10,320 to</w:t>
      </w:r>
      <w:r w:rsidR="007B7DDF">
        <w:t xml:space="preserve"> </w:t>
      </w:r>
      <w:r w:rsidR="009A01E5">
        <w:t xml:space="preserve">10,640 </w:t>
      </w:r>
      <w:proofErr w:type="spellStart"/>
      <w:r w:rsidR="007E55A5">
        <w:t>w</w:t>
      </w:r>
      <w:r w:rsidR="009A01E5">
        <w:t>scf</w:t>
      </w:r>
      <w:proofErr w:type="spellEnd"/>
      <w:r w:rsidR="009A01E5">
        <w:t>/MMBtu.  However, F-factors are based on theoretical combustion with stoichiometric air/fuel ratios, while boilers are typically operated with “excess air”</w:t>
      </w:r>
      <w:r w:rsidR="00705C6D">
        <w:t xml:space="preserve"> to maintain good combustion.  The amount of excess air typically ranges</w:t>
      </w:r>
      <w:r w:rsidR="009A01E5">
        <w:t xml:space="preserve"> from 3</w:t>
      </w:r>
      <w:r w:rsidR="00C75FE3">
        <w:t xml:space="preserve"> </w:t>
      </w:r>
      <w:r w:rsidR="00705C6D">
        <w:t xml:space="preserve">to 20 </w:t>
      </w:r>
      <w:r w:rsidR="00C75FE3">
        <w:t>percent</w:t>
      </w:r>
      <w:r w:rsidR="009A01E5">
        <w:t>.  Therefore, the F-factors need to be adjusted to account for excess air (which is directly related to oxygen concentration in the exhaust)</w:t>
      </w:r>
      <w:r w:rsidR="00703EE8">
        <w:t>, using the following equation</w:t>
      </w:r>
    </w:p>
    <w:p w14:paraId="483C9232" w14:textId="02D25C97" w:rsidR="00AC12BC" w:rsidRDefault="00957D88" w:rsidP="00DB3D06">
      <w:pPr>
        <w:ind w:left="720" w:firstLine="720"/>
        <w:rPr>
          <w:snapToGrid w:val="0"/>
        </w:rPr>
      </w:pPr>
      <w:r w:rsidRPr="009B3516">
        <w:rPr>
          <w:snapToGrid w:val="0"/>
          <w:position w:val="-6"/>
        </w:rPr>
        <w:object w:dxaOrig="499" w:dyaOrig="279" w14:anchorId="2ECFA3A8">
          <v:shape id="_x0000_i1039" type="#_x0000_t75" alt="wet F-factors" style="width:28.2pt;height:14.4pt" o:ole="">
            <v:imagedata r:id="rId126" o:title=""/>
          </v:shape>
          <o:OLEObject Type="Embed" ProgID="Equation.3" ShapeID="_x0000_i1039" DrawAspect="Content" ObjectID="_1837838082" r:id="rId127"/>
        </w:object>
      </w:r>
      <w:r w:rsidR="00AC12BC">
        <w:rPr>
          <w:snapToGrid w:val="0"/>
        </w:rPr>
        <w:t xml:space="preserve"> =</w:t>
      </w:r>
      <w:r w:rsidR="00AC12BC">
        <w:rPr>
          <w:snapToGrid w:val="0"/>
        </w:rPr>
        <w:tab/>
      </w:r>
      <w:r w:rsidR="00FB2C91" w:rsidRPr="007735AE">
        <w:rPr>
          <w:snapToGrid w:val="0"/>
          <w:position w:val="-30"/>
        </w:rPr>
        <w:object w:dxaOrig="2000" w:dyaOrig="720" w14:anchorId="6EC62CC9">
          <v:shape id="_x0000_i1040" type="#_x0000_t75" alt="equation for wet F-factors" style="width:100.8pt;height:36pt" o:ole="">
            <v:imagedata r:id="rId128" o:title=""/>
          </v:shape>
          <o:OLEObject Type="Embed" ProgID="Equation.3" ShapeID="_x0000_i1040" DrawAspect="Content" ObjectID="_1837838083" r:id="rId129"/>
        </w:object>
      </w:r>
    </w:p>
    <w:p w14:paraId="56C15258" w14:textId="77777777" w:rsidR="009A01E5" w:rsidRDefault="00703EE8">
      <w:r>
        <w:t>For</w:t>
      </w:r>
      <w:r w:rsidR="009A01E5">
        <w:t xml:space="preserve"> example, the adjustment for a gas-fired process heater with 3</w:t>
      </w:r>
      <w:r w:rsidR="00C75FE3">
        <w:t xml:space="preserve"> percent</w:t>
      </w:r>
      <w:r w:rsidR="009A01E5">
        <w:t xml:space="preserve"> </w:t>
      </w:r>
      <w:r w:rsidR="00F32EF9">
        <w:t xml:space="preserve">excess </w:t>
      </w:r>
      <w:r w:rsidR="009A01E5">
        <w:t>oxygen would change the wet F-factor for natural gas from 10,610 to</w:t>
      </w:r>
      <w:r w:rsidR="003853B3">
        <w:t xml:space="preserve"> </w:t>
      </w:r>
      <w:r w:rsidR="009A01E5">
        <w:t xml:space="preserve">12,388 </w:t>
      </w:r>
      <w:proofErr w:type="spellStart"/>
      <w:r w:rsidR="007E55A5">
        <w:t>w</w:t>
      </w:r>
      <w:r w:rsidR="009A01E5">
        <w:t>scf</w:t>
      </w:r>
      <w:proofErr w:type="spellEnd"/>
      <w:r w:rsidR="009A01E5">
        <w:t xml:space="preserve">/MMBtu.  </w:t>
      </w:r>
    </w:p>
    <w:p w14:paraId="5180CD10" w14:textId="6953BE82" w:rsidR="002E7829" w:rsidRDefault="002E7829">
      <w:r>
        <w:t>The typical stack</w:t>
      </w:r>
      <w:r w:rsidRPr="00D23EE5">
        <w:t xml:space="preserve"> temperature</w:t>
      </w:r>
      <w:r>
        <w:t xml:space="preserve"> for boilers/heaters </w:t>
      </w:r>
      <w:proofErr w:type="gramStart"/>
      <w:r w:rsidR="00861FC2">
        <w:t>are</w:t>
      </w:r>
      <w:proofErr w:type="gramEnd"/>
      <w:r w:rsidR="00861FC2">
        <w:t xml:space="preserve"> in the</w:t>
      </w:r>
      <w:r w:rsidR="00B0376F">
        <w:t xml:space="preserve"> </w:t>
      </w:r>
      <w:r w:rsidR="00861FC2">
        <w:t xml:space="preserve">400 </w:t>
      </w:r>
      <w:r w:rsidR="00B0376F">
        <w:t xml:space="preserve">to </w:t>
      </w:r>
      <w:r w:rsidR="00861FC2">
        <w:t xml:space="preserve">550 </w:t>
      </w:r>
      <w:r>
        <w:t>K</w:t>
      </w:r>
      <w:r w:rsidR="00861FC2">
        <w:t xml:space="preserve"> range</w:t>
      </w:r>
      <w:r>
        <w:t xml:space="preserve">.  However, </w:t>
      </w:r>
      <w:r w:rsidR="00861FC2">
        <w:t>as always, stack parameters are very EU-specific so don’t be surprised if you see some other value that is supported by vendor or source test data</w:t>
      </w:r>
      <w:r>
        <w:t xml:space="preserve">.  </w:t>
      </w:r>
    </w:p>
    <w:p w14:paraId="5547C982" w14:textId="33352F49" w:rsidR="009A01E5" w:rsidRDefault="009A01E5">
      <w:r w:rsidRPr="00167BBA">
        <w:t xml:space="preserve">Emissions </w:t>
      </w:r>
      <w:r>
        <w:t>from boilers depend on the type and composition of the fuel, the type and size of the boiler, the firing and loading practices used, and the level of equipment maintenance.  In calculating emissions, applicants may use a combination of data sources.  The preferred data source is manufacturer specific information, followed by general AP-42 equations</w:t>
      </w:r>
      <w:r w:rsidR="00954FFF">
        <w:t>,</w:t>
      </w:r>
      <w:r>
        <w:t xml:space="preserve"> and mass-balance calculations.  For example, an applicant may use manufacture</w:t>
      </w:r>
      <w:r w:rsidR="000236E0">
        <w:t>r</w:t>
      </w:r>
      <w:r>
        <w:t xml:space="preserve"> data for estimating the emissions of NOx and CO, mass-balance for SO</w:t>
      </w:r>
      <w:r>
        <w:rPr>
          <w:vertAlign w:val="subscript"/>
        </w:rPr>
        <w:t>2</w:t>
      </w:r>
      <w:r>
        <w:t>, and AP-42 for PM</w:t>
      </w:r>
      <w:r w:rsidR="00C40BC5">
        <w:t>-</w:t>
      </w:r>
      <w:r>
        <w:t>10 and VOCs.  AP-42 Section</w:t>
      </w:r>
      <w:r w:rsidR="00D9355D">
        <w:t>s</w:t>
      </w:r>
      <w:r>
        <w:t xml:space="preserve"> 1.1</w:t>
      </w:r>
      <w:r w:rsidR="00D9355D">
        <w:t xml:space="preserve"> and 1.2</w:t>
      </w:r>
      <w:r>
        <w:t xml:space="preserve"> present coal-fired emission data, Section 1.</w:t>
      </w:r>
      <w:r w:rsidR="00D9355D">
        <w:t xml:space="preserve">3 </w:t>
      </w:r>
      <w:r>
        <w:t>oil-fired emission, and Section 1.</w:t>
      </w:r>
      <w:r w:rsidR="00D9355D">
        <w:t xml:space="preserve">4 </w:t>
      </w:r>
      <w:r>
        <w:t>gas-fired emission data.  The emission factors may be expressed in terms of heat input rate (</w:t>
      </w:r>
      <w:proofErr w:type="spellStart"/>
      <w:r>
        <w:t>lb</w:t>
      </w:r>
      <w:proofErr w:type="spellEnd"/>
      <w:r>
        <w:t>/MMBtu), or as a function of fuel input rates</w:t>
      </w:r>
      <w:r w:rsidR="008824E4">
        <w:t>:</w:t>
      </w:r>
      <w:r>
        <w:t xml:space="preserve"> </w:t>
      </w:r>
      <w:proofErr w:type="spellStart"/>
      <w:r>
        <w:t>lb</w:t>
      </w:r>
      <w:proofErr w:type="spellEnd"/>
      <w:r>
        <w:t xml:space="preserve">/ton of coal fired, </w:t>
      </w:r>
      <w:proofErr w:type="spellStart"/>
      <w:r>
        <w:t>lb</w:t>
      </w:r>
      <w:proofErr w:type="spellEnd"/>
      <w:r>
        <w:t xml:space="preserve">/1,000 gallons of oil fired, or </w:t>
      </w:r>
      <w:proofErr w:type="spellStart"/>
      <w:r>
        <w:t>lb</w:t>
      </w:r>
      <w:proofErr w:type="spellEnd"/>
      <w:r>
        <w:t>/</w:t>
      </w:r>
      <w:proofErr w:type="spellStart"/>
      <w:r w:rsidR="008824E4">
        <w:t>mscf</w:t>
      </w:r>
      <w:proofErr w:type="spellEnd"/>
      <w:r w:rsidR="008824E4">
        <w:t xml:space="preserve"> (pound per </w:t>
      </w:r>
      <w:r w:rsidR="00C40BC5">
        <w:t>1000 standard cubic f</w:t>
      </w:r>
      <w:r w:rsidR="008824E4">
        <w:t>ee</w:t>
      </w:r>
      <w:r w:rsidR="00C40BC5">
        <w:t>t</w:t>
      </w:r>
      <w:r w:rsidR="008824E4">
        <w:t>)</w:t>
      </w:r>
      <w:r>
        <w:t xml:space="preserve"> of gas fired.  AP-42 presents some assumed heat </w:t>
      </w:r>
      <w:r>
        <w:lastRenderedPageBreak/>
        <w:t xml:space="preserve">contents for oil (see footnote </w:t>
      </w:r>
      <w:r w:rsidR="00EE1FDE">
        <w:t>“</w:t>
      </w:r>
      <w:r>
        <w:t>d</w:t>
      </w:r>
      <w:r w:rsidR="00EE1FDE">
        <w:t>”</w:t>
      </w:r>
      <w:r>
        <w:t xml:space="preserve"> of Table 1.3-2) and natural gas (footnote </w:t>
      </w:r>
      <w:r w:rsidR="00EE1FDE">
        <w:t>“</w:t>
      </w:r>
      <w:r>
        <w:t>a</w:t>
      </w:r>
      <w:r w:rsidR="00EE1FDE">
        <w:t>”</w:t>
      </w:r>
      <w:r>
        <w:t xml:space="preserve"> of </w:t>
      </w:r>
      <w:r w:rsidR="0000062A">
        <w:t>T</w:t>
      </w:r>
      <w:r>
        <w:t>able</w:t>
      </w:r>
      <w:r w:rsidR="0000062A">
        <w:t> </w:t>
      </w:r>
      <w:r>
        <w:t>1.4-1).  Note that PM</w:t>
      </w:r>
      <w:r w:rsidR="00EA17F0">
        <w:t>-</w:t>
      </w:r>
      <w:r>
        <w:t>10 emissions used in any modeling analysis should include both filterable and condensable components.</w:t>
      </w:r>
    </w:p>
    <w:p w14:paraId="3E0A733E" w14:textId="4E609E5F" w:rsidR="00107779" w:rsidRDefault="006A7D37" w:rsidP="00107779">
      <w:r>
        <w:t xml:space="preserve">As previously </w:t>
      </w:r>
      <w:r w:rsidR="008B1ED9">
        <w:t>noted</w:t>
      </w:r>
      <w:r>
        <w:t xml:space="preserve"> in the </w:t>
      </w:r>
      <w:r w:rsidR="008B1ED9">
        <w:t xml:space="preserve">reciprocating engine discussion (Section </w:t>
      </w:r>
      <w:r w:rsidR="008B1ED9">
        <w:fldChar w:fldCharType="begin"/>
      </w:r>
      <w:r w:rsidR="008B1ED9">
        <w:instrText xml:space="preserve"> REF _Ref489871287 \w \h </w:instrText>
      </w:r>
      <w:r w:rsidR="008B1ED9">
        <w:fldChar w:fldCharType="separate"/>
      </w:r>
      <w:r w:rsidR="00135FFD">
        <w:t>2.7.2.1</w:t>
      </w:r>
      <w:r w:rsidR="008B1ED9">
        <w:fldChar w:fldCharType="end"/>
      </w:r>
      <w:r w:rsidR="008B1ED9">
        <w:t>)</w:t>
      </w:r>
      <w:r w:rsidR="00993A65">
        <w:t xml:space="preserve">, applicants </w:t>
      </w:r>
      <w:r>
        <w:t>may need to consider the effects of</w:t>
      </w:r>
      <w:r w:rsidDel="006A7D37">
        <w:t xml:space="preserve"> </w:t>
      </w:r>
      <w:r w:rsidR="009A01E5" w:rsidRPr="00D23EE5">
        <w:t xml:space="preserve">partial load </w:t>
      </w:r>
      <w:r w:rsidR="009A01E5">
        <w:t xml:space="preserve">operation </w:t>
      </w:r>
      <w:r>
        <w:t>in their ambient demonstration</w:t>
      </w:r>
      <w:r w:rsidR="009A01E5">
        <w:t xml:space="preserve">.  </w:t>
      </w:r>
      <w:r w:rsidR="00EE1840">
        <w:t>In those situations, EPA recommends a screening analysis where a range of operating conditions are assessed,</w:t>
      </w:r>
      <w:r w:rsidR="009A01E5">
        <w:t xml:space="preserve"> </w:t>
      </w:r>
      <w:r w:rsidR="00EE1840">
        <w:t xml:space="preserve">(e.g., </w:t>
      </w:r>
      <w:r w:rsidR="009A01E5">
        <w:t>100</w:t>
      </w:r>
      <w:r w:rsidR="00EA17F0">
        <w:t xml:space="preserve"> percent</w:t>
      </w:r>
      <w:r w:rsidR="009A01E5">
        <w:t>, 75</w:t>
      </w:r>
      <w:r w:rsidR="00EA17F0">
        <w:t xml:space="preserve"> percent</w:t>
      </w:r>
      <w:r w:rsidR="009A01E5">
        <w:t>, and 50</w:t>
      </w:r>
      <w:r w:rsidR="00EA17F0">
        <w:t xml:space="preserve"> percent</w:t>
      </w:r>
      <w:r w:rsidR="009A01E5">
        <w:t xml:space="preserve"> load</w:t>
      </w:r>
      <w:r w:rsidR="00EE1840">
        <w:t>)</w:t>
      </w:r>
      <w:r w:rsidR="009A01E5">
        <w:t xml:space="preserve">.  </w:t>
      </w:r>
      <w:r w:rsidR="00D67994">
        <w:t xml:space="preserve">Part-load vendor </w:t>
      </w:r>
      <w:r w:rsidR="00484156">
        <w:t xml:space="preserve">or source test </w:t>
      </w:r>
      <w:r w:rsidR="00D67994">
        <w:t xml:space="preserve">data should be used when available.  When vendor </w:t>
      </w:r>
      <w:r w:rsidR="00484156">
        <w:t xml:space="preserve">or source test </w:t>
      </w:r>
      <w:r w:rsidR="00D67994">
        <w:t>data is not available, applicants may assume that the actual flow rate varies linearly with load when there are no SO</w:t>
      </w:r>
      <w:r w:rsidR="00D67994">
        <w:rPr>
          <w:vertAlign w:val="subscript"/>
        </w:rPr>
        <w:t>2</w:t>
      </w:r>
      <w:r w:rsidR="00D67994">
        <w:t xml:space="preserve"> scrubbing systems used for pollution control (i.e., </w:t>
      </w:r>
      <w:r w:rsidR="00484156">
        <w:t>multiply</w:t>
      </w:r>
      <w:r w:rsidR="00D67994">
        <w:t xml:space="preserve"> the vendor’s 100</w:t>
      </w:r>
      <w:r w:rsidR="00EA17F0">
        <w:t xml:space="preserve"> percent</w:t>
      </w:r>
      <w:r w:rsidR="00D67994">
        <w:t xml:space="preserve"> load data by 0.75 for the 75</w:t>
      </w:r>
      <w:r w:rsidR="00EA17F0">
        <w:t xml:space="preserve"> percent</w:t>
      </w:r>
      <w:r w:rsidR="00D67994">
        <w:t xml:space="preserve"> load scenario</w:t>
      </w:r>
      <w:r w:rsidR="009235F3">
        <w:t>,</w:t>
      </w:r>
      <w:r w:rsidR="00D67994">
        <w:t xml:space="preserve"> and by 0.50 for the 50</w:t>
      </w:r>
      <w:r w:rsidR="00EA17F0">
        <w:t xml:space="preserve"> percent</w:t>
      </w:r>
      <w:r w:rsidR="00D67994">
        <w:t xml:space="preserve"> load scenario).  In the absence of vendor</w:t>
      </w:r>
      <w:r w:rsidR="00484156">
        <w:t xml:space="preserve"> or source test</w:t>
      </w:r>
      <w:r w:rsidR="00D67994">
        <w:t xml:space="preserve"> data, applicants may assume the exhaust temperature is constant with load (when there are no SO</w:t>
      </w:r>
      <w:r w:rsidR="00D67994">
        <w:rPr>
          <w:vertAlign w:val="subscript"/>
        </w:rPr>
        <w:t>2</w:t>
      </w:r>
      <w:r w:rsidR="00D67994">
        <w:t xml:space="preserve"> scrubbing systems used for pollution control).</w:t>
      </w:r>
      <w:r w:rsidR="007741A7" w:rsidRPr="007741A7">
        <w:rPr>
          <w:rStyle w:val="FootnoteReference"/>
        </w:rPr>
        <w:t xml:space="preserve"> </w:t>
      </w:r>
      <w:bookmarkStart w:id="176" w:name="_Ref360029653"/>
      <w:r w:rsidR="007741A7">
        <w:rPr>
          <w:rStyle w:val="FootnoteReference"/>
        </w:rPr>
        <w:footnoteReference w:id="65"/>
      </w:r>
      <w:bookmarkEnd w:id="176"/>
      <w:r w:rsidR="00D67994">
        <w:t xml:space="preserve">  </w:t>
      </w:r>
      <w:r w:rsidR="00107779">
        <w:t>Please note that these assumptions may not be appropriate for other permitting aspects, such as PSD avoidance caps.  See</w:t>
      </w:r>
      <w:r w:rsidR="00EE1840">
        <w:t xml:space="preserve"> Section </w:t>
      </w:r>
      <w:r w:rsidR="00EE1840">
        <w:fldChar w:fldCharType="begin"/>
      </w:r>
      <w:r w:rsidR="00EE1840">
        <w:instrText xml:space="preserve"> REF _Ref439925499 \w \h </w:instrText>
      </w:r>
      <w:r w:rsidR="00EE1840">
        <w:fldChar w:fldCharType="separate"/>
      </w:r>
      <w:r w:rsidR="00135FFD">
        <w:t>2.7.5</w:t>
      </w:r>
      <w:r w:rsidR="00EE1840">
        <w:fldChar w:fldCharType="end"/>
      </w:r>
      <w:r w:rsidR="00107779">
        <w:t xml:space="preserve"> for additional information regarding the modeling of partial load conditions.</w:t>
      </w:r>
    </w:p>
    <w:p w14:paraId="31F3E465" w14:textId="77777777" w:rsidR="00803250" w:rsidRPr="00905260" w:rsidRDefault="003D7C57" w:rsidP="00167BBA">
      <w:pPr>
        <w:pStyle w:val="Level5"/>
        <w:rPr>
          <w:b/>
          <w:i w:val="0"/>
        </w:rPr>
      </w:pPr>
      <w:r w:rsidRPr="00905260">
        <w:rPr>
          <w:b/>
          <w:i w:val="0"/>
        </w:rPr>
        <w:t>Background Information – Boilers/Heaters</w:t>
      </w:r>
    </w:p>
    <w:p w14:paraId="748DCC7B" w14:textId="77777777" w:rsidR="003D7C57" w:rsidRDefault="003D7C57" w:rsidP="003D7C57">
      <w:r>
        <w:t xml:space="preserve">A boiler is defined as any enclosed combustion device that extracts useful energy in the form of steam and is not an incinerator.  A process heater is defined as an enclosed combustion device that primarily transfers heat liberated by burning fuel directly to process streams or to heat transfer liquids other than water. </w:t>
      </w:r>
      <w:r w:rsidR="00D619E1">
        <w:t xml:space="preserve"> </w:t>
      </w:r>
      <w:r>
        <w:t>(The definitions are from the Petroleum Refinery MACT II standard, 40 CFR 63.1579.)  They both rely on an “external” combustion process, consequently their emissions and stack parameters may be treated similarly.  For purposes of this discussion, references will be made to boilers, since they are more common, but similar information (except for references to steam) may be applied to process heaters.</w:t>
      </w:r>
    </w:p>
    <w:p w14:paraId="7EEA8A0F" w14:textId="77777777" w:rsidR="003D7C57" w:rsidRDefault="003D7C57" w:rsidP="003D7C57">
      <w:r>
        <w:t xml:space="preserve">Steam pressures and flow rates can vary dramatically, from 1,000 to 10,000,000 </w:t>
      </w:r>
      <w:proofErr w:type="spellStart"/>
      <w:r>
        <w:t>lb</w:t>
      </w:r>
      <w:proofErr w:type="spellEnd"/>
      <w:r>
        <w:t>/</w:t>
      </w:r>
      <w:proofErr w:type="spellStart"/>
      <w:r>
        <w:t>hr</w:t>
      </w:r>
      <w:proofErr w:type="spellEnd"/>
      <w:r>
        <w:t xml:space="preserve"> steam flow, and pressures/temperatures from 14.7 pounds per square inch (psi) at 100 degrees Centigrade (°C) to 4500 psi and 593°C.  Fuels can include coal, oil, gas, biomass, and material by-products such as municipal </w:t>
      </w:r>
      <w:proofErr w:type="gramStart"/>
      <w:r>
        <w:t>solid-waste</w:t>
      </w:r>
      <w:proofErr w:type="gramEnd"/>
      <w:r>
        <w:t xml:space="preserve">.  Boiler design can run from small package boilers to large power plant boilers.  </w:t>
      </w:r>
    </w:p>
    <w:p w14:paraId="06BF5990" w14:textId="77777777" w:rsidR="003D7C57" w:rsidRDefault="003D7C57" w:rsidP="003D7C57">
      <w:r>
        <w:t xml:space="preserve">The major boiler configurations are </w:t>
      </w:r>
      <w:proofErr w:type="spellStart"/>
      <w:r>
        <w:t>watertube</w:t>
      </w:r>
      <w:proofErr w:type="spellEnd"/>
      <w:r>
        <w:t xml:space="preserve">, firetube, cast iron, and tubeless design. Boilers are classified according to design and orientation of heat transfer surfaces, burner configuration, and size. These factors can all strongly influence emissions as well as the potential for controlling emissions.  </w:t>
      </w:r>
    </w:p>
    <w:p w14:paraId="75DBA361" w14:textId="77777777" w:rsidR="003D7C57" w:rsidRDefault="003D7C57" w:rsidP="003D7C57">
      <w:proofErr w:type="spellStart"/>
      <w:r>
        <w:t>Watertube</w:t>
      </w:r>
      <w:proofErr w:type="spellEnd"/>
      <w:r>
        <w:t xml:space="preserve"> boilers are used in a variety of applications ranging from supplying large amounts of process steam to providing space heat for industrial facilities. In a </w:t>
      </w:r>
      <w:proofErr w:type="spellStart"/>
      <w:r>
        <w:t>watertube</w:t>
      </w:r>
      <w:proofErr w:type="spellEnd"/>
      <w:r>
        <w:t xml:space="preserve"> boiler, combustion heat is transferred to water flowing through tubes which line the furnace walls and boiler passes. The tube surfaces in the furnace (which houses the burner flame) </w:t>
      </w:r>
      <w:proofErr w:type="gramStart"/>
      <w:r>
        <w:t>absorb</w:t>
      </w:r>
      <w:proofErr w:type="gramEnd"/>
      <w:r>
        <w:t xml:space="preserve"> heat primarily by radiation from the flames. The tube surfaces in the </w:t>
      </w:r>
      <w:r>
        <w:lastRenderedPageBreak/>
        <w:t xml:space="preserve">boiler </w:t>
      </w:r>
      <w:proofErr w:type="gramStart"/>
      <w:r>
        <w:t>passes</w:t>
      </w:r>
      <w:proofErr w:type="gramEnd"/>
      <w:r>
        <w:t xml:space="preserve"> (adjacent to the primary furnace) absorb heat primarily by convective heat transfer. </w:t>
      </w:r>
    </w:p>
    <w:p w14:paraId="0617B7AE" w14:textId="77777777" w:rsidR="003D7C57" w:rsidRDefault="003D7C57" w:rsidP="003D7C57">
      <w:r>
        <w:t>Firetube boilers are used primarily for heating systems, industrial process steam generators, and portable power boilers. In firetube boilers, the hot combustion gases flow through the tubes while the water being heated circulates outside of the tubes.</w:t>
      </w:r>
      <w:r w:rsidR="00D619E1">
        <w:t xml:space="preserve">  </w:t>
      </w:r>
      <w:r>
        <w:t xml:space="preserve">At high pressures and when subjected to large variations in steam demand, firetube units are more susceptible to structural failure than </w:t>
      </w:r>
      <w:proofErr w:type="spellStart"/>
      <w:r>
        <w:t>watertube</w:t>
      </w:r>
      <w:proofErr w:type="spellEnd"/>
      <w:r>
        <w:t xml:space="preserve"> boilers. This is because the high-pressure steam in firetube units is contained by the boiler walls rather than by multiple </w:t>
      </w:r>
      <w:proofErr w:type="gramStart"/>
      <w:r>
        <w:t>small-diameter</w:t>
      </w:r>
      <w:proofErr w:type="gramEnd"/>
      <w:r>
        <w:t xml:space="preserve"> </w:t>
      </w:r>
      <w:proofErr w:type="spellStart"/>
      <w:r>
        <w:t>watertubes</w:t>
      </w:r>
      <w:proofErr w:type="spellEnd"/>
      <w:r>
        <w:t xml:space="preserve">, which are inherently stronger. </w:t>
      </w:r>
      <w:r w:rsidR="00D619E1">
        <w:t xml:space="preserve"> </w:t>
      </w:r>
      <w:proofErr w:type="gramStart"/>
      <w:r>
        <w:t>As a consequence</w:t>
      </w:r>
      <w:proofErr w:type="gramEnd"/>
      <w:r>
        <w:t xml:space="preserve">, firetube boilers are typically small and are used primarily where boiler loads are relatively constant. Nearly all firetube boilers are sold as packaged units because of their relatively small size. </w:t>
      </w:r>
    </w:p>
    <w:p w14:paraId="56EE3001" w14:textId="77777777" w:rsidR="003D7C57" w:rsidRDefault="003D7C57" w:rsidP="003D7C57">
      <w:r>
        <w:t xml:space="preserve">Another type of heat transfer configuration used on smaller boilers is the tubeless design. This design incorporates nested pressure vessels with water in between the shells. Combustion gases are fired into the inner pressure vessel and are then sometimes recirculated outside the second vessel. </w:t>
      </w:r>
    </w:p>
    <w:p w14:paraId="0AB46D22" w14:textId="77777777" w:rsidR="003D7C57" w:rsidRDefault="003D7C57" w:rsidP="003D7C57">
      <w:r>
        <w:t>A cast iron boiler is one in which combustion gases rise through a vertical heat exchanger and out through an exhaust duct. Water in the heat exchanger tubes is heated as it moves upward through the tubes.</w:t>
      </w:r>
      <w:r w:rsidR="00D619E1">
        <w:t xml:space="preserve"> </w:t>
      </w:r>
      <w:r>
        <w:t xml:space="preserve"> Cast iron boilers produce low pressure steam or hot </w:t>
      </w:r>
      <w:proofErr w:type="gramStart"/>
      <w:r>
        <w:t>water, and</w:t>
      </w:r>
      <w:proofErr w:type="gramEnd"/>
      <w:r>
        <w:t xml:space="preserve"> generally burn oil or natural gas. </w:t>
      </w:r>
      <w:r w:rsidR="00D619E1">
        <w:t xml:space="preserve"> </w:t>
      </w:r>
      <w:r>
        <w:t xml:space="preserve">They are used primarily in the residential and commercial sectors. </w:t>
      </w:r>
    </w:p>
    <w:p w14:paraId="7F801C87" w14:textId="590195CE" w:rsidR="00405DF3" w:rsidRDefault="003D7C57" w:rsidP="003D7C57">
      <w:r>
        <w:t xml:space="preserve">The capacity of a boiler or heater is usually expressed </w:t>
      </w:r>
      <w:r w:rsidR="00B56EA0">
        <w:t xml:space="preserve">in terms of </w:t>
      </w:r>
      <w:r>
        <w:t xml:space="preserve">heat input </w:t>
      </w:r>
      <w:r w:rsidR="00B56EA0">
        <w:t>(e.g., the fuel rate times the heat content of the fuel</w:t>
      </w:r>
      <w:r>
        <w:t xml:space="preserve">.  However, </w:t>
      </w:r>
      <w:r w:rsidR="00B56EA0">
        <w:t>the heat output can also be used.  Small</w:t>
      </w:r>
      <w:r>
        <w:t xml:space="preserve"> boiler</w:t>
      </w:r>
      <w:r w:rsidR="00B56EA0">
        <w:t>s are also sometimes rated in terms of “boiler horsepower” rather MMBtu/hr</w:t>
      </w:r>
      <w:r>
        <w:t xml:space="preserve">.  </w:t>
      </w:r>
      <w:r w:rsidR="00B56EA0">
        <w:t>(</w:t>
      </w:r>
      <w:r w:rsidR="00B56EA0" w:rsidRPr="00532597">
        <w:rPr>
          <w:u w:val="single"/>
        </w:rPr>
        <w:t>Note</w:t>
      </w:r>
      <w:r w:rsidR="00B56EA0">
        <w:t xml:space="preserve">: </w:t>
      </w:r>
      <w:r w:rsidR="00B56EA0" w:rsidRPr="008F5F84">
        <w:rPr>
          <w:i/>
        </w:rPr>
        <w:t xml:space="preserve">the boiler horsepower rating is sometimes abbreviated as “bhp.” This is the same acronym </w:t>
      </w:r>
      <w:r w:rsidR="00532597" w:rsidRPr="008F5F84">
        <w:rPr>
          <w:i/>
        </w:rPr>
        <w:t>as used for “brake horsepower,” but the terms are not interchangeable</w:t>
      </w:r>
      <w:r w:rsidR="00532597">
        <w:t>.)  You can find boiler horsepower to MMBtu/</w:t>
      </w:r>
      <w:proofErr w:type="spellStart"/>
      <w:r w:rsidR="00532597">
        <w:t>hr</w:t>
      </w:r>
      <w:proofErr w:type="spellEnd"/>
      <w:r w:rsidR="00532597">
        <w:t xml:space="preserve"> conversion factor</w:t>
      </w:r>
      <w:r w:rsidR="00C13931">
        <w:t>s</w:t>
      </w:r>
      <w:r w:rsidR="00532597">
        <w:t xml:space="preserve"> </w:t>
      </w:r>
      <w:r w:rsidR="00C13931">
        <w:t xml:space="preserve">on the internet or in various reference </w:t>
      </w:r>
      <w:proofErr w:type="gramStart"/>
      <w:r w:rsidR="00C13931">
        <w:t>books, but</w:t>
      </w:r>
      <w:proofErr w:type="gramEnd"/>
      <w:r w:rsidR="00C13931">
        <w:t xml:space="preserve"> just be aware that they don’t always state whether they are also assuming a boiler efficiency factor.  </w:t>
      </w:r>
    </w:p>
    <w:p w14:paraId="16254D64" w14:textId="70D3587B" w:rsidR="0037077E" w:rsidRDefault="008B391F" w:rsidP="003D7C57">
      <w:r>
        <w:t xml:space="preserve">Appendix A of AP-42 provides the following general conversion factor:  </w:t>
      </w:r>
    </w:p>
    <w:p w14:paraId="728FDEE6" w14:textId="0D07CE40" w:rsidR="0037077E" w:rsidRDefault="008B391F" w:rsidP="0037077E">
      <w:pPr>
        <w:ind w:firstLine="720"/>
      </w:pPr>
      <w:r>
        <w:t>1 boiler horsepower (heat output) = 45,000 Btu/</w:t>
      </w:r>
      <w:proofErr w:type="spellStart"/>
      <w:r>
        <w:t>hr</w:t>
      </w:r>
      <w:proofErr w:type="spellEnd"/>
      <w:r>
        <w:t xml:space="preserve"> heat input </w:t>
      </w:r>
    </w:p>
    <w:p w14:paraId="62C014C9" w14:textId="71DA6EF2" w:rsidR="008B391F" w:rsidRDefault="008B391F" w:rsidP="0037077E">
      <w:r>
        <w:t>AP-42 also notes that the actual conversion factor could range from 40,000 Btu/</w:t>
      </w:r>
      <w:proofErr w:type="spellStart"/>
      <w:r>
        <w:t>hr</w:t>
      </w:r>
      <w:proofErr w:type="spellEnd"/>
      <w:r>
        <w:t xml:space="preserve"> to 50,000 Btu/hr.  </w:t>
      </w:r>
    </w:p>
    <w:p w14:paraId="46CB71DD" w14:textId="18916011" w:rsidR="003D7C57" w:rsidRDefault="003D7C57" w:rsidP="003D7C57">
      <w:r>
        <w:t xml:space="preserve">Since </w:t>
      </w:r>
      <w:proofErr w:type="gramStart"/>
      <w:r>
        <w:t>most smaller</w:t>
      </w:r>
      <w:proofErr w:type="gramEnd"/>
      <w:r>
        <w:t xml:space="preserve"> packaged heating boilers are approximately 40 percent thermally efficient</w:t>
      </w:r>
      <w:r w:rsidR="008B391F">
        <w:t>,</w:t>
      </w:r>
      <w:r>
        <w:t xml:space="preserve"> when converting fuel input heat to steam output heat, the output heat rate expressed as MMBtu/</w:t>
      </w:r>
      <w:proofErr w:type="spellStart"/>
      <w:r>
        <w:t>hr</w:t>
      </w:r>
      <w:proofErr w:type="spellEnd"/>
      <w:r>
        <w:t xml:space="preserve"> can be multiplied by 2.5 to estimate the heat input rate in MMBtu/hr.</w:t>
      </w:r>
      <w:r w:rsidR="0008067A">
        <w:t xml:space="preserve">  This approach should not be used, however, for larger, more efficient boilers.  </w:t>
      </w:r>
      <w:r w:rsidR="00030F8A">
        <w:t xml:space="preserve">In all cases, check the vendor data (if available) for details regarding the applicant’s boiler or heater. </w:t>
      </w:r>
    </w:p>
    <w:p w14:paraId="05DC1430" w14:textId="77777777" w:rsidR="009A01E5" w:rsidRPr="005B60B0" w:rsidRDefault="002B2249" w:rsidP="000F2745">
      <w:pPr>
        <w:pStyle w:val="Heading4"/>
        <w:rPr>
          <w:szCs w:val="24"/>
        </w:rPr>
      </w:pPr>
      <w:bookmarkStart w:id="177" w:name="_Combustion_Turbines"/>
      <w:bookmarkStart w:id="178" w:name="_Toc526778267"/>
      <w:bookmarkEnd w:id="177"/>
      <w:r w:rsidRPr="002B2249">
        <w:rPr>
          <w:szCs w:val="24"/>
        </w:rPr>
        <w:lastRenderedPageBreak/>
        <w:t>Combustion Turbines</w:t>
      </w:r>
      <w:bookmarkEnd w:id="178"/>
    </w:p>
    <w:p w14:paraId="66FF344D" w14:textId="77777777" w:rsidR="009A01E5" w:rsidRDefault="009A01E5">
      <w:r>
        <w:t xml:space="preserve">Combustion turbines are commonly used to generate electricity or provide shaft power to compressors, pumps, and other machinery.  Power plants that use combustion turbines are characterized as either simple cycle or combined cycle plants.  Simple cycle refers to using a combustion turbine to generate mechanical shaft power, which then </w:t>
      </w:r>
      <w:proofErr w:type="gramStart"/>
      <w:r>
        <w:t>turns</w:t>
      </w:r>
      <w:proofErr w:type="gramEnd"/>
      <w:r>
        <w:t xml:space="preserve"> an electrical generator </w:t>
      </w:r>
      <w:proofErr w:type="gramStart"/>
      <w:r>
        <w:t>similar to</w:t>
      </w:r>
      <w:proofErr w:type="gramEnd"/>
      <w:r>
        <w:t xml:space="preserve"> an IC engine.  A combined cycle system recovers waste heat in the turbine exhaust gas in a Heat Recovery Steam Generator (HRSG).  The HRSG may simply recover heat from the turbine </w:t>
      </w:r>
      <w:proofErr w:type="gramStart"/>
      <w:r>
        <w:t>exhaust, or</w:t>
      </w:r>
      <w:proofErr w:type="gramEnd"/>
      <w:r>
        <w:t xml:space="preserve"> may have additional burners so that the steam output can be greater.  The steam produced in the HRSG then drives a steam turbine electrical generator. Combined cycle plants are more thermally efficient, hence more commonly used as a primary power source, whereas simple cycle technology is typically used for peaking stations to supplement the power supply during periods of high demand.  </w:t>
      </w:r>
    </w:p>
    <w:p w14:paraId="67865705" w14:textId="77777777" w:rsidR="009A01E5" w:rsidRDefault="009A01E5">
      <w:r>
        <w:t xml:space="preserve">Combustion turbines consist of four parts, the inlet, the compressor, the combustion chamber, and the generator.  The inlet is where the air enters the engine.  The compressor squeezes the air flowing into the engine by increasing the pressure of the air flowing into the combustion chamber.  The result is that more power can be generated.  The </w:t>
      </w:r>
      <w:proofErr w:type="gramStart"/>
      <w:r>
        <w:t>high pressure</w:t>
      </w:r>
      <w:proofErr w:type="gramEnd"/>
      <w:r>
        <w:t xml:space="preserve"> air from the compressor travels into the combustion chamber, where the air is mixed with the fuel. The fuel/air mixture is ignited causing rapid expansion of the gas. The pressure of the gas begins to drop after exiting the combustion chamber, resulting in an increase in velocity as </w:t>
      </w:r>
      <w:r w:rsidR="00EE1FDE">
        <w:t>traveling</w:t>
      </w:r>
      <w:r>
        <w:t xml:space="preserve"> through the turbine blades. There are two sets of turbine blades, one connected to the power output shaft, and the other connected to the compressor, which drives more air into the inlet.  The power output shaft can then be connected to electrical generators, or other mechanical devices such as pumps and gas compressors.  The capacity of smaller turbines used for oil and gas applications is typically expressed as shaft power output, in either units of bhp or mechanical </w:t>
      </w:r>
      <w:r w:rsidR="007E55A5">
        <w:t>kW</w:t>
      </w:r>
      <w:r>
        <w:t xml:space="preserve">, and the manufacturer’s data also includes heat input ratings.  For larger turbines used for power generation, it is common to express the turbine/generator system capacity in terms of generated electrical </w:t>
      </w:r>
      <w:r w:rsidR="009B57DD">
        <w:t>kW</w:t>
      </w:r>
      <w:r>
        <w:t xml:space="preserve"> or M</w:t>
      </w:r>
      <w:r w:rsidR="009B57DD">
        <w:t>W</w:t>
      </w:r>
      <w:r>
        <w:t>.</w:t>
      </w:r>
    </w:p>
    <w:p w14:paraId="27C54DFC" w14:textId="77777777" w:rsidR="009A01E5" w:rsidRDefault="009A01E5">
      <w:r>
        <w:t>The combustion process in a gas turbine can be classified as diffusion flame combustion, or lean-premix staged combustion (commonly called dry-low-NOx combustion).  In the diffusion flame combustion, the fuel/air mixing and combustion take place simultaneously in the primary combustion zone.  For dry-low-NOx combustors, fuel and air are mixed in an initial stage before being delivered to a secondary stage where the main combustion takes place.  The dry-low NOx process typically requires the turbine to be operated at loads of approximately 50</w:t>
      </w:r>
      <w:r w:rsidR="00696215">
        <w:t xml:space="preserve"> percent</w:t>
      </w:r>
      <w:r>
        <w:t xml:space="preserve"> or greater; under lower loads the turbine usually </w:t>
      </w:r>
      <w:proofErr w:type="gramStart"/>
      <w:r>
        <w:t>reverts back</w:t>
      </w:r>
      <w:proofErr w:type="gramEnd"/>
      <w:r>
        <w:t xml:space="preserve"> to diffusion flame combustion mode.  In general, at full loads, dry-low NOx turbines have lower NOx emissions, but higher CO and VOC emissions than traditional diffusion flame turbines.</w:t>
      </w:r>
    </w:p>
    <w:p w14:paraId="574D76FD" w14:textId="77777777" w:rsidR="009A01E5" w:rsidRDefault="009A01E5">
      <w:r w:rsidRPr="004E62B6">
        <w:t xml:space="preserve">Emissions </w:t>
      </w:r>
      <w:r>
        <w:t xml:space="preserve">from combustion turbines depend on the type and composition of the fuel, the design and size of the turbine, and </w:t>
      </w:r>
      <w:proofErr w:type="gramStart"/>
      <w:r>
        <w:t>to a great extent</w:t>
      </w:r>
      <w:proofErr w:type="gramEnd"/>
      <w:r>
        <w:t xml:space="preserve"> the density of the ambient air (air temperature and site elevation).  In calculating emissions, applicants may use a combination of data sources.  The preferred data source is manufacturer specific information, followed by general AP-42 equations and mass-balance calculations.  For example, an applicant may use manufacture</w:t>
      </w:r>
      <w:r w:rsidR="00F02527">
        <w:t>r</w:t>
      </w:r>
      <w:r>
        <w:t xml:space="preserve">’s data for estimating the emissions of NOx </w:t>
      </w:r>
      <w:r>
        <w:lastRenderedPageBreak/>
        <w:t>and CO, mass-balance for SO</w:t>
      </w:r>
      <w:r>
        <w:rPr>
          <w:vertAlign w:val="subscript"/>
        </w:rPr>
        <w:t>2</w:t>
      </w:r>
      <w:r>
        <w:t>, and AP-42 for PM</w:t>
      </w:r>
      <w:r w:rsidR="00696215">
        <w:t>-</w:t>
      </w:r>
      <w:r>
        <w:t>10 and VOCs.  AP-42 Section 3.1 presents emission data for combustion turbines.  The emission factors are typically expressed in terms of heat input rate (</w:t>
      </w:r>
      <w:proofErr w:type="spellStart"/>
      <w:r>
        <w:t>lb</w:t>
      </w:r>
      <w:proofErr w:type="spellEnd"/>
      <w:r>
        <w:t xml:space="preserve">/MMBtu), or as a concentration level in the exhaust stream (units of </w:t>
      </w:r>
      <w:r w:rsidR="00696215">
        <w:t>parts per million by volume, dry (</w:t>
      </w:r>
      <w:proofErr w:type="spellStart"/>
      <w:r>
        <w:t>ppmvd</w:t>
      </w:r>
      <w:proofErr w:type="spellEnd"/>
      <w:r w:rsidR="00696215">
        <w:t>)</w:t>
      </w:r>
      <w:r>
        <w:t xml:space="preserve"> at specific oxygen levels).  It is difficult to convert exhaust gas concentrations to mass emission rates, and typically the manufacturer supplies data tables with this information.  Note that PM</w:t>
      </w:r>
      <w:r w:rsidR="00696215">
        <w:t>-</w:t>
      </w:r>
      <w:r>
        <w:t>10 emissions used in any modeling analysis should include both filterable and condensable components.</w:t>
      </w:r>
    </w:p>
    <w:p w14:paraId="51DABBD3" w14:textId="77777777" w:rsidR="009A01E5" w:rsidRDefault="009A01E5">
      <w:r>
        <w:t xml:space="preserve">NOx emission control technologies typically applied to simple-cycle turbines are either dry-low NOx combustors or water/steam </w:t>
      </w:r>
      <w:proofErr w:type="gramStart"/>
      <w:r>
        <w:t>injection</w:t>
      </w:r>
      <w:proofErr w:type="gramEnd"/>
      <w:r>
        <w:t xml:space="preserve">.  NOx emission control technologies that can be applied to combined-cycle turbines include </w:t>
      </w:r>
      <w:r w:rsidR="009D0DE5">
        <w:t>Selective Catalytic Reduction (</w:t>
      </w:r>
      <w:r>
        <w:t>SCR</w:t>
      </w:r>
      <w:r w:rsidR="009D0DE5">
        <w:t>)</w:t>
      </w:r>
      <w:r>
        <w:t xml:space="preserve"> controls.  </w:t>
      </w:r>
    </w:p>
    <w:p w14:paraId="4F64676A" w14:textId="77777777" w:rsidR="009A01E5" w:rsidRDefault="009A01E5">
      <w:r>
        <w:t>SO</w:t>
      </w:r>
      <w:r>
        <w:rPr>
          <w:vertAlign w:val="subscript"/>
        </w:rPr>
        <w:t>2</w:t>
      </w:r>
      <w:r>
        <w:t xml:space="preserve"> emissions must not only account for the conversion of elemental sulfur in the fuel gas, but also H</w:t>
      </w:r>
      <w:r>
        <w:rPr>
          <w:vertAlign w:val="subscript"/>
        </w:rPr>
        <w:t>2</w:t>
      </w:r>
      <w:r>
        <w:t>S.  The following methodology should be used.</w:t>
      </w:r>
    </w:p>
    <w:p w14:paraId="59E03E93" w14:textId="77777777" w:rsidR="009A01E5" w:rsidRDefault="009A01E5">
      <w:pPr>
        <w:ind w:firstLine="720"/>
      </w:pPr>
      <w:r>
        <w:t>H</w:t>
      </w:r>
      <w:r>
        <w:rPr>
          <w:vertAlign w:val="subscript"/>
        </w:rPr>
        <w:t>2</w:t>
      </w:r>
      <w:r>
        <w:t>S + 1</w:t>
      </w:r>
      <w:r w:rsidR="000F1F71">
        <w:t xml:space="preserve"> </w:t>
      </w:r>
      <w:proofErr w:type="gramStart"/>
      <w:r w:rsidR="000F1F71">
        <w:t xml:space="preserve">½ </w:t>
      </w:r>
      <w:r>
        <w:t xml:space="preserve"> O</w:t>
      </w:r>
      <w:proofErr w:type="gramEnd"/>
      <w:r>
        <w:rPr>
          <w:vertAlign w:val="subscript"/>
        </w:rPr>
        <w:t>2</w:t>
      </w:r>
      <w:r>
        <w:t xml:space="preserve"> </w:t>
      </w:r>
      <w:r w:rsidR="006E5EE6">
        <w:sym w:font="Wingdings" w:char="F0E0"/>
      </w:r>
      <w:r w:rsidR="006E5EE6">
        <w:t xml:space="preserve"> </w:t>
      </w:r>
      <w:r>
        <w:t>SO</w:t>
      </w:r>
      <w:r>
        <w:rPr>
          <w:vertAlign w:val="subscript"/>
        </w:rPr>
        <w:t>2</w:t>
      </w:r>
      <w:r>
        <w:t xml:space="preserve"> + H</w:t>
      </w:r>
      <w:r>
        <w:rPr>
          <w:vertAlign w:val="subscript"/>
        </w:rPr>
        <w:t>2</w:t>
      </w:r>
      <w:r>
        <w:t>O</w:t>
      </w:r>
    </w:p>
    <w:p w14:paraId="0ACD6AEB" w14:textId="77777777" w:rsidR="009A01E5" w:rsidRDefault="009A01E5" w:rsidP="007D05F4">
      <w:pPr>
        <w:keepNext/>
      </w:pPr>
      <w:r>
        <w:t>Therefore,</w:t>
      </w:r>
    </w:p>
    <w:p w14:paraId="058B60DD" w14:textId="77777777" w:rsidR="009A01E5" w:rsidRPr="00372686" w:rsidRDefault="009A01E5">
      <w:r>
        <w:tab/>
        <w:t>1 mole of H</w:t>
      </w:r>
      <w:r>
        <w:rPr>
          <w:vertAlign w:val="subscript"/>
        </w:rPr>
        <w:t>2</w:t>
      </w:r>
      <w:r>
        <w:t>S produces 1 mole of SO</w:t>
      </w:r>
      <w:r>
        <w:rPr>
          <w:vertAlign w:val="subscript"/>
        </w:rPr>
        <w:t>2</w:t>
      </w:r>
      <w:r w:rsidR="00372686">
        <w:t>.</w:t>
      </w:r>
    </w:p>
    <w:p w14:paraId="4F0FA732" w14:textId="77777777" w:rsidR="009A01E5" w:rsidRDefault="009A01E5">
      <w:r>
        <w:t>Often, the H</w:t>
      </w:r>
      <w:r>
        <w:rPr>
          <w:vertAlign w:val="subscript"/>
        </w:rPr>
        <w:t>2</w:t>
      </w:r>
      <w:r>
        <w:t>S content of the fuel is expressed in units of ppm.  Given the heat input rate of the combustion unit (MMBtu/</w:t>
      </w:r>
      <w:proofErr w:type="spellStart"/>
      <w:r>
        <w:t>hr</w:t>
      </w:r>
      <w:proofErr w:type="spellEnd"/>
      <w:r>
        <w:t>), the lower heating value (LHV) of the fuel (Btu/</w:t>
      </w:r>
      <w:proofErr w:type="spellStart"/>
      <w:r>
        <w:t>scf</w:t>
      </w:r>
      <w:proofErr w:type="spellEnd"/>
      <w:r>
        <w:t>), one can calculate the SO</w:t>
      </w:r>
      <w:r>
        <w:rPr>
          <w:vertAlign w:val="subscript"/>
        </w:rPr>
        <w:t>2</w:t>
      </w:r>
      <w:r>
        <w:t xml:space="preserve"> emission rate, as follows.</w:t>
      </w:r>
    </w:p>
    <w:p w14:paraId="268E09C0" w14:textId="77777777" w:rsidR="00DC044F" w:rsidRDefault="009A01E5">
      <w:r>
        <w:t>SO</w:t>
      </w:r>
      <w:r>
        <w:rPr>
          <w:vertAlign w:val="subscript"/>
        </w:rPr>
        <w:t>2</w:t>
      </w:r>
      <w:r>
        <w:t xml:space="preserve"> (</w:t>
      </w:r>
      <w:proofErr w:type="spellStart"/>
      <w:r>
        <w:t>lb</w:t>
      </w:r>
      <w:proofErr w:type="spellEnd"/>
      <w:r>
        <w:t>/</w:t>
      </w:r>
      <w:proofErr w:type="spellStart"/>
      <w:r>
        <w:t>hr</w:t>
      </w:r>
      <w:proofErr w:type="spellEnd"/>
      <w:r>
        <w:t>) = [heat input rate (MMBtu/</w:t>
      </w:r>
      <w:proofErr w:type="spellStart"/>
      <w:r>
        <w:t>hr</w:t>
      </w:r>
      <w:proofErr w:type="spellEnd"/>
      <w:r>
        <w:t>)]</w:t>
      </w:r>
      <w:r w:rsidR="00DC044F">
        <w:t xml:space="preserve"> </w:t>
      </w:r>
      <w:r>
        <w:t>*</w:t>
      </w:r>
      <w:r w:rsidR="00DC044F">
        <w:t xml:space="preserve"> [10</w:t>
      </w:r>
      <w:r w:rsidR="00DC044F" w:rsidRPr="00DC044F">
        <w:rPr>
          <w:vertAlign w:val="superscript"/>
        </w:rPr>
        <w:t>6</w:t>
      </w:r>
      <w:r w:rsidR="00DC044F">
        <w:t xml:space="preserve"> Btu/MMBtu] * </w:t>
      </w:r>
    </w:p>
    <w:p w14:paraId="3218C366" w14:textId="77777777" w:rsidR="00DC044F" w:rsidRDefault="009A01E5" w:rsidP="00DC044F">
      <w:pPr>
        <w:ind w:left="720" w:firstLine="720"/>
      </w:pPr>
      <w:r>
        <w:t>[1/LHV (</w:t>
      </w:r>
      <w:proofErr w:type="spellStart"/>
      <w:r>
        <w:t>scf</w:t>
      </w:r>
      <w:proofErr w:type="spellEnd"/>
      <w:r>
        <w:t xml:space="preserve"> fuel/Btu)]</w:t>
      </w:r>
      <w:r w:rsidR="00DC044F">
        <w:t xml:space="preserve"> </w:t>
      </w:r>
      <w:r>
        <w:t>*</w:t>
      </w:r>
      <w:r w:rsidR="00DC044F">
        <w:t xml:space="preserve"> [H</w:t>
      </w:r>
      <w:r w:rsidR="00DC044F">
        <w:rPr>
          <w:vertAlign w:val="subscript"/>
        </w:rPr>
        <w:t>2</w:t>
      </w:r>
      <w:r w:rsidR="00DC044F">
        <w:t>S content</w:t>
      </w:r>
      <w:r w:rsidR="00D42E12">
        <w:t>/10</w:t>
      </w:r>
      <w:r w:rsidR="00D42E12" w:rsidRPr="00023379">
        <w:rPr>
          <w:vertAlign w:val="superscript"/>
        </w:rPr>
        <w:t>6</w:t>
      </w:r>
      <w:r w:rsidR="00DC044F">
        <w:t xml:space="preserve"> (</w:t>
      </w:r>
      <w:proofErr w:type="spellStart"/>
      <w:r w:rsidR="00DC044F">
        <w:t>scf</w:t>
      </w:r>
      <w:proofErr w:type="spellEnd"/>
      <w:r w:rsidR="00DC044F">
        <w:t xml:space="preserve"> H</w:t>
      </w:r>
      <w:r w:rsidR="00DC044F">
        <w:rPr>
          <w:vertAlign w:val="subscript"/>
        </w:rPr>
        <w:t>2</w:t>
      </w:r>
      <w:r w:rsidR="00DC044F">
        <w:t>S/10</w:t>
      </w:r>
      <w:r w:rsidR="00DC044F">
        <w:rPr>
          <w:vertAlign w:val="superscript"/>
        </w:rPr>
        <w:t>6</w:t>
      </w:r>
      <w:r w:rsidR="00DC044F">
        <w:t xml:space="preserve"> </w:t>
      </w:r>
      <w:proofErr w:type="spellStart"/>
      <w:r w:rsidR="00DC044F">
        <w:t>scf</w:t>
      </w:r>
      <w:proofErr w:type="spellEnd"/>
      <w:r w:rsidR="00DC044F">
        <w:t xml:space="preserve"> fuel)] *</w:t>
      </w:r>
    </w:p>
    <w:p w14:paraId="7B0CDFD1" w14:textId="77777777" w:rsidR="009A01E5" w:rsidRDefault="00DC044F" w:rsidP="009D0DE5">
      <w:pPr>
        <w:ind w:left="1440"/>
      </w:pPr>
      <w:r>
        <w:t xml:space="preserve">[1 </w:t>
      </w:r>
      <w:proofErr w:type="spellStart"/>
      <w:r>
        <w:t>scf</w:t>
      </w:r>
      <w:proofErr w:type="spellEnd"/>
      <w:r>
        <w:t xml:space="preserve"> SO</w:t>
      </w:r>
      <w:r>
        <w:rPr>
          <w:vertAlign w:val="subscript"/>
        </w:rPr>
        <w:t>2</w:t>
      </w:r>
      <w:r>
        <w:t xml:space="preserve">/1 </w:t>
      </w:r>
      <w:proofErr w:type="spellStart"/>
      <w:r>
        <w:t>scf</w:t>
      </w:r>
      <w:proofErr w:type="spellEnd"/>
      <w:r>
        <w:t xml:space="preserve"> H</w:t>
      </w:r>
      <w:r>
        <w:rPr>
          <w:vertAlign w:val="subscript"/>
        </w:rPr>
        <w:t>2</w:t>
      </w:r>
      <w:r>
        <w:t xml:space="preserve">S] * </w:t>
      </w:r>
      <w:r w:rsidR="009A01E5">
        <w:t>[</w:t>
      </w:r>
      <w:proofErr w:type="spellStart"/>
      <w:r w:rsidR="009A01E5">
        <w:t>lb</w:t>
      </w:r>
      <w:proofErr w:type="spellEnd"/>
      <w:r w:rsidR="009A01E5">
        <w:t xml:space="preserve">-mole/359 </w:t>
      </w:r>
      <w:proofErr w:type="spellStart"/>
      <w:r w:rsidR="009A01E5">
        <w:t>scf</w:t>
      </w:r>
      <w:proofErr w:type="spellEnd"/>
      <w:r w:rsidR="009A01E5">
        <w:t>]</w:t>
      </w:r>
      <w:r>
        <w:t xml:space="preserve"> </w:t>
      </w:r>
      <w:r w:rsidR="009A01E5">
        <w:t>*</w:t>
      </w:r>
      <w:r>
        <w:t xml:space="preserve"> [64 </w:t>
      </w:r>
      <w:proofErr w:type="spellStart"/>
      <w:r>
        <w:t>lb</w:t>
      </w:r>
      <w:proofErr w:type="spellEnd"/>
      <w:r>
        <w:t>/</w:t>
      </w:r>
      <w:proofErr w:type="spellStart"/>
      <w:r>
        <w:t>lb</w:t>
      </w:r>
      <w:proofErr w:type="spellEnd"/>
      <w:r>
        <w:t>-mole (</w:t>
      </w:r>
      <w:r w:rsidR="00954FFF">
        <w:t>the m</w:t>
      </w:r>
      <w:r w:rsidR="00BD27F1">
        <w:t xml:space="preserve">olecular </w:t>
      </w:r>
      <w:r w:rsidR="00954FFF">
        <w:t>w</w:t>
      </w:r>
      <w:r w:rsidR="00BD27F1">
        <w:t>eight</w:t>
      </w:r>
      <w:r w:rsidR="009D0DE5">
        <w:t xml:space="preserve"> </w:t>
      </w:r>
      <w:r w:rsidR="005841FF">
        <w:t xml:space="preserve">of </w:t>
      </w:r>
      <w:r>
        <w:t>SO</w:t>
      </w:r>
      <w:r>
        <w:rPr>
          <w:vertAlign w:val="subscript"/>
        </w:rPr>
        <w:t>2</w:t>
      </w:r>
      <w:r>
        <w:t>)]</w:t>
      </w:r>
    </w:p>
    <w:p w14:paraId="37F344DF" w14:textId="77777777" w:rsidR="00C1151C" w:rsidRPr="00C1151C" w:rsidRDefault="00C1151C" w:rsidP="0062639D">
      <w:pPr>
        <w:rPr>
          <w:i/>
          <w:sz w:val="20"/>
          <w:szCs w:val="20"/>
        </w:rPr>
      </w:pPr>
      <w:r w:rsidRPr="008F5F84">
        <w:rPr>
          <w:sz w:val="20"/>
          <w:szCs w:val="20"/>
          <w:u w:val="single"/>
        </w:rPr>
        <w:t>Note:</w:t>
      </w:r>
      <w:r w:rsidRPr="00C1151C">
        <w:rPr>
          <w:i/>
          <w:sz w:val="20"/>
          <w:szCs w:val="20"/>
        </w:rPr>
        <w:t xml:space="preserve">  </w:t>
      </w:r>
      <w:r>
        <w:rPr>
          <w:i/>
          <w:sz w:val="20"/>
          <w:szCs w:val="20"/>
        </w:rPr>
        <w:t>The “s</w:t>
      </w:r>
      <w:r w:rsidRPr="00C1151C">
        <w:rPr>
          <w:i/>
          <w:sz w:val="20"/>
          <w:szCs w:val="20"/>
        </w:rPr>
        <w:t>tandard</w:t>
      </w:r>
      <w:r>
        <w:rPr>
          <w:i/>
          <w:sz w:val="20"/>
          <w:szCs w:val="20"/>
        </w:rPr>
        <w:t>”</w:t>
      </w:r>
      <w:r w:rsidRPr="00C1151C">
        <w:rPr>
          <w:i/>
          <w:sz w:val="20"/>
          <w:szCs w:val="20"/>
        </w:rPr>
        <w:t xml:space="preserve"> condition</w:t>
      </w:r>
      <w:r>
        <w:rPr>
          <w:i/>
          <w:sz w:val="20"/>
          <w:szCs w:val="20"/>
        </w:rPr>
        <w:t xml:space="preserve"> of the 359</w:t>
      </w:r>
      <w:r w:rsidR="001D2FAB">
        <w:rPr>
          <w:i/>
          <w:sz w:val="20"/>
          <w:szCs w:val="20"/>
        </w:rPr>
        <w:t xml:space="preserve"> </w:t>
      </w:r>
      <w:proofErr w:type="spellStart"/>
      <w:r w:rsidR="001D2FAB">
        <w:rPr>
          <w:i/>
          <w:sz w:val="20"/>
          <w:szCs w:val="20"/>
        </w:rPr>
        <w:t>scf</w:t>
      </w:r>
      <w:proofErr w:type="spellEnd"/>
      <w:r w:rsidR="001D2FAB">
        <w:rPr>
          <w:i/>
          <w:sz w:val="20"/>
          <w:szCs w:val="20"/>
        </w:rPr>
        <w:t xml:space="preserve"> per </w:t>
      </w:r>
      <w:proofErr w:type="spellStart"/>
      <w:r>
        <w:rPr>
          <w:i/>
          <w:sz w:val="20"/>
          <w:szCs w:val="20"/>
        </w:rPr>
        <w:t>lb</w:t>
      </w:r>
      <w:proofErr w:type="spellEnd"/>
      <w:r>
        <w:rPr>
          <w:i/>
          <w:sz w:val="20"/>
          <w:szCs w:val="20"/>
        </w:rPr>
        <w:t xml:space="preserve">-mole </w:t>
      </w:r>
      <w:r w:rsidR="00E11F16">
        <w:rPr>
          <w:i/>
          <w:sz w:val="20"/>
          <w:szCs w:val="20"/>
        </w:rPr>
        <w:t>m</w:t>
      </w:r>
      <w:r>
        <w:rPr>
          <w:i/>
          <w:sz w:val="20"/>
          <w:szCs w:val="20"/>
        </w:rPr>
        <w:t>olar volume is at</w:t>
      </w:r>
      <w:r w:rsidRPr="00C1151C">
        <w:rPr>
          <w:i/>
          <w:sz w:val="20"/>
          <w:szCs w:val="20"/>
        </w:rPr>
        <w:t xml:space="preserve"> 32</w:t>
      </w:r>
      <w:r w:rsidRPr="00C1151C">
        <w:rPr>
          <w:i/>
          <w:sz w:val="20"/>
          <w:szCs w:val="20"/>
          <w:vertAlign w:val="superscript"/>
        </w:rPr>
        <w:t>o</w:t>
      </w:r>
      <w:r w:rsidRPr="00C1151C">
        <w:rPr>
          <w:i/>
          <w:sz w:val="20"/>
          <w:szCs w:val="20"/>
        </w:rPr>
        <w:t>F</w:t>
      </w:r>
      <w:r>
        <w:rPr>
          <w:i/>
          <w:sz w:val="20"/>
          <w:szCs w:val="20"/>
        </w:rPr>
        <w:t>.</w:t>
      </w:r>
    </w:p>
    <w:p w14:paraId="0AA5E0E1" w14:textId="2E726C5E" w:rsidR="009A01E5" w:rsidRDefault="009A01E5">
      <w:r>
        <w:t>Unlike boiler load screening analyses,</w:t>
      </w:r>
      <w:r w:rsidRPr="00D23EE5">
        <w:t xml:space="preserve"> load screening </w:t>
      </w:r>
      <w:r>
        <w:t xml:space="preserve">for combustion turbines </w:t>
      </w:r>
      <w:proofErr w:type="gramStart"/>
      <w:r>
        <w:t>present</w:t>
      </w:r>
      <w:proofErr w:type="gramEnd"/>
      <w:r>
        <w:t xml:space="preserve"> a special situation because air temperature plays such a dominant role in calculating emissions and stack flow parameters.  As the density of air entering the turbine increases (colder temperatures), the mass of air flowing through the turbine increases as does the turbine output power, gas flow, and mass emissions.  Therefore, it is reasonable to calculate annual emission and stack parameters at a representative </w:t>
      </w:r>
      <w:r w:rsidR="002C385B">
        <w:t>annual</w:t>
      </w:r>
      <w:r>
        <w:t xml:space="preserve"> temperature, but short-term emissions and stack parameters </w:t>
      </w:r>
      <w:r w:rsidR="009931C2">
        <w:t>may need to</w:t>
      </w:r>
      <w:r>
        <w:t xml:space="preserve"> be </w:t>
      </w:r>
      <w:proofErr w:type="gramStart"/>
      <w:r>
        <w:t>bounded</w:t>
      </w:r>
      <w:proofErr w:type="gramEnd"/>
      <w:r>
        <w:t xml:space="preserve"> using reasonable minimum and maximum temperatures that can be expected at the site.  In addition to ambient temperature, other factors such as operating load, water/steam injection, and inlet </w:t>
      </w:r>
      <w:r w:rsidR="009931C2">
        <w:t>temperature control</w:t>
      </w:r>
      <w:r>
        <w:t xml:space="preserve"> will also affect the turbine emissions and stack parameters.  </w:t>
      </w:r>
      <w:proofErr w:type="gramStart"/>
      <w:r>
        <w:t>In order to</w:t>
      </w:r>
      <w:proofErr w:type="gramEnd"/>
      <w:r>
        <w:t xml:space="preserve"> calculate the worst-case air quality impacts, the screening analysis </w:t>
      </w:r>
      <w:r w:rsidR="009931C2">
        <w:t>may need to</w:t>
      </w:r>
      <w:r>
        <w:t xml:space="preserve"> analyze multiple operating scenarios (based on operating load and atmospheric conditions) </w:t>
      </w:r>
      <w:proofErr w:type="gramStart"/>
      <w:r w:rsidR="009931C2">
        <w:t xml:space="preserve">in order </w:t>
      </w:r>
      <w:r>
        <w:t>to</w:t>
      </w:r>
      <w:proofErr w:type="gramEnd"/>
      <w:r>
        <w:t xml:space="preserve"> predict the highest ambient impacts on a pollutant-specific basis.  </w:t>
      </w:r>
    </w:p>
    <w:p w14:paraId="18B0BE41" w14:textId="41098170" w:rsidR="009A01E5" w:rsidRDefault="009A01E5">
      <w:r>
        <w:lastRenderedPageBreak/>
        <w:t xml:space="preserve">Turbine start up presents another operating scenario that </w:t>
      </w:r>
      <w:r w:rsidR="00B25241">
        <w:t>may need to</w:t>
      </w:r>
      <w:r>
        <w:t xml:space="preserve"> be considered.  Because emissions of CO can significantly increase during startups and shutdowns, a separate load screening analysis for CO </w:t>
      </w:r>
      <w:r w:rsidR="00BA76A1">
        <w:t>may</w:t>
      </w:r>
      <w:r>
        <w:t xml:space="preserve"> be </w:t>
      </w:r>
      <w:r w:rsidR="00BA76A1">
        <w:t>needed</w:t>
      </w:r>
      <w:r>
        <w:t xml:space="preserve">.   </w:t>
      </w:r>
    </w:p>
    <w:p w14:paraId="4F7F8506" w14:textId="108AC326" w:rsidR="00B63D2C" w:rsidRDefault="00C92C06" w:rsidP="001F5EB5">
      <w:r>
        <w:t>A</w:t>
      </w:r>
      <w:r w:rsidR="009A01E5">
        <w:t xml:space="preserve">pplicants </w:t>
      </w:r>
      <w:r w:rsidR="00BB01E9">
        <w:t xml:space="preserve">may need to </w:t>
      </w:r>
      <w:r w:rsidR="009A01E5">
        <w:t xml:space="preserve">provide manufacturer stack </w:t>
      </w:r>
      <w:proofErr w:type="gramStart"/>
      <w:r w:rsidR="009A01E5">
        <w:t>parameter</w:t>
      </w:r>
      <w:proofErr w:type="gramEnd"/>
      <w:r w:rsidR="009A01E5">
        <w:t xml:space="preserve"> and emission data for various ambient temperature and loads as part of a combustion turbine analysis.  If </w:t>
      </w:r>
      <w:r w:rsidR="001F5EB5">
        <w:t xml:space="preserve">manufacturer or source test data is </w:t>
      </w:r>
      <w:r w:rsidR="009A01E5">
        <w:t xml:space="preserve">not available, </w:t>
      </w:r>
      <w:r w:rsidR="001F5EB5">
        <w:t>applicants may multiply the manufacturer’s full-load actual flow rate by 0.80 for the 75</w:t>
      </w:r>
      <w:r w:rsidR="00BD27F1">
        <w:t xml:space="preserve"> percent</w:t>
      </w:r>
      <w:r w:rsidR="001F5EB5">
        <w:t xml:space="preserve"> load scenario and by 0.70 for the 50</w:t>
      </w:r>
      <w:r w:rsidR="00BD27F1">
        <w:t xml:space="preserve"> percent</w:t>
      </w:r>
      <w:r w:rsidR="001F5EB5">
        <w:t xml:space="preserve"> load scenario.  For estimating the part-load exhaust temperature (in degrees K), applicants may multiply the full-load temperature by 0.95 for the 75</w:t>
      </w:r>
      <w:r w:rsidR="00BD27F1">
        <w:t xml:space="preserve"> percent</w:t>
      </w:r>
      <w:r w:rsidR="001F5EB5">
        <w:t xml:space="preserve"> load scenario and by 0.70 for the 50</w:t>
      </w:r>
      <w:r w:rsidR="00BD27F1">
        <w:t xml:space="preserve"> percent</w:t>
      </w:r>
      <w:r w:rsidR="001F5EB5">
        <w:t xml:space="preserve"> load scenario.</w:t>
      </w:r>
      <w:r w:rsidR="000C0EF6">
        <w:fldChar w:fldCharType="begin"/>
      </w:r>
      <w:r w:rsidR="0021763C">
        <w:instrText xml:space="preserve"> NOTEREF _Ref360029653 \f \h </w:instrText>
      </w:r>
      <w:r w:rsidR="000C0EF6">
        <w:fldChar w:fldCharType="separate"/>
      </w:r>
      <w:r w:rsidR="00135FFD" w:rsidRPr="00135FFD">
        <w:rPr>
          <w:rStyle w:val="FootnoteReference"/>
        </w:rPr>
        <w:t>65</w:t>
      </w:r>
      <w:r w:rsidR="000C0EF6">
        <w:fldChar w:fldCharType="end"/>
      </w:r>
      <w:r w:rsidR="001F5EB5">
        <w:t xml:space="preserve">  Please note that these assumptions may not be appropriate for other permitting aspects, such as PSD avoidance caps.  See</w:t>
      </w:r>
      <w:r w:rsidR="004E60B4">
        <w:t xml:space="preserve"> Section </w:t>
      </w:r>
      <w:r w:rsidR="004E60B4">
        <w:fldChar w:fldCharType="begin"/>
      </w:r>
      <w:r w:rsidR="004E60B4">
        <w:instrText xml:space="preserve"> REF _Ref439925499 \w \h </w:instrText>
      </w:r>
      <w:r w:rsidR="004E60B4">
        <w:fldChar w:fldCharType="separate"/>
      </w:r>
      <w:r w:rsidR="00135FFD">
        <w:t>2.7.5</w:t>
      </w:r>
      <w:r w:rsidR="004E60B4">
        <w:fldChar w:fldCharType="end"/>
      </w:r>
      <w:r w:rsidR="004E60B4">
        <w:t xml:space="preserve"> </w:t>
      </w:r>
      <w:r w:rsidR="001F5EB5">
        <w:t>for additional information regarding the modeling of partial load conditions.</w:t>
      </w:r>
    </w:p>
    <w:p w14:paraId="19F08CFD" w14:textId="77777777" w:rsidR="00B63D2C" w:rsidRDefault="00B63D2C">
      <w:pPr>
        <w:spacing w:after="0"/>
      </w:pPr>
      <w:r>
        <w:br w:type="page"/>
      </w:r>
    </w:p>
    <w:p w14:paraId="6A1F26F8" w14:textId="77777777" w:rsidR="0035000C" w:rsidRPr="005B60B0" w:rsidRDefault="002B2249" w:rsidP="000F2745">
      <w:pPr>
        <w:pStyle w:val="Heading4"/>
        <w:rPr>
          <w:szCs w:val="24"/>
        </w:rPr>
      </w:pPr>
      <w:bookmarkStart w:id="179" w:name="_Toc526778268"/>
      <w:r w:rsidRPr="002B2249">
        <w:rPr>
          <w:szCs w:val="24"/>
        </w:rPr>
        <w:lastRenderedPageBreak/>
        <w:t>Flares</w:t>
      </w:r>
      <w:bookmarkEnd w:id="179"/>
    </w:p>
    <w:p w14:paraId="4826F898" w14:textId="1522280A" w:rsidR="0035000C" w:rsidRDefault="0035000C" w:rsidP="0035000C">
      <w:r>
        <w:t xml:space="preserve">Flares can be tricky </w:t>
      </w:r>
      <w:r w:rsidR="00BC634A">
        <w:t>EU</w:t>
      </w:r>
      <w:r w:rsidR="0014752D">
        <w:t xml:space="preserve">s </w:t>
      </w:r>
      <w:r>
        <w:t xml:space="preserve">to model.  The operating scenario should be defined as to whether the applicant is modeling a flaring event or just the pilot, purge gas, and assist gas. A flare typically operates in a standard mode and an event mode.  In the standard mode, a small flame is present, resulting from the combustion of pilot, purge, and assist gas. A flaring event is usually characterized by a large flame, due to rerouting of product during the temporary shutdown of a process or control unit.   </w:t>
      </w:r>
    </w:p>
    <w:p w14:paraId="1A1BCCC4" w14:textId="0A51AC6C" w:rsidR="0035000C" w:rsidRDefault="0035000C" w:rsidP="0035000C">
      <w:r>
        <w:t xml:space="preserve">The following definitions, provided by </w:t>
      </w:r>
      <w:r w:rsidR="00527976">
        <w:t>BP</w:t>
      </w:r>
      <w:r w:rsidR="002C139B">
        <w:t xml:space="preserve"> </w:t>
      </w:r>
      <w:r w:rsidR="00527976">
        <w:t xml:space="preserve">Exploration </w:t>
      </w:r>
      <w:r w:rsidR="002C139B">
        <w:t>(</w:t>
      </w:r>
      <w:r w:rsidR="00527976">
        <w:t>Alaska</w:t>
      </w:r>
      <w:r w:rsidR="002C139B">
        <w:t>)</w:t>
      </w:r>
      <w:r>
        <w:t xml:space="preserve">, </w:t>
      </w:r>
      <w:r w:rsidR="002C139B">
        <w:t>Inc.</w:t>
      </w:r>
      <w:proofErr w:type="gramStart"/>
      <w:r w:rsidR="002C139B">
        <w:t xml:space="preserve"> </w:t>
      </w:r>
      <w:r>
        <w:t>may</w:t>
      </w:r>
      <w:proofErr w:type="gramEnd"/>
      <w:r>
        <w:t xml:space="preserve"> </w:t>
      </w:r>
      <w:proofErr w:type="gramStart"/>
      <w:r>
        <w:t>be helpful in understanding</w:t>
      </w:r>
      <w:proofErr w:type="gramEnd"/>
      <w:r>
        <w:t xml:space="preserve"> flare terminology.</w:t>
      </w:r>
    </w:p>
    <w:p w14:paraId="378B441C" w14:textId="77777777" w:rsidR="0035000C" w:rsidRDefault="0035000C" w:rsidP="0035000C">
      <w:r>
        <w:rPr>
          <w:b/>
        </w:rPr>
        <w:t>Pilots</w:t>
      </w:r>
      <w:proofErr w:type="gramStart"/>
      <w:r>
        <w:t>:  Pilot</w:t>
      </w:r>
      <w:proofErr w:type="gramEnd"/>
      <w:r>
        <w:t xml:space="preserve"> gas is the component of the flared gas needed to </w:t>
      </w:r>
      <w:proofErr w:type="gramStart"/>
      <w:r>
        <w:t>insure</w:t>
      </w:r>
      <w:proofErr w:type="gramEnd"/>
      <w:r>
        <w:t xml:space="preserve"> continuous ignition of any gas flared from the facilities.  This is analogous to the pilot found of a natural gas furnace or water heater in your home.  The amount of pilot gas required is dependent on the type and number of pilots. The number of pilots is dependent on the design of the flare which </w:t>
      </w:r>
      <w:proofErr w:type="gramStart"/>
      <w:r>
        <w:t>takes into account</w:t>
      </w:r>
      <w:proofErr w:type="gramEnd"/>
      <w:r>
        <w:t xml:space="preserve"> flare size and configuration.  The rate for each pilot is constant after it is set initially to establish a stable flame resistant to being blown out by high winds.</w:t>
      </w:r>
    </w:p>
    <w:p w14:paraId="74C0B5E5" w14:textId="77777777" w:rsidR="0035000C" w:rsidRDefault="0035000C" w:rsidP="0035000C">
      <w:r>
        <w:rPr>
          <w:b/>
        </w:rPr>
        <w:t>Purge Gas</w:t>
      </w:r>
      <w:r>
        <w:t xml:space="preserve">: Purge gas, sometimes called sweep gas, is the component of the flared gas used to prevent the formation of an explosive mixture through ingress of air into the piping of the flare system.  The normal purge rate is calculated for no influence by wind and is dependent on the pipe diameter, type of flare tip, and the number of flare tips.  Purge gas volumes are sometimes adjusted above the normal rate to overcome the effects of wind gusts.  These effects </w:t>
      </w:r>
      <w:proofErr w:type="gramStart"/>
      <w:r>
        <w:t>including</w:t>
      </w:r>
      <w:proofErr w:type="gramEnd"/>
      <w:r>
        <w:t xml:space="preserve"> blowing air back through the tips, blowing the burning flame back inside the flare tip, and blowing the flame out.</w:t>
      </w:r>
    </w:p>
    <w:p w14:paraId="200EF639" w14:textId="77777777" w:rsidR="0035000C" w:rsidRDefault="0035000C" w:rsidP="0035000C">
      <w:r>
        <w:rPr>
          <w:b/>
        </w:rPr>
        <w:t>Assist Gas</w:t>
      </w:r>
      <w:r>
        <w:t xml:space="preserve">: Facilities may operate two separation systems, high pressure and low pressure, for processing of incoming hydrocarbons.  These systems separate gas, oil, and water streams </w:t>
      </w:r>
      <w:proofErr w:type="gramStart"/>
      <w:r>
        <w:t>in</w:t>
      </w:r>
      <w:proofErr w:type="gramEnd"/>
      <w:r>
        <w:t xml:space="preserve"> a series of separation vessels which operate at successively lower pressure.  </w:t>
      </w:r>
      <w:proofErr w:type="gramStart"/>
      <w:r>
        <w:t>Consequently</w:t>
      </w:r>
      <w:proofErr w:type="gramEnd"/>
      <w:r>
        <w:t xml:space="preserve"> the flare system consists of high pressure and </w:t>
      </w:r>
      <w:proofErr w:type="gramStart"/>
      <w:r>
        <w:t>low pressure</w:t>
      </w:r>
      <w:proofErr w:type="gramEnd"/>
      <w:r>
        <w:t xml:space="preserve"> flares for use with the appropriate level and operating pressure.  Because of less volatile hydrocarbon components and lower gas velocities in the </w:t>
      </w:r>
      <w:proofErr w:type="gramStart"/>
      <w:r>
        <w:t>low pressure</w:t>
      </w:r>
      <w:proofErr w:type="gramEnd"/>
      <w:r>
        <w:t xml:space="preserve"> system, combustion of this gas is less </w:t>
      </w:r>
      <w:proofErr w:type="gramStart"/>
      <w:r>
        <w:t>efficient</w:t>
      </w:r>
      <w:proofErr w:type="gramEnd"/>
      <w:r>
        <w:t xml:space="preserve"> and unassisted burning may result in the formation of black smoke. Therefore, </w:t>
      </w:r>
      <w:proofErr w:type="gramStart"/>
      <w:r>
        <w:t>in order to</w:t>
      </w:r>
      <w:proofErr w:type="gramEnd"/>
      <w:r>
        <w:t xml:space="preserve"> assure more complete combustion and minimize the generation of black smoke from flaring of </w:t>
      </w:r>
      <w:proofErr w:type="gramStart"/>
      <w:r>
        <w:t>low pressure</w:t>
      </w:r>
      <w:proofErr w:type="gramEnd"/>
      <w:r>
        <w:t xml:space="preserve"> gas, assist gas from the </w:t>
      </w:r>
      <w:proofErr w:type="gramStart"/>
      <w:r>
        <w:t>high pressure</w:t>
      </w:r>
      <w:proofErr w:type="gramEnd"/>
      <w:r>
        <w:t xml:space="preserve"> system is combined with the </w:t>
      </w:r>
      <w:proofErr w:type="gramStart"/>
      <w:r>
        <w:t>low pressure</w:t>
      </w:r>
      <w:proofErr w:type="gramEnd"/>
      <w:r>
        <w:t xml:space="preserve"> gas at the flare. </w:t>
      </w:r>
    </w:p>
    <w:p w14:paraId="7908AF10" w14:textId="77777777" w:rsidR="0032536E" w:rsidRDefault="0035000C" w:rsidP="0035000C">
      <w:r>
        <w:t>Flares are identified as a unique point source as they do not have a defined stack exit diameter.  For modeling, it is necessary to compute equivalent emission parameters, i.e. adjusted values of</w:t>
      </w:r>
      <w:r w:rsidRPr="00167BBA">
        <w:t xml:space="preserve"> stack height and “stack” diameter.</w:t>
      </w:r>
      <w:r>
        <w:t xml:space="preserve">  </w:t>
      </w:r>
    </w:p>
    <w:p w14:paraId="5D30E828" w14:textId="77777777" w:rsidR="0035000C" w:rsidRDefault="00ED5EC5" w:rsidP="0035000C">
      <w:r>
        <w:t>AER</w:t>
      </w:r>
      <w:r w:rsidR="0035000C">
        <w:t>SCREEN has a source category for flares, and makes these adjustments internally</w:t>
      </w:r>
      <w:r>
        <w:t xml:space="preserve"> based on the user input data</w:t>
      </w:r>
      <w:r w:rsidR="0035000C">
        <w:t>.  AERMOD do</w:t>
      </w:r>
      <w:r>
        <w:t>es</w:t>
      </w:r>
      <w:r w:rsidR="0035000C">
        <w:t xml:space="preserve"> not have a source category for flares, and therefore, </w:t>
      </w:r>
      <w:r>
        <w:t xml:space="preserve">would </w:t>
      </w:r>
      <w:r w:rsidR="0035000C">
        <w:t>need to have the adjustments made by the modeler</w:t>
      </w:r>
      <w:r>
        <w:t xml:space="preserve"> outside the model prior to running AERMOD</w:t>
      </w:r>
      <w:r w:rsidR="0035000C">
        <w:t>.</w:t>
      </w:r>
      <w:r>
        <w:t xml:space="preserve"> </w:t>
      </w:r>
      <w:r w:rsidR="0035000C">
        <w:t xml:space="preserve"> The approach is as follows</w:t>
      </w:r>
      <w:r w:rsidR="00E15EBF">
        <w:t xml:space="preserve"> (the equations below </w:t>
      </w:r>
      <w:r w:rsidR="00B8133B">
        <w:t>are the more commonly used form expressing the total heat release in MMBtu/</w:t>
      </w:r>
      <w:proofErr w:type="spellStart"/>
      <w:r w:rsidR="00B8133B">
        <w:t>hr</w:t>
      </w:r>
      <w:proofErr w:type="spellEnd"/>
      <w:r w:rsidR="00B8133B">
        <w:t xml:space="preserve">; they </w:t>
      </w:r>
      <w:r w:rsidR="00E15EBF">
        <w:t xml:space="preserve">have been </w:t>
      </w:r>
      <w:r w:rsidR="00B8133B">
        <w:lastRenderedPageBreak/>
        <w:t xml:space="preserve">changed </w:t>
      </w:r>
      <w:r w:rsidR="00E15EBF">
        <w:t>from the form found in EPA manuals</w:t>
      </w:r>
      <w:r w:rsidR="00B8133B">
        <w:t xml:space="preserve"> in which the total heat release i</w:t>
      </w:r>
      <w:r w:rsidR="002A2008">
        <w:t>s</w:t>
      </w:r>
      <w:r w:rsidR="00B8133B">
        <w:t xml:space="preserve"> expressed in calories/sec</w:t>
      </w:r>
      <w:r w:rsidR="0021763C">
        <w:t>ond</w:t>
      </w:r>
      <w:r w:rsidR="00E15EBF">
        <w:t>)</w:t>
      </w:r>
      <w:r w:rsidR="0035000C">
        <w:t>:</w:t>
      </w:r>
    </w:p>
    <w:p w14:paraId="38471D60" w14:textId="77777777" w:rsidR="0035000C" w:rsidRDefault="0035000C" w:rsidP="00407F48">
      <w:pPr>
        <w:numPr>
          <w:ilvl w:val="0"/>
          <w:numId w:val="42"/>
        </w:numPr>
      </w:pPr>
      <w:r>
        <w:t>Compute the adjustment to stack height (</w:t>
      </w:r>
      <w:proofErr w:type="spellStart"/>
      <w:r>
        <w:t>H</w:t>
      </w:r>
      <w:r w:rsidR="001220E9" w:rsidRPr="001220E9">
        <w:rPr>
          <w:vertAlign w:val="subscript"/>
        </w:rPr>
        <w:t>equiv</w:t>
      </w:r>
      <w:proofErr w:type="spellEnd"/>
      <w:r w:rsidR="001220E9" w:rsidRPr="001220E9">
        <w:rPr>
          <w:vertAlign w:val="subscript"/>
        </w:rPr>
        <w:t>.</w:t>
      </w:r>
      <w:r>
        <w:t>) as a function of total heat release Q in</w:t>
      </w:r>
      <w:r w:rsidR="001220E9">
        <w:t xml:space="preserve"> </w:t>
      </w:r>
      <w:r w:rsidR="00E15EBF">
        <w:t>MMBtu/</w:t>
      </w:r>
      <w:proofErr w:type="spellStart"/>
      <w:r w:rsidR="00E15EBF">
        <w:t>hr</w:t>
      </w:r>
      <w:proofErr w:type="spellEnd"/>
      <w:r>
        <w:t>:</w:t>
      </w:r>
      <w:r>
        <w:rPr>
          <w:rStyle w:val="FootnoteReference"/>
        </w:rPr>
        <w:footnoteReference w:id="66"/>
      </w:r>
      <w:r>
        <w:t xml:space="preserve"> </w:t>
      </w:r>
    </w:p>
    <w:p w14:paraId="1B3EB35C" w14:textId="77777777" w:rsidR="0035000C" w:rsidRDefault="0035000C" w:rsidP="0035000C">
      <w:pPr>
        <w:ind w:left="1080" w:firstLine="360"/>
      </w:pPr>
      <w:proofErr w:type="spellStart"/>
      <w:r>
        <w:t>H</w:t>
      </w:r>
      <w:r>
        <w:rPr>
          <w:vertAlign w:val="subscript"/>
        </w:rPr>
        <w:t>equiv</w:t>
      </w:r>
      <w:proofErr w:type="spellEnd"/>
      <w:r>
        <w:rPr>
          <w:vertAlign w:val="subscript"/>
        </w:rPr>
        <w:t>.</w:t>
      </w:r>
      <w:r>
        <w:t xml:space="preserve"> = </w:t>
      </w:r>
      <w:proofErr w:type="spellStart"/>
      <w:r>
        <w:t>H</w:t>
      </w:r>
      <w:r>
        <w:rPr>
          <w:vertAlign w:val="subscript"/>
        </w:rPr>
        <w:t>actual</w:t>
      </w:r>
      <w:proofErr w:type="spellEnd"/>
      <w:r>
        <w:t xml:space="preserve"> + </w:t>
      </w:r>
      <w:r w:rsidR="00E15EBF">
        <w:t>0.944</w:t>
      </w:r>
      <w:r w:rsidR="001220E9">
        <w:t xml:space="preserve"> * </w:t>
      </w:r>
      <w:r>
        <w:t>(Q)</w:t>
      </w:r>
      <w:r>
        <w:rPr>
          <w:vertAlign w:val="superscript"/>
        </w:rPr>
        <w:t>0.478</w:t>
      </w:r>
    </w:p>
    <w:p w14:paraId="4F738ED6" w14:textId="77777777" w:rsidR="0035000C" w:rsidRDefault="0035000C" w:rsidP="0035000C">
      <w:pPr>
        <w:ind w:firstLine="720"/>
      </w:pPr>
      <w:r>
        <w:t xml:space="preserve">where </w:t>
      </w:r>
      <w:proofErr w:type="spellStart"/>
      <w:r>
        <w:t>H</w:t>
      </w:r>
      <w:r w:rsidR="001220E9" w:rsidRPr="001220E9">
        <w:rPr>
          <w:vertAlign w:val="subscript"/>
        </w:rPr>
        <w:t>equiv</w:t>
      </w:r>
      <w:proofErr w:type="spellEnd"/>
      <w:r w:rsidR="001220E9" w:rsidRPr="001220E9">
        <w:rPr>
          <w:vertAlign w:val="subscript"/>
        </w:rPr>
        <w:t>.</w:t>
      </w:r>
      <w:r w:rsidR="001220E9">
        <w:t xml:space="preserve"> and </w:t>
      </w:r>
      <w:proofErr w:type="spellStart"/>
      <w:r w:rsidR="001220E9">
        <w:t>H</w:t>
      </w:r>
      <w:r w:rsidR="001220E9" w:rsidRPr="001220E9">
        <w:rPr>
          <w:vertAlign w:val="subscript"/>
        </w:rPr>
        <w:t>actual</w:t>
      </w:r>
      <w:proofErr w:type="spellEnd"/>
      <w:r>
        <w:t xml:space="preserve"> ha</w:t>
      </w:r>
      <w:r w:rsidR="001220E9">
        <w:t>ve</w:t>
      </w:r>
      <w:r>
        <w:t xml:space="preserve"> units of </w:t>
      </w:r>
      <w:proofErr w:type="gramStart"/>
      <w:r>
        <w:t>meters;</w:t>
      </w:r>
      <w:proofErr w:type="gramEnd"/>
    </w:p>
    <w:p w14:paraId="1F3B8D59" w14:textId="77777777" w:rsidR="0035000C" w:rsidRDefault="00106127" w:rsidP="0061203D">
      <w:pPr>
        <w:ind w:left="720"/>
      </w:pPr>
      <w:r w:rsidRPr="00890491">
        <w:rPr>
          <w:u w:val="single"/>
        </w:rPr>
        <w:t>N</w:t>
      </w:r>
      <w:r w:rsidR="0035000C" w:rsidRPr="00890491">
        <w:rPr>
          <w:u w:val="single"/>
        </w:rPr>
        <w:t>ote</w:t>
      </w:r>
      <w:proofErr w:type="gramStart"/>
      <w:r w:rsidR="0035000C">
        <w:t xml:space="preserve">:  </w:t>
      </w:r>
      <w:r w:rsidR="0035000C" w:rsidRPr="008F5F84">
        <w:rPr>
          <w:i/>
        </w:rPr>
        <w:t>1</w:t>
      </w:r>
      <w:proofErr w:type="gramEnd"/>
      <w:r w:rsidR="0035000C" w:rsidRPr="008F5F84">
        <w:rPr>
          <w:i/>
        </w:rPr>
        <w:t xml:space="preserve">) some flares are rated in </w:t>
      </w:r>
      <w:r w:rsidR="00890491" w:rsidRPr="008F5F84">
        <w:rPr>
          <w:i/>
        </w:rPr>
        <w:t xml:space="preserve">calories per </w:t>
      </w:r>
      <w:proofErr w:type="gramStart"/>
      <w:r w:rsidR="00890491" w:rsidRPr="008F5F84">
        <w:rPr>
          <w:i/>
        </w:rPr>
        <w:t>second</w:t>
      </w:r>
      <w:proofErr w:type="gramEnd"/>
      <w:r w:rsidR="0035000C" w:rsidRPr="008F5F84">
        <w:rPr>
          <w:i/>
        </w:rPr>
        <w:t xml:space="preserve"> and the conversion factor is </w:t>
      </w:r>
      <w:r w:rsidR="001220E9" w:rsidRPr="008F5F84">
        <w:rPr>
          <w:i/>
        </w:rPr>
        <w:t>1</w:t>
      </w:r>
      <w:r w:rsidR="0035000C" w:rsidRPr="008F5F84">
        <w:rPr>
          <w:i/>
        </w:rPr>
        <w:t xml:space="preserve"> Btu/</w:t>
      </w:r>
      <w:proofErr w:type="spellStart"/>
      <w:r w:rsidR="0035000C" w:rsidRPr="008F5F84">
        <w:rPr>
          <w:i/>
        </w:rPr>
        <w:t>hr</w:t>
      </w:r>
      <w:proofErr w:type="spellEnd"/>
      <w:r w:rsidR="0035000C" w:rsidRPr="008F5F84">
        <w:rPr>
          <w:i/>
        </w:rPr>
        <w:t xml:space="preserve"> for every </w:t>
      </w:r>
      <w:r w:rsidR="001220E9" w:rsidRPr="008F5F84">
        <w:rPr>
          <w:i/>
        </w:rPr>
        <w:t xml:space="preserve">0.06993 </w:t>
      </w:r>
      <w:proofErr w:type="spellStart"/>
      <w:r w:rsidR="0035000C" w:rsidRPr="008F5F84">
        <w:rPr>
          <w:i/>
        </w:rPr>
        <w:t>cal</w:t>
      </w:r>
      <w:proofErr w:type="spellEnd"/>
      <w:r w:rsidR="0035000C" w:rsidRPr="008F5F84">
        <w:rPr>
          <w:i/>
        </w:rPr>
        <w:t>/s; and 2) the adjustment account</w:t>
      </w:r>
      <w:r w:rsidR="0061203D" w:rsidRPr="008F5F84">
        <w:rPr>
          <w:i/>
        </w:rPr>
        <w:t>s</w:t>
      </w:r>
      <w:r w:rsidR="0035000C" w:rsidRPr="008F5F84">
        <w:rPr>
          <w:i/>
        </w:rPr>
        <w:t xml:space="preserve"> for flame length and assumes the flame is tilted 45-degrees from the vertical</w:t>
      </w:r>
      <w:r w:rsidR="0035000C">
        <w:t>.</w:t>
      </w:r>
    </w:p>
    <w:p w14:paraId="4AAA4E7F" w14:textId="77777777" w:rsidR="0035000C" w:rsidRDefault="0035000C" w:rsidP="00407F48">
      <w:pPr>
        <w:numPr>
          <w:ilvl w:val="0"/>
          <w:numId w:val="5"/>
        </w:numPr>
      </w:pPr>
      <w:r>
        <w:t>2. Assume a temperature of 1,273 °</w:t>
      </w:r>
      <w:proofErr w:type="gramStart"/>
      <w:r>
        <w:t>K;</w:t>
      </w:r>
      <w:proofErr w:type="gramEnd"/>
    </w:p>
    <w:p w14:paraId="02923CB3" w14:textId="77777777" w:rsidR="0035000C" w:rsidRDefault="0035000C" w:rsidP="00407F48">
      <w:pPr>
        <w:numPr>
          <w:ilvl w:val="0"/>
          <w:numId w:val="5"/>
        </w:numPr>
      </w:pPr>
      <w:r>
        <w:t>3. Assume an exit velocity of 20 meters/</w:t>
      </w:r>
      <w:proofErr w:type="gramStart"/>
      <w:r>
        <w:t>sec</w:t>
      </w:r>
      <w:r w:rsidR="00ED1132">
        <w:t>;</w:t>
      </w:r>
      <w:proofErr w:type="gramEnd"/>
      <w:r>
        <w:t xml:space="preserve"> </w:t>
      </w:r>
    </w:p>
    <w:p w14:paraId="3F2F5B58" w14:textId="77777777" w:rsidR="0035000C" w:rsidRDefault="0035000C" w:rsidP="0035000C">
      <w:pPr>
        <w:ind w:firstLine="360"/>
      </w:pPr>
      <w:r>
        <w:t>4. Assume an e</w:t>
      </w:r>
      <w:r w:rsidR="00D21954">
        <w:t>ffective</w:t>
      </w:r>
      <w:r>
        <w:t xml:space="preserve"> stack diameter </w:t>
      </w:r>
      <w:r w:rsidR="00AD2BD9">
        <w:t>(</w:t>
      </w:r>
      <w:proofErr w:type="spellStart"/>
      <w:r>
        <w:t>d</w:t>
      </w:r>
      <w:r>
        <w:rPr>
          <w:vertAlign w:val="subscript"/>
        </w:rPr>
        <w:t>e</w:t>
      </w:r>
      <w:r w:rsidR="00D21954">
        <w:rPr>
          <w:vertAlign w:val="subscript"/>
        </w:rPr>
        <w:t>ff</w:t>
      </w:r>
      <w:proofErr w:type="spellEnd"/>
      <w:r w:rsidR="00AD2BD9">
        <w:t>)</w:t>
      </w:r>
      <w:r>
        <w:rPr>
          <w:vertAlign w:val="subscript"/>
        </w:rPr>
        <w:t xml:space="preserve"> </w:t>
      </w:r>
      <w:r>
        <w:t xml:space="preserve">of  </w:t>
      </w:r>
    </w:p>
    <w:p w14:paraId="16D02148" w14:textId="77777777" w:rsidR="0035000C" w:rsidRPr="001220E9" w:rsidRDefault="0035000C" w:rsidP="00ED1132">
      <w:pPr>
        <w:ind w:firstLine="1440"/>
      </w:pPr>
      <w:proofErr w:type="spellStart"/>
      <w:r>
        <w:t>d</w:t>
      </w:r>
      <w:r>
        <w:rPr>
          <w:vertAlign w:val="subscript"/>
        </w:rPr>
        <w:t>e</w:t>
      </w:r>
      <w:r w:rsidR="00D21954">
        <w:rPr>
          <w:vertAlign w:val="subscript"/>
        </w:rPr>
        <w:t>ff</w:t>
      </w:r>
      <w:proofErr w:type="spellEnd"/>
      <w:r>
        <w:t xml:space="preserve"> </w:t>
      </w:r>
      <w:proofErr w:type="gramStart"/>
      <w:r>
        <w:t>=</w:t>
      </w:r>
      <w:r w:rsidR="00D21954">
        <w:t xml:space="preserve"> </w:t>
      </w:r>
      <w:r>
        <w:t xml:space="preserve"> </w:t>
      </w:r>
      <w:r w:rsidR="00E15EBF">
        <w:t>0.1755</w:t>
      </w:r>
      <w:proofErr w:type="gramEnd"/>
      <w:r w:rsidR="001220E9">
        <w:t xml:space="preserve"> * </w:t>
      </w:r>
      <w:r w:rsidR="00E15EBF">
        <w:t>(</w:t>
      </w:r>
      <w:r w:rsidR="001220E9">
        <w:t>Q)</w:t>
      </w:r>
      <w:r w:rsidR="001220E9" w:rsidRPr="001220E9">
        <w:rPr>
          <w:vertAlign w:val="superscript"/>
        </w:rPr>
        <w:t>0.5</w:t>
      </w:r>
    </w:p>
    <w:p w14:paraId="49997743" w14:textId="2DF27984" w:rsidR="0035000C" w:rsidRDefault="0035000C" w:rsidP="00890491">
      <w:pPr>
        <w:ind w:left="720"/>
      </w:pPr>
      <w:r w:rsidRPr="00890491">
        <w:rPr>
          <w:u w:val="single"/>
        </w:rPr>
        <w:t>Note</w:t>
      </w:r>
      <w:r>
        <w:t xml:space="preserve">: </w:t>
      </w:r>
      <w:r w:rsidRPr="008F5F84">
        <w:rPr>
          <w:i/>
        </w:rPr>
        <w:t xml:space="preserve">Some stationary sources in Prudhoe Bay have horizontal flares.  In these cases, an exit velocity of 0.001 m/s should be used when modeling with </w:t>
      </w:r>
      <w:r w:rsidR="006F0238" w:rsidRPr="008F5F84">
        <w:rPr>
          <w:i/>
        </w:rPr>
        <w:t xml:space="preserve">AERMOD </w:t>
      </w:r>
      <w:r w:rsidR="008F5F84">
        <w:rPr>
          <w:i/>
        </w:rPr>
        <w:t>(</w:t>
      </w:r>
      <w:r w:rsidRPr="008F5F84">
        <w:rPr>
          <w:i/>
        </w:rPr>
        <w:t xml:space="preserve">see </w:t>
      </w:r>
      <w:r w:rsidR="00B4535F" w:rsidRPr="008F5F84">
        <w:rPr>
          <w:i/>
        </w:rPr>
        <w:t xml:space="preserve">the </w:t>
      </w:r>
      <w:r w:rsidRPr="008F5F84">
        <w:rPr>
          <w:i/>
        </w:rPr>
        <w:t xml:space="preserve">discussion </w:t>
      </w:r>
      <w:r w:rsidR="00B4535F" w:rsidRPr="008F5F84">
        <w:rPr>
          <w:i/>
        </w:rPr>
        <w:t xml:space="preserve">on </w:t>
      </w:r>
      <w:r w:rsidR="00556C11" w:rsidRPr="008F5F84">
        <w:rPr>
          <w:i/>
        </w:rPr>
        <w:t xml:space="preserve">horizontal stacks in </w:t>
      </w:r>
      <w:hyperlink w:anchor="_Emission_Rates_and" w:history="1">
        <w:r w:rsidR="00556C11" w:rsidRPr="008F5F84">
          <w:rPr>
            <w:rStyle w:val="Hyperlink"/>
            <w:i/>
          </w:rPr>
          <w:t>Section 2.7</w:t>
        </w:r>
        <w:r w:rsidR="00B4535F" w:rsidRPr="008F5F84">
          <w:rPr>
            <w:rStyle w:val="Hyperlink"/>
            <w:i/>
          </w:rPr>
          <w:t>.1</w:t>
        </w:r>
      </w:hyperlink>
      <w:r w:rsidR="008F5F84">
        <w:rPr>
          <w:rStyle w:val="Hyperlink"/>
        </w:rPr>
        <w:t>)</w:t>
      </w:r>
      <w:r w:rsidR="005063AA">
        <w:t>.</w:t>
      </w:r>
    </w:p>
    <w:p w14:paraId="1F811058" w14:textId="77777777" w:rsidR="0035000C" w:rsidRDefault="0035000C" w:rsidP="0035000C">
      <w:r>
        <w:t>E</w:t>
      </w:r>
      <w:r w:rsidR="00F74348">
        <w:t>ffective</w:t>
      </w:r>
      <w:r>
        <w:t xml:space="preserve"> diameter is applicable for both vertical and horizontal flares since it’s </w:t>
      </w:r>
      <w:proofErr w:type="gramStart"/>
      <w:r>
        <w:t>back-calculated</w:t>
      </w:r>
      <w:proofErr w:type="gramEnd"/>
      <w:r>
        <w:t xml:space="preserve"> from a buoyancy flux assumption.  Buoyancy flux is not a function of flare orientation.  Therefore, the equation can be used for both horizontal and vertical flare orientations.</w:t>
      </w:r>
    </w:p>
    <w:p w14:paraId="355CD2FE" w14:textId="5A9EE5EE" w:rsidR="0035000C" w:rsidRDefault="0035000C" w:rsidP="0035000C">
      <w:r>
        <w:t xml:space="preserve">This method pertains to the “typical” flare, and will be more or less accurate depending on various parameters of the flare in question, such as heat content and molecular weight of the fuel, velocity of the </w:t>
      </w:r>
      <w:proofErr w:type="spellStart"/>
      <w:r>
        <w:t>uncombusted</w:t>
      </w:r>
      <w:proofErr w:type="spellEnd"/>
      <w:r>
        <w:t xml:space="preserve"> fuel/air mixture, presence of steam for soot control, etc. Hence, this method may not be applicable to every situation.  For example, the Central Compressor Plant in </w:t>
      </w:r>
      <w:smartTag w:uri="urn:schemas-microsoft-com:office:smarttags" w:element="place">
        <w:r>
          <w:t>Prudhoe Bay</w:t>
        </w:r>
      </w:smartTag>
      <w:r>
        <w:t xml:space="preserve"> utilizes “candle” flares for some of their flaring needs.  A methodology was developed with </w:t>
      </w:r>
      <w:r w:rsidR="003B5F48">
        <w:t>R10</w:t>
      </w:r>
      <w:r>
        <w:t xml:space="preserve"> in the early 1990’s to model </w:t>
      </w:r>
      <w:proofErr w:type="gramStart"/>
      <w:r>
        <w:t>the candle</w:t>
      </w:r>
      <w:proofErr w:type="gramEnd"/>
      <w:r>
        <w:t xml:space="preserve"> flares as area sources.  Other unique situations may also exist, in which case the applicant may submit his own properly documented method for review and approval.</w:t>
      </w:r>
    </w:p>
    <w:p w14:paraId="451717A4" w14:textId="77777777" w:rsidR="0035000C" w:rsidRDefault="0035000C" w:rsidP="0035000C">
      <w:pPr>
        <w:rPr>
          <w:snapToGrid w:val="0"/>
        </w:rPr>
      </w:pPr>
      <w:r>
        <w:rPr>
          <w:snapToGrid w:val="0"/>
        </w:rPr>
        <w:t>The calculation of</w:t>
      </w:r>
      <w:r w:rsidRPr="00167BBA">
        <w:rPr>
          <w:snapToGrid w:val="0"/>
        </w:rPr>
        <w:t xml:space="preserve"> PM-10 </w:t>
      </w:r>
      <w:r w:rsidR="00ED1132" w:rsidRPr="00167BBA">
        <w:rPr>
          <w:snapToGrid w:val="0"/>
        </w:rPr>
        <w:t xml:space="preserve">and PM-2.5 </w:t>
      </w:r>
      <w:r w:rsidRPr="00167BBA">
        <w:rPr>
          <w:snapToGrid w:val="0"/>
        </w:rPr>
        <w:t>emissions</w:t>
      </w:r>
      <w:r>
        <w:rPr>
          <w:snapToGrid w:val="0"/>
        </w:rPr>
        <w:t xml:space="preserve"> from flares is not straight forward.  Section 13.5 of AP-42 presents guidance on calculating emissions from industrial flares.  Table 13.</w:t>
      </w:r>
      <w:r w:rsidR="001F0676">
        <w:rPr>
          <w:snapToGrid w:val="0"/>
        </w:rPr>
        <w:t>5</w:t>
      </w:r>
      <w:r>
        <w:rPr>
          <w:snapToGrid w:val="0"/>
        </w:rPr>
        <w:t>-1 of that document presents an emission factor for soot, but not PM-10.  Furthermore, the soot concentration is expressed in units of micrograms per liter (</w:t>
      </w:r>
      <w:proofErr w:type="gramStart"/>
      <w:r>
        <w:rPr>
          <w:snapToGrid w:val="0"/>
        </w:rPr>
        <w:t>µg</w:t>
      </w:r>
      <w:proofErr w:type="gramEnd"/>
      <w:r>
        <w:rPr>
          <w:snapToGrid w:val="0"/>
        </w:rPr>
        <w:t xml:space="preserve">/l) of </w:t>
      </w:r>
      <w:r>
        <w:rPr>
          <w:snapToGrid w:val="0"/>
        </w:rPr>
        <w:lastRenderedPageBreak/>
        <w:t xml:space="preserve">exhaust gas, as a function of the amount of smoke in the flare (e.g., lightly smoking, heavily smoking, etc.).  </w:t>
      </w:r>
    </w:p>
    <w:p w14:paraId="21F2BF5A" w14:textId="78B47E3A" w:rsidR="00B63D2C" w:rsidRDefault="0035000C" w:rsidP="0035000C">
      <w:pPr>
        <w:rPr>
          <w:snapToGrid w:val="0"/>
        </w:rPr>
      </w:pPr>
      <w:r>
        <w:rPr>
          <w:snapToGrid w:val="0"/>
        </w:rPr>
        <w:t xml:space="preserve">As an alternate method, ADEC has allowed applicants to conservatively estimate PM-10 emissions from flares as a function of the </w:t>
      </w:r>
      <w:proofErr w:type="spellStart"/>
      <w:r>
        <w:rPr>
          <w:snapToGrid w:val="0"/>
        </w:rPr>
        <w:t>uncombusted</w:t>
      </w:r>
      <w:proofErr w:type="spellEnd"/>
      <w:r>
        <w:rPr>
          <w:snapToGrid w:val="0"/>
        </w:rPr>
        <w:t xml:space="preserve"> fuel mass.  If one knows the mass flow of the fuel and the combustion efficiency of the flare (obtained from the manufacturer), the residual amount of unburned fuel mass emission rate is assumed to be the mass emission rate of PM-10.</w:t>
      </w:r>
    </w:p>
    <w:p w14:paraId="48BEEF48" w14:textId="5FEE7E90" w:rsidR="00B0376F" w:rsidRDefault="00B0376F">
      <w:pPr>
        <w:spacing w:after="0"/>
        <w:rPr>
          <w:snapToGrid w:val="0"/>
        </w:rPr>
      </w:pPr>
      <w:r>
        <w:rPr>
          <w:snapToGrid w:val="0"/>
        </w:rPr>
        <w:br w:type="page"/>
      </w:r>
    </w:p>
    <w:p w14:paraId="78A3B230" w14:textId="77777777" w:rsidR="00FA2E65" w:rsidRDefault="00F17E9E" w:rsidP="00FA2E65">
      <w:pPr>
        <w:pStyle w:val="Heading4"/>
        <w:rPr>
          <w:snapToGrid w:val="0"/>
        </w:rPr>
      </w:pPr>
      <w:bookmarkStart w:id="180" w:name="_Ref524679896"/>
      <w:bookmarkStart w:id="181" w:name="_Toc526778269"/>
      <w:r>
        <w:rPr>
          <w:snapToGrid w:val="0"/>
        </w:rPr>
        <w:lastRenderedPageBreak/>
        <w:t>Marine</w:t>
      </w:r>
      <w:r w:rsidR="00FA2E65">
        <w:rPr>
          <w:snapToGrid w:val="0"/>
        </w:rPr>
        <w:t xml:space="preserve"> Vessels</w:t>
      </w:r>
      <w:bookmarkEnd w:id="180"/>
      <w:bookmarkEnd w:id="181"/>
    </w:p>
    <w:p w14:paraId="341D8539" w14:textId="77777777" w:rsidR="00632A5F" w:rsidRDefault="00632A5F" w:rsidP="00632A5F">
      <w:r>
        <w:t>The modeling of marine vessel emissions warrants discussion, especially since the associated regulations and guidance is confusing, and in at least one situation, inconsistent with a court ruling.  In short, vessels are sometimes considered as their own stationary source.  At other times, their emissions, or portions thereof, are considered mobile source emissions, part of a shore-side stationary source, or as “secondary emissions” – depending on the circumstances.  The approach for modeling marine vessels will therefore depend on whether the emissions are considered as part of the applicant’s stationary source (if not the entire stationary source), or whether they are “off-site” sources (e.g., secondary emissions).</w:t>
      </w:r>
    </w:p>
    <w:p w14:paraId="1153FF91" w14:textId="77777777" w:rsidR="00632A5F" w:rsidRDefault="00632A5F" w:rsidP="00632A5F">
      <w:r>
        <w:t>According to 40</w:t>
      </w:r>
      <w:r w:rsidRPr="008E3429">
        <w:t> </w:t>
      </w:r>
      <w:r>
        <w:t>CFR</w:t>
      </w:r>
      <w:r w:rsidRPr="008E3429">
        <w:t> </w:t>
      </w:r>
      <w:r>
        <w:t>51.166(b)(5), a “stationary source” is defined as “</w:t>
      </w:r>
      <w:r w:rsidRPr="00B90D67">
        <w:rPr>
          <w:i/>
        </w:rPr>
        <w:t>any building, structure, facility, or installation which emits or may emit a regulated NSR pollutant</w:t>
      </w:r>
      <w:r>
        <w:t>.”  The Alaska definition for “stationary source” adopts this same federal definition under AS</w:t>
      </w:r>
      <w:r w:rsidRPr="008E3429">
        <w:t> </w:t>
      </w:r>
      <w:r>
        <w:t xml:space="preserve">46.14.990(26). </w:t>
      </w:r>
    </w:p>
    <w:p w14:paraId="745DBCF9" w14:textId="77777777" w:rsidR="00632A5F" w:rsidRDefault="00632A5F" w:rsidP="00632A5F">
      <w:r>
        <w:t>The phrase, “building, structure, facility, or installation” is defined in 40</w:t>
      </w:r>
      <w:r w:rsidRPr="008E3429">
        <w:t> </w:t>
      </w:r>
      <w:r>
        <w:t>CFR</w:t>
      </w:r>
      <w:r w:rsidRPr="008E3429">
        <w:t> </w:t>
      </w:r>
      <w:r>
        <w:t>51.166(b)(6) as, “</w:t>
      </w:r>
      <w:r w:rsidRPr="00291FFF">
        <w:rPr>
          <w:i/>
        </w:rPr>
        <w:t xml:space="preserve">all of the pollutant-emitting activities… </w:t>
      </w:r>
      <w:r w:rsidRPr="00291FFF">
        <w:rPr>
          <w:i/>
          <w:u w:val="single"/>
        </w:rPr>
        <w:t>except the activities of any vessel</w:t>
      </w:r>
      <w:r>
        <w:t>…” (emphasis added).  The definition in 40</w:t>
      </w:r>
      <w:r w:rsidRPr="008E3429">
        <w:t> </w:t>
      </w:r>
      <w:r>
        <w:t>CFR</w:t>
      </w:r>
      <w:r w:rsidRPr="008E3429">
        <w:t> </w:t>
      </w:r>
      <w:r>
        <w:t xml:space="preserve">52.21(b)(6) includes this same exemption.  </w:t>
      </w:r>
    </w:p>
    <w:p w14:paraId="46D7B1FD" w14:textId="77777777" w:rsidR="00632A5F" w:rsidRDefault="00632A5F" w:rsidP="00632A5F">
      <w:r>
        <w:t>EPA further discusses vessel emissions in its definition of “secondary emissions” in 40</w:t>
      </w:r>
      <w:r w:rsidRPr="008E3429">
        <w:t> </w:t>
      </w:r>
      <w:r>
        <w:t>CFR</w:t>
      </w:r>
      <w:r w:rsidRPr="008E3429">
        <w:t> </w:t>
      </w:r>
      <w:r>
        <w:t>51.166(b)(18) and 40</w:t>
      </w:r>
      <w:r w:rsidRPr="008E3429">
        <w:t> </w:t>
      </w:r>
      <w:r>
        <w:t>CFR</w:t>
      </w:r>
      <w:r w:rsidRPr="008E3429">
        <w:t> </w:t>
      </w:r>
      <w:r>
        <w:t xml:space="preserve">52.21(b)(18).  These citations include the sentence, “… </w:t>
      </w:r>
      <w:r w:rsidRPr="00FF00E4">
        <w:rPr>
          <w:i/>
        </w:rPr>
        <w:t xml:space="preserve">Secondary emissions </w:t>
      </w:r>
      <w:r w:rsidRPr="00AF3928">
        <w:rPr>
          <w:i/>
          <w:u w:val="single"/>
        </w:rPr>
        <w:t>do not</w:t>
      </w:r>
      <w:r w:rsidRPr="00FF00E4">
        <w:rPr>
          <w:i/>
        </w:rPr>
        <w:t xml:space="preserve"> </w:t>
      </w:r>
      <w:r w:rsidRPr="00AF3928">
        <w:rPr>
          <w:i/>
          <w:u w:val="single"/>
        </w:rPr>
        <w:t>include</w:t>
      </w:r>
      <w:r w:rsidRPr="00FF00E4">
        <w:rPr>
          <w:i/>
        </w:rPr>
        <w:t xml:space="preserve"> any emissions which come directly from a mobile source, such as emissions from the tailpipe of a motor vehicle, from a train, </w:t>
      </w:r>
      <w:r w:rsidRPr="00AF3928">
        <w:rPr>
          <w:i/>
          <w:u w:val="single"/>
        </w:rPr>
        <w:t>or from a vessel</w:t>
      </w:r>
      <w:r>
        <w:t xml:space="preserve">.” (emphasis added). </w:t>
      </w:r>
    </w:p>
    <w:p w14:paraId="74312949" w14:textId="77777777" w:rsidR="00632A5F" w:rsidRDefault="00632A5F" w:rsidP="00632A5F">
      <w:r>
        <w:t xml:space="preserve">While the above CFR definitions seem to provide the framework for addressing marine vessel emissions, they are inconsistent with a 1984 Court of Appeals for the D.C. Circuit ruling.  ADEC does not know why EPA has not subsequently revised the CFR definitions so that they would be consistent with the ruling. </w:t>
      </w:r>
    </w:p>
    <w:p w14:paraId="1D1C8EBF" w14:textId="77777777" w:rsidR="00632A5F" w:rsidRDefault="00632A5F" w:rsidP="00632A5F">
      <w:r>
        <w:t xml:space="preserve">The Court essentially vacated the total exclusion of vessel emissions from the stationary source and secondary emissions definitions.  The context of the Court ruling regarded “marine terminals,” although the resulting action has broader implications. The Court stated that EPA acted “far too precipitously” in concluding that it had no authority to attribute any vessel emissions to marine terminals.  The Court further stated that EPA should have examined the nature of the interactions between a vessel and a terminal to determine specifically which categories of emissions, if any, should be attributed to the terminal. </w:t>
      </w:r>
    </w:p>
    <w:p w14:paraId="011C2FBE" w14:textId="77777777" w:rsidR="00632A5F" w:rsidRDefault="00632A5F" w:rsidP="00632A5F">
      <w:r>
        <w:t xml:space="preserve">As stated in a January 8, </w:t>
      </w:r>
      <w:proofErr w:type="gramStart"/>
      <w:r>
        <w:t>1990</w:t>
      </w:r>
      <w:proofErr w:type="gramEnd"/>
      <w:r>
        <w:t xml:space="preserve"> letter from John Calcagni (Director of EPA’s Air Quality Management Division) to Ken Waid (President of Waid and Associates), </w:t>
      </w:r>
    </w:p>
    <w:p w14:paraId="5209BED9" w14:textId="77777777" w:rsidR="00632A5F" w:rsidRDefault="00632A5F" w:rsidP="00632A5F">
      <w:pPr>
        <w:ind w:left="540" w:right="540"/>
      </w:pPr>
      <w:r>
        <w:t xml:space="preserve">The Court affirmed the portion of the 1982 promulgation that excluded “to and </w:t>
      </w:r>
      <w:proofErr w:type="spellStart"/>
      <w:r>
        <w:t>fro</w:t>
      </w:r>
      <w:proofErr w:type="spellEnd"/>
      <w:r>
        <w:t xml:space="preserve">” vessel emissions from attribution to the terminal as secondary emissions, but vacated EPA’s 1982 blanket repeal of the dockside vessel emissions component from PSD emissions counting as either primary or </w:t>
      </w:r>
      <w:r>
        <w:lastRenderedPageBreak/>
        <w:t xml:space="preserve">secondary emissions.  In so doing, the Court acknowledged that, </w:t>
      </w:r>
      <w:proofErr w:type="gramStart"/>
      <w:r>
        <w:t>with the exception of</w:t>
      </w:r>
      <w:proofErr w:type="gramEnd"/>
      <w:r>
        <w:t xml:space="preserve"> to and </w:t>
      </w:r>
      <w:proofErr w:type="spellStart"/>
      <w:r>
        <w:t>fro</w:t>
      </w:r>
      <w:proofErr w:type="spellEnd"/>
      <w:r>
        <w:t xml:space="preserve"> emissions, it implicitly reinstated the PSD regulations promulgated on August 7, 1980 (45</w:t>
      </w:r>
      <w:r w:rsidRPr="008E3429">
        <w:t> </w:t>
      </w:r>
      <w:r>
        <w:t>FR</w:t>
      </w:r>
      <w:r w:rsidRPr="008E3429">
        <w:t> </w:t>
      </w:r>
      <w:proofErr w:type="gramStart"/>
      <w:r>
        <w:t>52676)…</w:t>
      </w:r>
      <w:proofErr w:type="gramEnd"/>
    </w:p>
    <w:p w14:paraId="1518A9E6" w14:textId="77777777" w:rsidR="00632A5F" w:rsidRDefault="00632A5F" w:rsidP="00632A5F">
      <w:r>
        <w:t>The Alaska Legislature included some types of vessel operations in its definition of “building, structure, facility, or installation” in AS</w:t>
      </w:r>
      <w:r w:rsidRPr="008E3429">
        <w:t> </w:t>
      </w:r>
      <w:r>
        <w:t xml:space="preserve">46.14.990(4).  </w:t>
      </w:r>
      <w:r w:rsidRPr="00C637F5">
        <w:rPr>
          <w:iCs/>
          <w:sz w:val="23"/>
          <w:szCs w:val="23"/>
        </w:rPr>
        <w:t>This statute applies when determining if a vessel is in of itself a stationary source</w:t>
      </w:r>
      <w:r>
        <w:rPr>
          <w:i/>
          <w:iCs/>
          <w:sz w:val="23"/>
          <w:szCs w:val="23"/>
        </w:rPr>
        <w:t xml:space="preserve">. </w:t>
      </w:r>
      <w:r>
        <w:t xml:space="preserve">This leads to some vessels, such as an offshore seafood processor, being treated as a stationary source for air quality permitting purposes.  In these situations, the NSR modeling analysis should be based on the vessel’s allowable emissions (see Table 8-2 of the </w:t>
      </w:r>
      <w:r w:rsidRPr="00196955">
        <w:t>Guideline</w:t>
      </w:r>
      <w:r>
        <w:t xml:space="preserve">).  Assumptions used in the modeling analysis could also be imposed as permit conditions to protect the modeled ambient air quality standards and increments. </w:t>
      </w:r>
    </w:p>
    <w:p w14:paraId="57021C98" w14:textId="67B067BC" w:rsidR="00632A5F" w:rsidRDefault="00632A5F" w:rsidP="00632A5F">
      <w:r>
        <w:t>The emissions used to solely support vessel operations, such as hoteling emissions from a cargo ship docked at a shore-side stationary source, are not generally included as part of the shore-side stationary source emissions.  The emissions associated with maintaining a supply vessel’s position alongside an offshore oil and gas platform are likewise not generally included as part of the platform stationary source emissions.  Like all other off-site emissions, the vessel emissions in these types of situations would not be included in a project impact analysis.  Applicants could also use the “nearby source” approach in Table</w:t>
      </w:r>
      <w:r w:rsidRPr="008E3429">
        <w:t> </w:t>
      </w:r>
      <w:r>
        <w:t xml:space="preserve">8-2 of the </w:t>
      </w:r>
      <w:r w:rsidRPr="00196955">
        <w:t>Guideline</w:t>
      </w:r>
      <w:r>
        <w:t xml:space="preserve"> for including these emissions in a cumulative impact analysis.  Under this approach, applicants could likely use actual operating factors for estimating the annual average emissions rather than using the potential emissions.  As off-site emissions, the assumptions used to model the vessel emissions could </w:t>
      </w:r>
      <w:r w:rsidRPr="000B1D7E">
        <w:rPr>
          <w:u w:val="single"/>
        </w:rPr>
        <w:t>not</w:t>
      </w:r>
      <w:r>
        <w:t xml:space="preserve"> be imposed as ambient air conditions in the NSR permit for the platform/shore-side stationary source. </w:t>
      </w:r>
    </w:p>
    <w:p w14:paraId="07F4DF30" w14:textId="71A0C375" w:rsidR="00632A5F" w:rsidRDefault="00632A5F" w:rsidP="00632A5F">
      <w:r>
        <w:t>Vessels are sometimes used to support shore-side activities. In those situations, the</w:t>
      </w:r>
      <w:r w:rsidR="003F569C">
        <w:t xml:space="preserve"> vessel EUs </w:t>
      </w:r>
      <w:r>
        <w:t xml:space="preserve">used to help conduct the onshore activities are considered as part of the shore-side stationary source, while the </w:t>
      </w:r>
      <w:r w:rsidR="003F569C">
        <w:t>EUs</w:t>
      </w:r>
      <w:r>
        <w:t xml:space="preserve"> used solely to support the vessel operations are not.  Examples include the use of a ship-board crane to conduct onshore </w:t>
      </w:r>
      <w:proofErr w:type="gramStart"/>
      <w:r>
        <w:t>operations</w:t>
      </w:r>
      <w:proofErr w:type="gramEnd"/>
      <w:r>
        <w:t xml:space="preserve"> or the use of a ship’s electrical generator sets for providing shore-side power at a shore-side facility.  In these situations, the allowable emissions from the </w:t>
      </w:r>
      <w:proofErr w:type="gramStart"/>
      <w:r>
        <w:t>shore</w:t>
      </w:r>
      <w:proofErr w:type="gramEnd"/>
      <w:r>
        <w:t xml:space="preserve">-support </w:t>
      </w:r>
      <w:r w:rsidR="003F569C">
        <w:t>EUs</w:t>
      </w:r>
      <w:r>
        <w:t xml:space="preserve"> should be used in the NSR modeling analysis, while the actual emissions from the other </w:t>
      </w:r>
      <w:r w:rsidR="003F569C">
        <w:t>EUs</w:t>
      </w:r>
      <w:r>
        <w:t xml:space="preserve"> could be used in the cumulative impact analysis. </w:t>
      </w:r>
    </w:p>
    <w:p w14:paraId="4476401E" w14:textId="6D03B473" w:rsidR="00B63D2C" w:rsidRDefault="00632A5F" w:rsidP="00632A5F">
      <w:r>
        <w:t xml:space="preserve">The above discussion only provides a general outline of how vessel emissions may need to be handled in </w:t>
      </w:r>
      <w:proofErr w:type="gramStart"/>
      <w:r>
        <w:t>a NSR</w:t>
      </w:r>
      <w:proofErr w:type="gramEnd"/>
      <w:r>
        <w:t xml:space="preserve"> modeling analysis.  Variations may be warranted based on the details of a given project, subsequent rule interpretations from EPA or ADEC, or subsequent revisions to the underlying rules.  When in doubt, discuss the issue with the permit engineer and permit supervisor to ensure consistency between the modeling analysis and the other parts of the permit decision.</w:t>
      </w:r>
      <w:r w:rsidR="00B63D2C">
        <w:t xml:space="preserve"> </w:t>
      </w:r>
    </w:p>
    <w:p w14:paraId="422E8B99" w14:textId="00A41674" w:rsidR="00C57558" w:rsidRDefault="00C57558">
      <w:pPr>
        <w:spacing w:after="0"/>
      </w:pPr>
      <w:r>
        <w:br w:type="page"/>
      </w:r>
    </w:p>
    <w:p w14:paraId="519DD528" w14:textId="77777777" w:rsidR="009A01E5" w:rsidRDefault="00AD5C0A" w:rsidP="000F2745">
      <w:pPr>
        <w:pStyle w:val="Heading3"/>
        <w:rPr>
          <w:snapToGrid w:val="0"/>
        </w:rPr>
      </w:pPr>
      <w:bookmarkStart w:id="182" w:name="_Toc43521212"/>
      <w:r>
        <w:rPr>
          <w:snapToGrid w:val="0"/>
        </w:rPr>
        <w:lastRenderedPageBreak/>
        <w:tab/>
      </w:r>
      <w:bookmarkStart w:id="183" w:name="_Ref482280237"/>
      <w:bookmarkStart w:id="184" w:name="_Ref524681060"/>
      <w:bookmarkStart w:id="185" w:name="_Toc526778270"/>
      <w:r w:rsidR="00ED3984">
        <w:rPr>
          <w:snapToGrid w:val="0"/>
        </w:rPr>
        <w:t xml:space="preserve">Additional Comments Regarding </w:t>
      </w:r>
      <w:r w:rsidR="009A01E5">
        <w:rPr>
          <w:snapToGrid w:val="0"/>
        </w:rPr>
        <w:t>Operating Scenarios</w:t>
      </w:r>
      <w:bookmarkEnd w:id="183"/>
      <w:bookmarkEnd w:id="184"/>
      <w:bookmarkEnd w:id="185"/>
      <w:r w:rsidR="009A01E5">
        <w:rPr>
          <w:snapToGrid w:val="0"/>
        </w:rPr>
        <w:t xml:space="preserve"> </w:t>
      </w:r>
    </w:p>
    <w:p w14:paraId="49EF592B" w14:textId="77777777" w:rsidR="00E92C3F" w:rsidRDefault="00F3480D" w:rsidP="00F3480D">
      <w:pPr>
        <w:rPr>
          <w:snapToGrid w:val="0"/>
        </w:rPr>
      </w:pPr>
      <w:r>
        <w:rPr>
          <w:snapToGrid w:val="0"/>
        </w:rPr>
        <w:t>Some applicants intend to operate their stationary source under various operating scenarios.  The various scenarios could reflect a phased development/expansion of the stationary source, an alternative fuel condition, periodic maintenance activities, a startup/shutdown condition, or s</w:t>
      </w:r>
      <w:r w:rsidR="00E92C3F">
        <w:rPr>
          <w:snapToGrid w:val="0"/>
        </w:rPr>
        <w:t>ome other situation that is specific to their stationary source</w:t>
      </w:r>
      <w:r>
        <w:rPr>
          <w:snapToGrid w:val="0"/>
        </w:rPr>
        <w:t xml:space="preserve">.  </w:t>
      </w:r>
    </w:p>
    <w:p w14:paraId="35A1F358" w14:textId="5D60EC94" w:rsidR="009A01E5" w:rsidRDefault="009A01E5">
      <w:pPr>
        <w:rPr>
          <w:snapToGrid w:val="0"/>
        </w:rPr>
      </w:pPr>
      <w:r>
        <w:rPr>
          <w:snapToGrid w:val="0"/>
        </w:rPr>
        <w:t xml:space="preserve">In some circumstances, a modification to an existing </w:t>
      </w:r>
      <w:r w:rsidR="006F0F26">
        <w:rPr>
          <w:snapToGrid w:val="0"/>
        </w:rPr>
        <w:t xml:space="preserve">stationary source </w:t>
      </w:r>
      <w:r>
        <w:rPr>
          <w:snapToGrid w:val="0"/>
        </w:rPr>
        <w:t xml:space="preserve">may “debottleneck” the </w:t>
      </w:r>
      <w:r w:rsidR="005C6042">
        <w:rPr>
          <w:snapToGrid w:val="0"/>
        </w:rPr>
        <w:t xml:space="preserve">overall operation and allow the </w:t>
      </w:r>
      <w:r>
        <w:rPr>
          <w:snapToGrid w:val="0"/>
        </w:rPr>
        <w:t xml:space="preserve">fuel and/or process throughput </w:t>
      </w:r>
      <w:r w:rsidR="005C6042">
        <w:rPr>
          <w:snapToGrid w:val="0"/>
        </w:rPr>
        <w:t xml:space="preserve">to increase </w:t>
      </w:r>
      <w:r>
        <w:rPr>
          <w:snapToGrid w:val="0"/>
        </w:rPr>
        <w:t xml:space="preserve">at other </w:t>
      </w:r>
      <w:r w:rsidR="005C6042">
        <w:rPr>
          <w:snapToGrid w:val="0"/>
        </w:rPr>
        <w:t xml:space="preserve">points within the facility.  </w:t>
      </w:r>
      <w:r w:rsidR="005646E4">
        <w:rPr>
          <w:snapToGrid w:val="0"/>
        </w:rPr>
        <w:t xml:space="preserve">These changes in overall operation may </w:t>
      </w:r>
      <w:proofErr w:type="gramStart"/>
      <w:r w:rsidR="005646E4">
        <w:rPr>
          <w:snapToGrid w:val="0"/>
        </w:rPr>
        <w:t>therefore,</w:t>
      </w:r>
      <w:proofErr w:type="gramEnd"/>
      <w:r w:rsidR="005646E4">
        <w:rPr>
          <w:snapToGrid w:val="0"/>
        </w:rPr>
        <w:t xml:space="preserve"> lead to an increase in emissions, or a change in emission characteristics, from other </w:t>
      </w:r>
      <w:r w:rsidR="00BC634A">
        <w:rPr>
          <w:snapToGrid w:val="0"/>
        </w:rPr>
        <w:t>EU</w:t>
      </w:r>
      <w:r w:rsidR="005646E4">
        <w:rPr>
          <w:snapToGrid w:val="0"/>
        </w:rPr>
        <w:t xml:space="preserve">s within the facility.   </w:t>
      </w:r>
    </w:p>
    <w:p w14:paraId="4CD80877" w14:textId="77777777" w:rsidR="00A4017F" w:rsidRDefault="00A4017F" w:rsidP="00A4017F">
      <w:pPr>
        <w:rPr>
          <w:snapToGrid w:val="0"/>
        </w:rPr>
      </w:pPr>
      <w:r>
        <w:rPr>
          <w:snapToGrid w:val="0"/>
        </w:rPr>
        <w:t xml:space="preserve">Applicants do not need to model </w:t>
      </w:r>
      <w:proofErr w:type="gramStart"/>
      <w:r>
        <w:rPr>
          <w:snapToGrid w:val="0"/>
        </w:rPr>
        <w:t>each and every</w:t>
      </w:r>
      <w:proofErr w:type="gramEnd"/>
      <w:r>
        <w:rPr>
          <w:snapToGrid w:val="0"/>
        </w:rPr>
        <w:t xml:space="preserve"> scenario, </w:t>
      </w:r>
      <w:proofErr w:type="gramStart"/>
      <w:r>
        <w:rPr>
          <w:snapToGrid w:val="0"/>
        </w:rPr>
        <w:t>as long as</w:t>
      </w:r>
      <w:proofErr w:type="gramEnd"/>
      <w:r>
        <w:rPr>
          <w:snapToGrid w:val="0"/>
        </w:rPr>
        <w:t xml:space="preserve"> the worst-case condition that would be authorized by the permit demonstrates compliance with the applicable AAAQS/increments.  For example, some applicants choose to model the continuous full-load operation of all EUs, even though they do not intend to concurrently operate all EUs.  Other applicants choose to model the scenario that has the largest emissions and worst-case release/dispersion conditions.  </w:t>
      </w:r>
    </w:p>
    <w:p w14:paraId="16C98D42" w14:textId="77777777" w:rsidR="00A4017F" w:rsidRDefault="00A4017F" w:rsidP="00A4017F">
      <w:pPr>
        <w:rPr>
          <w:snapToGrid w:val="0"/>
        </w:rPr>
      </w:pPr>
      <w:r>
        <w:rPr>
          <w:snapToGrid w:val="0"/>
        </w:rPr>
        <w:t xml:space="preserve">You will need to assess whether the submitted analysis/analyses adequately </w:t>
      </w:r>
      <w:proofErr w:type="gramStart"/>
      <w:r>
        <w:rPr>
          <w:snapToGrid w:val="0"/>
        </w:rPr>
        <w:t>demonstrates</w:t>
      </w:r>
      <w:proofErr w:type="gramEnd"/>
      <w:r>
        <w:rPr>
          <w:snapToGrid w:val="0"/>
        </w:rPr>
        <w:t xml:space="preserve"> compliance for the stated range of operating scenarios.  In some cases, it may not be obvious which operating scenario would create the worst-case impacts.  The best solution in those cases may be to ask the applicant to model the operating scenario in question.  In other </w:t>
      </w:r>
      <w:proofErr w:type="gramStart"/>
      <w:r>
        <w:rPr>
          <w:snapToGrid w:val="0"/>
        </w:rPr>
        <w:t>cases</w:t>
      </w:r>
      <w:proofErr w:type="gramEnd"/>
      <w:r>
        <w:rPr>
          <w:snapToGrid w:val="0"/>
        </w:rPr>
        <w:t xml:space="preserve"> it may be more expedient to just conduct a sensitivity analysis to see whether the aspect in question is substantive.  Feel free to discuss the issue with your supervisor, the permit engineer, and/or the applicant, if it is unclear whether the submitted demonstration addresses the applicant’s desired range of operating scenarios. </w:t>
      </w:r>
    </w:p>
    <w:p w14:paraId="6828CFA4" w14:textId="10BE4DB9" w:rsidR="00FE3B4C" w:rsidRDefault="00FE3B4C" w:rsidP="00FE3B4C">
      <w:pPr>
        <w:pStyle w:val="Heading3"/>
        <w:rPr>
          <w:snapToGrid w:val="0"/>
        </w:rPr>
      </w:pPr>
      <w:bookmarkStart w:id="186" w:name="_Ref524685580"/>
      <w:bookmarkStart w:id="187" w:name="_Toc526778271"/>
      <w:r>
        <w:rPr>
          <w:snapToGrid w:val="0"/>
        </w:rPr>
        <w:t>Quick Note Regarding Small EUs</w:t>
      </w:r>
      <w:bookmarkEnd w:id="186"/>
      <w:bookmarkEnd w:id="187"/>
    </w:p>
    <w:p w14:paraId="32094F98" w14:textId="0BE12C77" w:rsidR="004E6758" w:rsidRDefault="009A01E5">
      <w:pPr>
        <w:rPr>
          <w:snapToGrid w:val="0"/>
        </w:rPr>
      </w:pPr>
      <w:r>
        <w:rPr>
          <w:snapToGrid w:val="0"/>
        </w:rPr>
        <w:t xml:space="preserve">Some </w:t>
      </w:r>
      <w:r w:rsidR="003756EF">
        <w:rPr>
          <w:snapToGrid w:val="0"/>
        </w:rPr>
        <w:t xml:space="preserve">stationary sources </w:t>
      </w:r>
      <w:r>
        <w:rPr>
          <w:snapToGrid w:val="0"/>
        </w:rPr>
        <w:t xml:space="preserve">may have </w:t>
      </w:r>
      <w:r w:rsidR="00BC634A">
        <w:rPr>
          <w:snapToGrid w:val="0"/>
        </w:rPr>
        <w:t>EU</w:t>
      </w:r>
      <w:r>
        <w:rPr>
          <w:snapToGrid w:val="0"/>
        </w:rPr>
        <w:t xml:space="preserve">s that are </w:t>
      </w:r>
      <w:r w:rsidR="000702D5">
        <w:rPr>
          <w:snapToGrid w:val="0"/>
        </w:rPr>
        <w:t xml:space="preserve">too </w:t>
      </w:r>
      <w:r>
        <w:rPr>
          <w:snapToGrid w:val="0"/>
        </w:rPr>
        <w:t>small</w:t>
      </w:r>
      <w:r w:rsidR="00903458">
        <w:rPr>
          <w:snapToGrid w:val="0"/>
        </w:rPr>
        <w:t xml:space="preserve"> </w:t>
      </w:r>
      <w:r w:rsidR="000702D5">
        <w:rPr>
          <w:snapToGrid w:val="0"/>
        </w:rPr>
        <w:t>to reasonably characterize through modeling</w:t>
      </w:r>
      <w:r w:rsidR="00670454">
        <w:rPr>
          <w:snapToGrid w:val="0"/>
        </w:rPr>
        <w:t>, or too small to even warrant the effort</w:t>
      </w:r>
      <w:r w:rsidR="000702D5">
        <w:rPr>
          <w:snapToGrid w:val="0"/>
        </w:rPr>
        <w:t xml:space="preserve">.  </w:t>
      </w:r>
      <w:r w:rsidR="00670454">
        <w:rPr>
          <w:snapToGrid w:val="0"/>
        </w:rPr>
        <w:t xml:space="preserve">In these situations, </w:t>
      </w:r>
      <w:r w:rsidR="00CB3E5C">
        <w:rPr>
          <w:snapToGrid w:val="0"/>
        </w:rPr>
        <w:t xml:space="preserve">it may be appropriate to make a </w:t>
      </w:r>
      <w:r w:rsidR="00670454">
        <w:rPr>
          <w:snapToGrid w:val="0"/>
        </w:rPr>
        <w:t>case-</w:t>
      </w:r>
      <w:r w:rsidR="00D64002">
        <w:rPr>
          <w:snapToGrid w:val="0"/>
        </w:rPr>
        <w:t>specific</w:t>
      </w:r>
      <w:r w:rsidR="00670454">
        <w:rPr>
          <w:snapToGrid w:val="0"/>
        </w:rPr>
        <w:t xml:space="preserve"> determination</w:t>
      </w:r>
      <w:r w:rsidR="00CB3E5C">
        <w:rPr>
          <w:snapToGrid w:val="0"/>
        </w:rPr>
        <w:t xml:space="preserve"> regarding a </w:t>
      </w:r>
      <w:r w:rsidR="003756EF">
        <w:rPr>
          <w:snapToGrid w:val="0"/>
        </w:rPr>
        <w:t xml:space="preserve">minimum </w:t>
      </w:r>
      <w:r w:rsidR="00CB3E5C">
        <w:rPr>
          <w:snapToGrid w:val="0"/>
        </w:rPr>
        <w:t xml:space="preserve">size-threshold for </w:t>
      </w:r>
      <w:r w:rsidR="004740BA">
        <w:rPr>
          <w:snapToGrid w:val="0"/>
        </w:rPr>
        <w:t>the modeling analysis</w:t>
      </w:r>
      <w:r w:rsidR="00CB3E5C">
        <w:rPr>
          <w:snapToGrid w:val="0"/>
        </w:rPr>
        <w:t xml:space="preserve">.  </w:t>
      </w:r>
      <w:r>
        <w:rPr>
          <w:snapToGrid w:val="0"/>
        </w:rPr>
        <w:t xml:space="preserve">For example, </w:t>
      </w:r>
      <w:r w:rsidR="00CB3E5C">
        <w:rPr>
          <w:snapToGrid w:val="0"/>
        </w:rPr>
        <w:t xml:space="preserve">ADEC allowed the U.S. Air Force to exclude </w:t>
      </w:r>
      <w:r w:rsidR="00BC634A">
        <w:rPr>
          <w:snapToGrid w:val="0"/>
        </w:rPr>
        <w:t>EU</w:t>
      </w:r>
      <w:r w:rsidR="00CB3E5C">
        <w:rPr>
          <w:snapToGrid w:val="0"/>
        </w:rPr>
        <w:t xml:space="preserve">s rated at less than 50 </w:t>
      </w:r>
      <w:r w:rsidR="0046219A">
        <w:rPr>
          <w:snapToGrid w:val="0"/>
        </w:rPr>
        <w:t>bhp</w:t>
      </w:r>
      <w:r w:rsidR="00CB3E5C">
        <w:rPr>
          <w:snapToGrid w:val="0"/>
        </w:rPr>
        <w:t xml:space="preserve"> from a modeling analysis they conducted in 2003 for Eielson Air Force Base. </w:t>
      </w:r>
      <w:r w:rsidR="004740BA">
        <w:rPr>
          <w:snapToGrid w:val="0"/>
        </w:rPr>
        <w:t xml:space="preserve"> North Slope </w:t>
      </w:r>
      <w:r w:rsidR="006E48DE">
        <w:rPr>
          <w:snapToGrid w:val="0"/>
        </w:rPr>
        <w:t xml:space="preserve">applicants may exclude construction-related internal combustion units rated at </w:t>
      </w:r>
      <w:r w:rsidR="00FC3053">
        <w:rPr>
          <w:snapToGrid w:val="0"/>
        </w:rPr>
        <w:t xml:space="preserve">less </w:t>
      </w:r>
      <w:r w:rsidR="006E48DE">
        <w:rPr>
          <w:snapToGrid w:val="0"/>
        </w:rPr>
        <w:t>than 400 bhp and construction-related boilers/heaters with a heat input rating of less than 2.8 MMBtu/</w:t>
      </w:r>
      <w:proofErr w:type="spellStart"/>
      <w:r w:rsidR="006E48DE">
        <w:rPr>
          <w:snapToGrid w:val="0"/>
        </w:rPr>
        <w:t>hr</w:t>
      </w:r>
      <w:proofErr w:type="spellEnd"/>
      <w:r w:rsidR="006E48DE">
        <w:rPr>
          <w:snapToGrid w:val="0"/>
        </w:rPr>
        <w:t xml:space="preserve"> from their construction phase modeling analysis if they compl</w:t>
      </w:r>
      <w:r w:rsidR="00D64002">
        <w:rPr>
          <w:snapToGrid w:val="0"/>
        </w:rPr>
        <w:t xml:space="preserve">y with </w:t>
      </w:r>
      <w:r w:rsidR="00FC3053">
        <w:rPr>
          <w:snapToGrid w:val="0"/>
        </w:rPr>
        <w:t xml:space="preserve">the fuel sulfur restriction in </w:t>
      </w:r>
      <w:r w:rsidR="00AB541C">
        <w:rPr>
          <w:snapToGrid w:val="0"/>
        </w:rPr>
        <w:t xml:space="preserve">Policy and Procedure </w:t>
      </w:r>
      <w:hyperlink r:id="rId130" w:history="1">
        <w:r w:rsidR="00884716" w:rsidRPr="005063AA">
          <w:rPr>
            <w:rStyle w:val="Hyperlink"/>
            <w:snapToGrid w:val="0"/>
          </w:rPr>
          <w:t>04.02.104</w:t>
        </w:r>
      </w:hyperlink>
      <w:r w:rsidR="006E48DE">
        <w:rPr>
          <w:snapToGrid w:val="0"/>
        </w:rPr>
        <w:t xml:space="preserve">.  North Slope applicants may </w:t>
      </w:r>
      <w:r w:rsidR="00D64002">
        <w:rPr>
          <w:snapToGrid w:val="0"/>
        </w:rPr>
        <w:t xml:space="preserve">likewise </w:t>
      </w:r>
      <w:r w:rsidR="006E48DE">
        <w:rPr>
          <w:snapToGrid w:val="0"/>
        </w:rPr>
        <w:t xml:space="preserve">exclude </w:t>
      </w:r>
      <w:r w:rsidR="009F6379">
        <w:rPr>
          <w:snapToGrid w:val="0"/>
        </w:rPr>
        <w:t xml:space="preserve">similarly rated </w:t>
      </w:r>
      <w:r w:rsidR="006E48DE">
        <w:rPr>
          <w:snapToGrid w:val="0"/>
        </w:rPr>
        <w:t>intermittent well servicing equipment from</w:t>
      </w:r>
      <w:r w:rsidR="00477E8D">
        <w:rPr>
          <w:snapToGrid w:val="0"/>
        </w:rPr>
        <w:t xml:space="preserve"> their </w:t>
      </w:r>
      <w:r w:rsidR="00D52842">
        <w:rPr>
          <w:snapToGrid w:val="0"/>
        </w:rPr>
        <w:t xml:space="preserve">modeling </w:t>
      </w:r>
      <w:r w:rsidR="00477E8D">
        <w:rPr>
          <w:snapToGrid w:val="0"/>
        </w:rPr>
        <w:t xml:space="preserve">analysis if they comply with </w:t>
      </w:r>
      <w:r w:rsidR="00FC3053">
        <w:rPr>
          <w:snapToGrid w:val="0"/>
        </w:rPr>
        <w:t xml:space="preserve">the fuel sulfur restriction in </w:t>
      </w:r>
      <w:r w:rsidR="00477E8D">
        <w:rPr>
          <w:snapToGrid w:val="0"/>
        </w:rPr>
        <w:t>Policy and Procedure</w:t>
      </w:r>
      <w:r w:rsidR="00AB541C">
        <w:rPr>
          <w:snapToGrid w:val="0"/>
        </w:rPr>
        <w:t xml:space="preserve"> </w:t>
      </w:r>
      <w:hyperlink r:id="rId131" w:history="1">
        <w:r w:rsidR="00BC4F73" w:rsidRPr="005063AA">
          <w:rPr>
            <w:rStyle w:val="Hyperlink"/>
            <w:snapToGrid w:val="0"/>
          </w:rPr>
          <w:t>04.02.105</w:t>
        </w:r>
      </w:hyperlink>
      <w:r>
        <w:rPr>
          <w:snapToGrid w:val="0"/>
        </w:rPr>
        <w:t xml:space="preserve">. </w:t>
      </w:r>
      <w:r w:rsidR="0002227D">
        <w:rPr>
          <w:snapToGrid w:val="0"/>
        </w:rPr>
        <w:t xml:space="preserve"> These, and other air permit policy documents, </w:t>
      </w:r>
      <w:r w:rsidR="003756EF">
        <w:rPr>
          <w:snapToGrid w:val="0"/>
        </w:rPr>
        <w:t>may</w:t>
      </w:r>
      <w:r w:rsidR="0002227D">
        <w:rPr>
          <w:snapToGrid w:val="0"/>
        </w:rPr>
        <w:t xml:space="preserve"> be found at </w:t>
      </w:r>
      <w:hyperlink r:id="rId132" w:history="1">
        <w:r w:rsidR="004E6758" w:rsidRPr="00593A53">
          <w:rPr>
            <w:rStyle w:val="Hyperlink"/>
            <w:snapToGrid w:val="0"/>
          </w:rPr>
          <w:t>http://dec.alaska.gov/air/air-permit/policies/</w:t>
        </w:r>
      </w:hyperlink>
      <w:r w:rsidR="004E6758">
        <w:rPr>
          <w:snapToGrid w:val="0"/>
        </w:rPr>
        <w:t>.</w:t>
      </w:r>
    </w:p>
    <w:p w14:paraId="6EAEC5A1" w14:textId="550E3353" w:rsidR="009A01E5" w:rsidRDefault="00AD5C0A" w:rsidP="000F2745">
      <w:pPr>
        <w:pStyle w:val="Heading3"/>
        <w:rPr>
          <w:snapToGrid w:val="0"/>
        </w:rPr>
      </w:pPr>
      <w:bookmarkStart w:id="188" w:name="_Additional_Comments_Regarding"/>
      <w:bookmarkEnd w:id="188"/>
      <w:r>
        <w:rPr>
          <w:snapToGrid w:val="0"/>
        </w:rPr>
        <w:tab/>
      </w:r>
      <w:bookmarkStart w:id="189" w:name="_Ref439925499"/>
      <w:bookmarkStart w:id="190" w:name="_Toc526778272"/>
      <w:r w:rsidR="00ED3984">
        <w:rPr>
          <w:snapToGrid w:val="0"/>
        </w:rPr>
        <w:t xml:space="preserve">Additional Comments Regarding </w:t>
      </w:r>
      <w:r w:rsidR="009A01E5">
        <w:rPr>
          <w:snapToGrid w:val="0"/>
        </w:rPr>
        <w:t xml:space="preserve">Part Load </w:t>
      </w:r>
      <w:r w:rsidR="000F7E70">
        <w:rPr>
          <w:snapToGrid w:val="0"/>
        </w:rPr>
        <w:t>Assessments</w:t>
      </w:r>
      <w:bookmarkEnd w:id="189"/>
      <w:bookmarkEnd w:id="190"/>
    </w:p>
    <w:p w14:paraId="6144C51E" w14:textId="1A69E4F4" w:rsidR="009A01E5" w:rsidRDefault="009A01E5">
      <w:pPr>
        <w:rPr>
          <w:snapToGrid w:val="0"/>
        </w:rPr>
      </w:pPr>
      <w:r>
        <w:rPr>
          <w:snapToGrid w:val="0"/>
        </w:rPr>
        <w:t xml:space="preserve">Section </w:t>
      </w:r>
      <w:r w:rsidR="0007298F">
        <w:rPr>
          <w:snapToGrid w:val="0"/>
        </w:rPr>
        <w:t>8.2.2</w:t>
      </w:r>
      <w:r w:rsidR="008F461C">
        <w:rPr>
          <w:snapToGrid w:val="0"/>
        </w:rPr>
        <w:t>(</w:t>
      </w:r>
      <w:r w:rsidR="0007298F">
        <w:rPr>
          <w:snapToGrid w:val="0"/>
        </w:rPr>
        <w:t>d</w:t>
      </w:r>
      <w:r w:rsidR="008F461C">
        <w:rPr>
          <w:snapToGrid w:val="0"/>
        </w:rPr>
        <w:t>)</w:t>
      </w:r>
      <w:r>
        <w:rPr>
          <w:snapToGrid w:val="0"/>
        </w:rPr>
        <w:t xml:space="preserve"> of </w:t>
      </w:r>
      <w:r w:rsidR="003968F1">
        <w:rPr>
          <w:snapToGrid w:val="0"/>
        </w:rPr>
        <w:t xml:space="preserve">the </w:t>
      </w:r>
      <w:r w:rsidR="003968F1" w:rsidRPr="00196955">
        <w:rPr>
          <w:snapToGrid w:val="0"/>
        </w:rPr>
        <w:t>Guideline</w:t>
      </w:r>
      <w:r w:rsidR="003968F1">
        <w:rPr>
          <w:snapToGrid w:val="0"/>
        </w:rPr>
        <w:t xml:space="preserve"> </w:t>
      </w:r>
      <w:r w:rsidR="00D3488B">
        <w:rPr>
          <w:snapToGrid w:val="0"/>
        </w:rPr>
        <w:t xml:space="preserve">states </w:t>
      </w:r>
      <w:r w:rsidR="00422E65">
        <w:rPr>
          <w:snapToGrid w:val="0"/>
        </w:rPr>
        <w:t xml:space="preserve">changes in operation that affect the “physical emission parameters (e.g., release height, initial plume volume, and exit velocity) shall be </w:t>
      </w:r>
      <w:r w:rsidR="00422E65">
        <w:rPr>
          <w:snapToGrid w:val="0"/>
        </w:rPr>
        <w:lastRenderedPageBreak/>
        <w:t xml:space="preserve">considered” to ensure the maximum impacts are found.  EPA further states that </w:t>
      </w:r>
      <w:r w:rsidR="00D3488B">
        <w:rPr>
          <w:snapToGrid w:val="0"/>
        </w:rPr>
        <w:t xml:space="preserve">a </w:t>
      </w:r>
      <w:r>
        <w:rPr>
          <w:snapToGrid w:val="0"/>
        </w:rPr>
        <w:t>load screening analyses should be conducted</w:t>
      </w:r>
      <w:r w:rsidR="00D3488B">
        <w:rPr>
          <w:snapToGrid w:val="0"/>
        </w:rPr>
        <w:t xml:space="preserve"> if the source operates at greater than design capacity “for periods that could result in violations of the [AAAQS/increments],” and in those situations where “the source operates at substantially less than design capacity, and the changes in the stack parameters associated with the operating conditions could lead to higher ground level concentrations</w:t>
      </w:r>
      <w:r w:rsidR="00183C68">
        <w:rPr>
          <w:snapToGrid w:val="0"/>
        </w:rPr>
        <w:t>”</w:t>
      </w:r>
      <w:r>
        <w:rPr>
          <w:snapToGrid w:val="0"/>
        </w:rPr>
        <w:t xml:space="preserve">.  At a minimum the </w:t>
      </w:r>
      <w:r w:rsidR="00BC634A">
        <w:rPr>
          <w:snapToGrid w:val="0"/>
        </w:rPr>
        <w:t>EU</w:t>
      </w:r>
      <w:r>
        <w:rPr>
          <w:snapToGrid w:val="0"/>
        </w:rPr>
        <w:t xml:space="preserve"> should be modeled using the design capacity (100</w:t>
      </w:r>
      <w:r w:rsidR="00903458">
        <w:rPr>
          <w:snapToGrid w:val="0"/>
        </w:rPr>
        <w:t xml:space="preserve"> percent</w:t>
      </w:r>
      <w:r>
        <w:rPr>
          <w:snapToGrid w:val="0"/>
        </w:rPr>
        <w:t xml:space="preserve"> load), or any higher load rates if it can be operated at those higher rates.  Sources that operate for appreciable amounts of time at loads less than the design capacity require an analysis at partial loads, such as 50</w:t>
      </w:r>
      <w:r w:rsidR="00903458">
        <w:rPr>
          <w:snapToGrid w:val="0"/>
        </w:rPr>
        <w:t xml:space="preserve"> percent</w:t>
      </w:r>
      <w:r>
        <w:rPr>
          <w:snapToGrid w:val="0"/>
        </w:rPr>
        <w:t xml:space="preserve"> and 75</w:t>
      </w:r>
      <w:r w:rsidR="00903458">
        <w:rPr>
          <w:snapToGrid w:val="0"/>
        </w:rPr>
        <w:t xml:space="preserve"> percent</w:t>
      </w:r>
      <w:r>
        <w:rPr>
          <w:snapToGrid w:val="0"/>
        </w:rPr>
        <w:t xml:space="preserve">, to identify the operating condition that causes the maximum ground-level concentration. </w:t>
      </w:r>
      <w:r w:rsidR="00264BCD">
        <w:rPr>
          <w:snapToGrid w:val="0"/>
        </w:rPr>
        <w:t xml:space="preserve"> The worst-case scenario can also vary by pollutant, especially when the pollutants have inconsistent emissions-to-load trends/curves</w:t>
      </w:r>
      <w:r>
        <w:rPr>
          <w:snapToGrid w:val="0"/>
        </w:rPr>
        <w:t xml:space="preserve">. </w:t>
      </w:r>
    </w:p>
    <w:p w14:paraId="748D4ABC" w14:textId="58DEB055" w:rsidR="00992A52" w:rsidRDefault="009A01E5" w:rsidP="00992A52">
      <w:r>
        <w:rPr>
          <w:snapToGrid w:val="0"/>
        </w:rPr>
        <w:t xml:space="preserve">Use </w:t>
      </w:r>
      <w:r w:rsidR="00F02527">
        <w:rPr>
          <w:snapToGrid w:val="0"/>
        </w:rPr>
        <w:t>judgment</w:t>
      </w:r>
      <w:r>
        <w:rPr>
          <w:snapToGrid w:val="0"/>
        </w:rPr>
        <w:t xml:space="preserve"> in assessing which </w:t>
      </w:r>
      <w:r w:rsidR="00BC634A">
        <w:rPr>
          <w:snapToGrid w:val="0"/>
        </w:rPr>
        <w:t>EU</w:t>
      </w:r>
      <w:r>
        <w:rPr>
          <w:snapToGrid w:val="0"/>
        </w:rPr>
        <w:t xml:space="preserve">s warrant load screening. </w:t>
      </w:r>
      <w:r w:rsidR="00844C69">
        <w:rPr>
          <w:snapToGrid w:val="0"/>
        </w:rPr>
        <w:t xml:space="preserve"> </w:t>
      </w:r>
      <w:r>
        <w:rPr>
          <w:snapToGrid w:val="0"/>
        </w:rPr>
        <w:t xml:space="preserve">The evaluation of part-load conditions for all </w:t>
      </w:r>
      <w:r w:rsidR="00BC634A">
        <w:rPr>
          <w:snapToGrid w:val="0"/>
        </w:rPr>
        <w:t>EU</w:t>
      </w:r>
      <w:r>
        <w:rPr>
          <w:snapToGrid w:val="0"/>
        </w:rPr>
        <w:t xml:space="preserve">s at a </w:t>
      </w:r>
      <w:r w:rsidR="00BC634A">
        <w:rPr>
          <w:snapToGrid w:val="0"/>
        </w:rPr>
        <w:t xml:space="preserve">stationary source </w:t>
      </w:r>
      <w:r w:rsidR="00C3281D">
        <w:rPr>
          <w:snapToGrid w:val="0"/>
        </w:rPr>
        <w:t xml:space="preserve">with numerous EUs </w:t>
      </w:r>
      <w:r>
        <w:rPr>
          <w:snapToGrid w:val="0"/>
        </w:rPr>
        <w:t xml:space="preserve">can become burdensome.  </w:t>
      </w:r>
      <w:r w:rsidR="00BB0DE4">
        <w:rPr>
          <w:snapToGrid w:val="0"/>
        </w:rPr>
        <w:t>In these situations, it</w:t>
      </w:r>
      <w:r>
        <w:rPr>
          <w:snapToGrid w:val="0"/>
        </w:rPr>
        <w:t xml:space="preserve"> is also nearly impossible to evaluate </w:t>
      </w:r>
      <w:proofErr w:type="gramStart"/>
      <w:r>
        <w:rPr>
          <w:snapToGrid w:val="0"/>
        </w:rPr>
        <w:t>all of</w:t>
      </w:r>
      <w:proofErr w:type="gramEnd"/>
      <w:r>
        <w:rPr>
          <w:snapToGrid w:val="0"/>
        </w:rPr>
        <w:t xml:space="preserve"> the possible combinations of </w:t>
      </w:r>
      <w:r w:rsidR="00BB0DE4">
        <w:rPr>
          <w:snapToGrid w:val="0"/>
        </w:rPr>
        <w:t xml:space="preserve">some </w:t>
      </w:r>
      <w:r w:rsidR="002249DD">
        <w:rPr>
          <w:snapToGrid w:val="0"/>
        </w:rPr>
        <w:t>EU</w:t>
      </w:r>
      <w:r w:rsidR="00BB0DE4">
        <w:rPr>
          <w:snapToGrid w:val="0"/>
        </w:rPr>
        <w:t>s</w:t>
      </w:r>
      <w:r w:rsidR="002249DD">
        <w:rPr>
          <w:snapToGrid w:val="0"/>
        </w:rPr>
        <w:t xml:space="preserve"> operating </w:t>
      </w:r>
      <w:r w:rsidR="00BB0DE4">
        <w:rPr>
          <w:snapToGrid w:val="0"/>
        </w:rPr>
        <w:t xml:space="preserve">at a given load while other </w:t>
      </w:r>
      <w:r w:rsidR="002249DD">
        <w:rPr>
          <w:snapToGrid w:val="0"/>
        </w:rPr>
        <w:t xml:space="preserve">EUs </w:t>
      </w:r>
      <w:r w:rsidR="00BB0DE4">
        <w:rPr>
          <w:snapToGrid w:val="0"/>
        </w:rPr>
        <w:t xml:space="preserve">are operating at some other </w:t>
      </w:r>
      <w:r w:rsidR="002249DD">
        <w:rPr>
          <w:snapToGrid w:val="0"/>
        </w:rPr>
        <w:t>load</w:t>
      </w:r>
      <w:r>
        <w:rPr>
          <w:snapToGrid w:val="0"/>
        </w:rPr>
        <w:t xml:space="preserve">.  Therefore, ADEC typically works with the applicant to select the </w:t>
      </w:r>
      <w:r w:rsidR="002249DD">
        <w:rPr>
          <w:snapToGrid w:val="0"/>
        </w:rPr>
        <w:t>EUs</w:t>
      </w:r>
      <w:r>
        <w:rPr>
          <w:snapToGrid w:val="0"/>
        </w:rPr>
        <w:t xml:space="preserve">/loads for evaluation.  In general, we only ask for a load analysis for the larger </w:t>
      </w:r>
      <w:r w:rsidR="00BC634A">
        <w:rPr>
          <w:snapToGrid w:val="0"/>
        </w:rPr>
        <w:t>EU</w:t>
      </w:r>
      <w:r>
        <w:rPr>
          <w:snapToGrid w:val="0"/>
        </w:rPr>
        <w:t xml:space="preserve">s. </w:t>
      </w:r>
      <w:r w:rsidR="00926D6A">
        <w:rPr>
          <w:snapToGrid w:val="0"/>
        </w:rPr>
        <w:t xml:space="preserve"> </w:t>
      </w:r>
      <w:proofErr w:type="gramStart"/>
      <w:r>
        <w:rPr>
          <w:snapToGrid w:val="0"/>
        </w:rPr>
        <w:t>It is clear that only</w:t>
      </w:r>
      <w:proofErr w:type="gramEnd"/>
      <w:r>
        <w:rPr>
          <w:snapToGrid w:val="0"/>
        </w:rPr>
        <w:t xml:space="preserve"> </w:t>
      </w:r>
      <w:proofErr w:type="gramStart"/>
      <w:r w:rsidR="00BC634A">
        <w:rPr>
          <w:snapToGrid w:val="0"/>
        </w:rPr>
        <w:t>EU</w:t>
      </w:r>
      <w:r>
        <w:rPr>
          <w:snapToGrid w:val="0"/>
        </w:rPr>
        <w:t>s that</w:t>
      </w:r>
      <w:proofErr w:type="gramEnd"/>
      <w:r>
        <w:rPr>
          <w:snapToGrid w:val="0"/>
        </w:rPr>
        <w:t xml:space="preserve"> operate for significant amounts of time</w:t>
      </w:r>
      <w:r w:rsidR="00106649">
        <w:rPr>
          <w:snapToGrid w:val="0"/>
        </w:rPr>
        <w:t>,</w:t>
      </w:r>
      <w:r>
        <w:rPr>
          <w:snapToGrid w:val="0"/>
        </w:rPr>
        <w:t xml:space="preserve"> at </w:t>
      </w:r>
      <w:r w:rsidR="00926D6A">
        <w:rPr>
          <w:snapToGrid w:val="0"/>
        </w:rPr>
        <w:t xml:space="preserve">more than or </w:t>
      </w:r>
      <w:r>
        <w:rPr>
          <w:snapToGrid w:val="0"/>
        </w:rPr>
        <w:t>less than</w:t>
      </w:r>
      <w:r w:rsidR="00926D6A">
        <w:rPr>
          <w:snapToGrid w:val="0"/>
        </w:rPr>
        <w:t xml:space="preserve"> the rated design capacity </w:t>
      </w:r>
      <w:r>
        <w:rPr>
          <w:snapToGrid w:val="0"/>
        </w:rPr>
        <w:t xml:space="preserve">should be considered.  Load screening for </w:t>
      </w:r>
      <w:proofErr w:type="gramStart"/>
      <w:r>
        <w:rPr>
          <w:snapToGrid w:val="0"/>
        </w:rPr>
        <w:t>emergency</w:t>
      </w:r>
      <w:proofErr w:type="gramEnd"/>
      <w:r>
        <w:rPr>
          <w:snapToGrid w:val="0"/>
        </w:rPr>
        <w:t xml:space="preserve"> and intermittently used equipment is not </w:t>
      </w:r>
      <w:r w:rsidR="00926D6A">
        <w:rPr>
          <w:snapToGrid w:val="0"/>
        </w:rPr>
        <w:t xml:space="preserve">generally </w:t>
      </w:r>
      <w:r>
        <w:rPr>
          <w:snapToGrid w:val="0"/>
        </w:rPr>
        <w:t>required.</w:t>
      </w:r>
      <w:r w:rsidR="00B42296" w:rsidRPr="00B42296">
        <w:t xml:space="preserve"> </w:t>
      </w:r>
      <w:r w:rsidR="00B42296">
        <w:t xml:space="preserve"> Applicants should describe their proposed part-load approach and assumptions in the modeling protocol.</w:t>
      </w:r>
      <w:r w:rsidR="00926D6A">
        <w:t xml:space="preserve">  </w:t>
      </w:r>
    </w:p>
    <w:p w14:paraId="0E5F43E6" w14:textId="365797AA" w:rsidR="009A01E5" w:rsidRDefault="00992A52">
      <w:r>
        <w:t>S</w:t>
      </w:r>
      <w:r w:rsidR="00926D6A">
        <w:t>ome applicants choose to model the worst-case emissions and stack parameters</w:t>
      </w:r>
      <w:r>
        <w:t xml:space="preserve"> as an alternative to the load analysis</w:t>
      </w:r>
      <w:r w:rsidR="00926D6A">
        <w:t>, even i</w:t>
      </w:r>
      <w:r>
        <w:t xml:space="preserve">f that given set of parameters would not all occur at the same load (i.e., unpaired parameters).  For example, an applicant may choose to model their full-load NOx emissions </w:t>
      </w:r>
      <w:r w:rsidR="008670EC">
        <w:t>(since the maximum NOx emissions generally occur at full-load) and their 50</w:t>
      </w:r>
      <w:r w:rsidR="00207146">
        <w:t xml:space="preserve"> </w:t>
      </w:r>
      <w:r w:rsidR="008670EC">
        <w:t xml:space="preserve">percent load exhaust parameters (since near-field concentrations tend to increase as plume buoyancy decreases).  </w:t>
      </w:r>
      <w:r>
        <w:t xml:space="preserve">This </w:t>
      </w:r>
      <w:r w:rsidR="00211017">
        <w:t xml:space="preserve">simplified </w:t>
      </w:r>
      <w:r>
        <w:t xml:space="preserve">approach works where it’s generally clear what the worst-case scenario would be for the given parameter and source-receptor layout.  </w:t>
      </w:r>
      <w:r w:rsidR="00211017">
        <w:t>However, the answer is not always clear.  In those cases, it may be better to just ask for a load sensitivity analysis</w:t>
      </w:r>
      <w:r w:rsidR="008670EC">
        <w:t xml:space="preserve">.  </w:t>
      </w:r>
      <w:r w:rsidR="00211017">
        <w:t xml:space="preserve">Changes in ambient temperature can also lead to changes in emissions and ambient impacts when modeling a combustion turbine.  </w:t>
      </w:r>
      <w:r w:rsidR="009A01E5">
        <w:t xml:space="preserve">Refer to </w:t>
      </w:r>
      <w:hyperlink w:anchor="_Combustion_Turbines" w:history="1">
        <w:r w:rsidR="00903458" w:rsidRPr="003C14D7">
          <w:rPr>
            <w:rStyle w:val="Hyperlink"/>
          </w:rPr>
          <w:t>S</w:t>
        </w:r>
        <w:r w:rsidR="009A01E5" w:rsidRPr="003C14D7">
          <w:rPr>
            <w:rStyle w:val="Hyperlink"/>
          </w:rPr>
          <w:t>ection</w:t>
        </w:r>
        <w:r w:rsidR="00296ED3">
          <w:rPr>
            <w:rStyle w:val="Hyperlink"/>
          </w:rPr>
          <w:t xml:space="preserve"> </w:t>
        </w:r>
        <w:r w:rsidR="00487988">
          <w:rPr>
            <w:rStyle w:val="Hyperlink"/>
          </w:rPr>
          <w:t>2.7</w:t>
        </w:r>
        <w:r w:rsidR="003C14D7" w:rsidRPr="003C14D7">
          <w:rPr>
            <w:rStyle w:val="Hyperlink"/>
          </w:rPr>
          <w:t>.2.3</w:t>
        </w:r>
      </w:hyperlink>
      <w:r w:rsidR="009A01E5">
        <w:t xml:space="preserve"> for a discus</w:t>
      </w:r>
      <w:r w:rsidR="00167BBA">
        <w:t>sion</w:t>
      </w:r>
      <w:r w:rsidR="009A01E5">
        <w:t xml:space="preserve"> of the basis for this phenomenon and recommended conditions for screening.</w:t>
      </w:r>
    </w:p>
    <w:p w14:paraId="3903A07F" w14:textId="077DDC82" w:rsidR="00211017" w:rsidRDefault="00264BCD">
      <w:r>
        <w:t>Summary and tips</w:t>
      </w:r>
      <w:r w:rsidR="00211017">
        <w:t>:</w:t>
      </w:r>
    </w:p>
    <w:p w14:paraId="20670E02" w14:textId="6C7DAB32" w:rsidR="00C3281D" w:rsidRDefault="00C3281D" w:rsidP="00167BBA">
      <w:pPr>
        <w:pStyle w:val="CheckReminder"/>
      </w:pPr>
      <w:r>
        <w:t xml:space="preserve">Be aware that ambient impacts can increase during part-load conditions. </w:t>
      </w:r>
    </w:p>
    <w:p w14:paraId="77BC7870" w14:textId="422E42D3" w:rsidR="009A01E5" w:rsidRDefault="00264BCD" w:rsidP="00167BBA">
      <w:pPr>
        <w:pStyle w:val="CheckReminder"/>
      </w:pPr>
      <w:r>
        <w:t>However, u</w:t>
      </w:r>
      <w:r w:rsidR="009A01E5">
        <w:t xml:space="preserve">se </w:t>
      </w:r>
      <w:r w:rsidR="00F02527">
        <w:t>judgment</w:t>
      </w:r>
      <w:r w:rsidR="009A01E5">
        <w:t xml:space="preserve"> in assessing which </w:t>
      </w:r>
      <w:r w:rsidR="00BC634A">
        <w:t>EU</w:t>
      </w:r>
      <w:r w:rsidR="009A01E5">
        <w:t>s warrant load screening.</w:t>
      </w:r>
    </w:p>
    <w:p w14:paraId="4AACD3C7" w14:textId="77777777" w:rsidR="009A01E5" w:rsidRDefault="009A01E5" w:rsidP="00167BBA">
      <w:pPr>
        <w:pStyle w:val="CheckReminder"/>
      </w:pPr>
      <w:r>
        <w:t>Verify worst-case scenario was selected for each pollutant, and applicable averaging period.</w:t>
      </w:r>
    </w:p>
    <w:p w14:paraId="020EEE52" w14:textId="2592CA53" w:rsidR="004A339D" w:rsidRDefault="009A01E5" w:rsidP="00817AC9">
      <w:pPr>
        <w:pStyle w:val="CheckReminder"/>
      </w:pPr>
      <w:r>
        <w:t xml:space="preserve">Verify the results of the load-screening analysis were </w:t>
      </w:r>
      <w:proofErr w:type="gramStart"/>
      <w:r w:rsidR="00264BCD">
        <w:t>actually used</w:t>
      </w:r>
      <w:proofErr w:type="gramEnd"/>
      <w:r w:rsidR="00264BCD">
        <w:t xml:space="preserve"> in the project/cumulative</w:t>
      </w:r>
      <w:r>
        <w:t xml:space="preserve"> impact analyses.</w:t>
      </w:r>
    </w:p>
    <w:p w14:paraId="219E43E0" w14:textId="0E75E01C" w:rsidR="0064540D" w:rsidRPr="008268E6" w:rsidRDefault="002B6EF9" w:rsidP="0064540D">
      <w:pPr>
        <w:pStyle w:val="Heading3"/>
        <w:rPr>
          <w:snapToGrid w:val="0"/>
        </w:rPr>
      </w:pPr>
      <w:bookmarkStart w:id="191" w:name="_Off-site_Sources,_Cumulative"/>
      <w:bookmarkStart w:id="192" w:name="_Toc526778273"/>
      <w:bookmarkEnd w:id="182"/>
      <w:bookmarkEnd w:id="191"/>
      <w:r>
        <w:rPr>
          <w:snapToGrid w:val="0"/>
        </w:rPr>
        <w:lastRenderedPageBreak/>
        <w:t>Secondary Emissions</w:t>
      </w:r>
      <w:bookmarkEnd w:id="192"/>
    </w:p>
    <w:p w14:paraId="39BA3D8E" w14:textId="126F1862" w:rsidR="002B6EF9" w:rsidRDefault="002B6EF9" w:rsidP="002B6EF9">
      <w:r>
        <w:t>PSD applicants must include “secondary emissions” in their ambient demonstration, per 40</w:t>
      </w:r>
      <w:r w:rsidRPr="008D4BE3">
        <w:t> </w:t>
      </w:r>
      <w:r>
        <w:t>CFR</w:t>
      </w:r>
      <w:r w:rsidRPr="008D4BE3">
        <w:t> </w:t>
      </w:r>
      <w:r>
        <w:t xml:space="preserve">52.21(k)(1). </w:t>
      </w:r>
      <w:r w:rsidR="00293CAC">
        <w:t xml:space="preserve"> </w:t>
      </w:r>
      <w:r>
        <w:t>EPA defines the term in 40</w:t>
      </w:r>
      <w:r w:rsidRPr="008D4BE3">
        <w:t> </w:t>
      </w:r>
      <w:r>
        <w:t>CFR</w:t>
      </w:r>
      <w:r w:rsidRPr="008D4BE3">
        <w:t> </w:t>
      </w:r>
      <w:r>
        <w:t xml:space="preserve">52.21(b)(18) as, “emissions which would occur as a result of the construction or operation of a major stationary source… but do not come from the major stationary source…” </w:t>
      </w:r>
      <w:r w:rsidR="00293CAC">
        <w:t xml:space="preserve"> </w:t>
      </w:r>
      <w:r>
        <w:t xml:space="preserve">However, secondary emissions do not include “any emissions which come directly from a mobile source.” </w:t>
      </w:r>
      <w:r w:rsidR="00293CAC">
        <w:t xml:space="preserve"> </w:t>
      </w:r>
      <w:r w:rsidR="00883604">
        <w:t>Secondary emissions can also include marine vessels, as previously discussed in Section</w:t>
      </w:r>
      <w:r w:rsidR="00293CAC" w:rsidRPr="008D4BE3">
        <w:t> </w:t>
      </w:r>
      <w:r w:rsidR="00883604">
        <w:fldChar w:fldCharType="begin"/>
      </w:r>
      <w:r w:rsidR="00883604">
        <w:instrText xml:space="preserve"> REF _Ref524679896 \w \h </w:instrText>
      </w:r>
      <w:r w:rsidR="00883604">
        <w:fldChar w:fldCharType="separate"/>
      </w:r>
      <w:r w:rsidR="00135FFD">
        <w:t>2.7.2.5</w:t>
      </w:r>
      <w:r w:rsidR="00883604">
        <w:fldChar w:fldCharType="end"/>
      </w:r>
      <w:r w:rsidR="00883604">
        <w:t xml:space="preserve"> of this manual. </w:t>
      </w:r>
      <w:r w:rsidR="001E694E">
        <w:t xml:space="preserve"> </w:t>
      </w:r>
      <w:r>
        <w:t>Subsequent EPA guidance further clarifies that the definition in 40</w:t>
      </w:r>
      <w:r w:rsidRPr="008D4BE3">
        <w:t> </w:t>
      </w:r>
      <w:r>
        <w:t>CFR</w:t>
      </w:r>
      <w:r w:rsidRPr="008D4BE3">
        <w:t> </w:t>
      </w:r>
      <w:r>
        <w:t>52.21(b)(18) “sets out four tests to be used in determining whether such emissions are to be included in air quality impact assessments for PSD purposes: the emissions must be specific, well defined, quantifiable, and impact the same general area.”</w:t>
      </w:r>
      <w:r w:rsidR="001E694E" w:rsidRPr="008D4BE3">
        <w:t> </w:t>
      </w:r>
      <w:r w:rsidR="001E694E" w:rsidRPr="00ED5B16">
        <w:rPr>
          <w:rStyle w:val="FootnoteReference"/>
        </w:rPr>
        <w:t xml:space="preserve"> </w:t>
      </w:r>
      <w:r w:rsidRPr="00ED5B16">
        <w:rPr>
          <w:rStyle w:val="FootnoteReference"/>
        </w:rPr>
        <w:footnoteReference w:id="67"/>
      </w:r>
      <w:r>
        <w:t xml:space="preserve"> </w:t>
      </w:r>
    </w:p>
    <w:p w14:paraId="21B660AD" w14:textId="4101BA71" w:rsidR="005C423A" w:rsidRPr="005C423A" w:rsidRDefault="005C423A" w:rsidP="00AE5D0F">
      <w:pPr>
        <w:spacing w:after="60"/>
        <w:rPr>
          <w:b/>
          <w:snapToGrid w:val="0"/>
          <w:u w:val="single"/>
        </w:rPr>
      </w:pPr>
      <w:r w:rsidRPr="005C423A">
        <w:rPr>
          <w:b/>
          <w:snapToGrid w:val="0"/>
          <w:u w:val="single"/>
        </w:rPr>
        <w:t>Construction Emissions</w:t>
      </w:r>
      <w:r w:rsidR="00AE5D0F" w:rsidRPr="00AE5D0F">
        <w:rPr>
          <w:snapToGrid w:val="0"/>
        </w:rPr>
        <w:t xml:space="preserve"> </w:t>
      </w:r>
      <w:r w:rsidRPr="00AE5D0F">
        <w:rPr>
          <w:snapToGrid w:val="0"/>
        </w:rPr>
        <w:t xml:space="preserve"> </w:t>
      </w:r>
    </w:p>
    <w:p w14:paraId="6509882E" w14:textId="18180095" w:rsidR="002B6EF9" w:rsidRDefault="00F05EA4" w:rsidP="0064540D">
      <w:pPr>
        <w:rPr>
          <w:snapToGrid w:val="0"/>
        </w:rPr>
      </w:pPr>
      <w:r>
        <w:rPr>
          <w:snapToGrid w:val="0"/>
        </w:rPr>
        <w:t>Construction emissions are the predomina</w:t>
      </w:r>
      <w:r w:rsidR="007158F6">
        <w:rPr>
          <w:snapToGrid w:val="0"/>
        </w:rPr>
        <w:t>n</w:t>
      </w:r>
      <w:r>
        <w:rPr>
          <w:snapToGrid w:val="0"/>
        </w:rPr>
        <w:t xml:space="preserve">t, </w:t>
      </w:r>
      <w:r w:rsidR="00293CAC">
        <w:rPr>
          <w:snapToGrid w:val="0"/>
        </w:rPr>
        <w:t>if not the only,</w:t>
      </w:r>
      <w:r>
        <w:rPr>
          <w:snapToGrid w:val="0"/>
        </w:rPr>
        <w:t xml:space="preserve"> secondary emissions</w:t>
      </w:r>
      <w:r w:rsidR="00293CAC">
        <w:rPr>
          <w:snapToGrid w:val="0"/>
        </w:rPr>
        <w:t xml:space="preserve"> that typically occur for Alaskan PSD project</w:t>
      </w:r>
      <w:r w:rsidR="005075BB">
        <w:rPr>
          <w:snapToGrid w:val="0"/>
        </w:rPr>
        <w:t>s</w:t>
      </w:r>
      <w:r w:rsidR="00293CAC">
        <w:rPr>
          <w:snapToGrid w:val="0"/>
        </w:rPr>
        <w:t xml:space="preserve">.  </w:t>
      </w:r>
      <w:r w:rsidR="00D52CC1">
        <w:rPr>
          <w:snapToGrid w:val="0"/>
        </w:rPr>
        <w:t>PSD applicants may therefore need to include an ambient demonstration for the construction phase of their PSD project.  Minor permit applicants may likewise need to include construction emissions in their ambient demonstration, per 18</w:t>
      </w:r>
      <w:r w:rsidR="00D52CC1" w:rsidRPr="008D4BE3">
        <w:t> </w:t>
      </w:r>
      <w:r w:rsidR="00D52CC1">
        <w:rPr>
          <w:snapToGrid w:val="0"/>
        </w:rPr>
        <w:t>AAC</w:t>
      </w:r>
      <w:r w:rsidR="00D52CC1" w:rsidRPr="008D4BE3">
        <w:t> </w:t>
      </w:r>
      <w:r w:rsidR="00D52CC1">
        <w:rPr>
          <w:snapToGrid w:val="0"/>
        </w:rPr>
        <w:t xml:space="preserve">50.540(c)(2). </w:t>
      </w:r>
    </w:p>
    <w:p w14:paraId="7B2ED8DB" w14:textId="77777777" w:rsidR="0033384B" w:rsidRDefault="00D52CC1" w:rsidP="0064540D">
      <w:pPr>
        <w:rPr>
          <w:snapToGrid w:val="0"/>
        </w:rPr>
      </w:pPr>
      <w:r>
        <w:rPr>
          <w:snapToGrid w:val="0"/>
        </w:rPr>
        <w:t xml:space="preserve">The details and approach for addressing </w:t>
      </w:r>
      <w:r w:rsidR="00C73DCA">
        <w:rPr>
          <w:snapToGrid w:val="0"/>
        </w:rPr>
        <w:t xml:space="preserve">construction emissions have varied over time, plus they can be very case-specific.  In many cases, the normal operating phase provides the worst-case scenario for the triggered pollutants.  </w:t>
      </w:r>
      <w:r w:rsidR="00120AE9">
        <w:rPr>
          <w:snapToGrid w:val="0"/>
        </w:rPr>
        <w:t xml:space="preserve">This can be especially true if the triggered pollutants do not include PM-10 or PM-2.5 (as a direct pollutant).  </w:t>
      </w:r>
      <w:r w:rsidR="00C73DCA">
        <w:rPr>
          <w:snapToGrid w:val="0"/>
        </w:rPr>
        <w:t xml:space="preserve">In these cases, it may be possible for the applicant to demonstrate that the construction emissions will comply with the AAAQS by demonstrating that the normal operating phase emissions will comply with the AAAQS.  (See the related discussion in Section </w:t>
      </w:r>
      <w:r w:rsidR="00C73DCA">
        <w:rPr>
          <w:snapToGrid w:val="0"/>
        </w:rPr>
        <w:fldChar w:fldCharType="begin"/>
      </w:r>
      <w:r w:rsidR="00C73DCA">
        <w:rPr>
          <w:snapToGrid w:val="0"/>
        </w:rPr>
        <w:instrText xml:space="preserve"> REF _Ref524681060 \w \h </w:instrText>
      </w:r>
      <w:r w:rsidR="00C73DCA">
        <w:rPr>
          <w:snapToGrid w:val="0"/>
        </w:rPr>
      </w:r>
      <w:r w:rsidR="00C73DCA">
        <w:rPr>
          <w:snapToGrid w:val="0"/>
        </w:rPr>
        <w:fldChar w:fldCharType="separate"/>
      </w:r>
      <w:r w:rsidR="00135FFD">
        <w:rPr>
          <w:snapToGrid w:val="0"/>
        </w:rPr>
        <w:t>2.7.3</w:t>
      </w:r>
      <w:r w:rsidR="00C73DCA">
        <w:rPr>
          <w:snapToGrid w:val="0"/>
        </w:rPr>
        <w:fldChar w:fldCharType="end"/>
      </w:r>
      <w:r w:rsidR="00C73DCA">
        <w:rPr>
          <w:snapToGrid w:val="0"/>
        </w:rPr>
        <w:t xml:space="preserve"> of this manual.) </w:t>
      </w:r>
    </w:p>
    <w:p w14:paraId="4BB2C1C9" w14:textId="02F4BFC7" w:rsidR="00D52CC1" w:rsidRDefault="0033384B" w:rsidP="0064540D">
      <w:pPr>
        <w:rPr>
          <w:snapToGrid w:val="0"/>
        </w:rPr>
      </w:pPr>
      <w:r>
        <w:rPr>
          <w:snapToGrid w:val="0"/>
        </w:rPr>
        <w:t xml:space="preserve">Projects that trigger a PM-10 and/or </w:t>
      </w:r>
      <w:r w:rsidR="00A11C7D">
        <w:rPr>
          <w:snapToGrid w:val="0"/>
        </w:rPr>
        <w:t xml:space="preserve">a </w:t>
      </w:r>
      <w:r>
        <w:rPr>
          <w:snapToGrid w:val="0"/>
        </w:rPr>
        <w:t xml:space="preserve">PM-2.5 ambient demonstration can introduce additional factors that you and the applicant may need to consider in determining whether the construction phase emissions should be modeled. </w:t>
      </w:r>
      <w:r w:rsidR="00C73DCA">
        <w:rPr>
          <w:snapToGrid w:val="0"/>
        </w:rPr>
        <w:t xml:space="preserve"> </w:t>
      </w:r>
      <w:r>
        <w:rPr>
          <w:snapToGrid w:val="0"/>
        </w:rPr>
        <w:t xml:space="preserve">The potential for fugitive dust is the most common factor that must be considered.  It’s typically a </w:t>
      </w:r>
      <w:r w:rsidR="001D6E8C">
        <w:rPr>
          <w:snapToGrid w:val="0"/>
        </w:rPr>
        <w:t xml:space="preserve">non-buoyant, </w:t>
      </w:r>
      <w:r>
        <w:rPr>
          <w:snapToGrid w:val="0"/>
        </w:rPr>
        <w:t>ground-level release that</w:t>
      </w:r>
      <w:r w:rsidR="001D6E8C">
        <w:rPr>
          <w:snapToGrid w:val="0"/>
        </w:rPr>
        <w:t xml:space="preserve"> disperses differently than </w:t>
      </w:r>
      <w:r w:rsidR="00A11C7D">
        <w:rPr>
          <w:snapToGrid w:val="0"/>
        </w:rPr>
        <w:t>the</w:t>
      </w:r>
      <w:r w:rsidR="001D6E8C">
        <w:rPr>
          <w:snapToGrid w:val="0"/>
        </w:rPr>
        <w:t xml:space="preserve"> buoyant, stack release</w:t>
      </w:r>
      <w:r w:rsidR="00A11C7D">
        <w:rPr>
          <w:snapToGrid w:val="0"/>
        </w:rPr>
        <w:t>s</w:t>
      </w:r>
      <w:r w:rsidR="001D6E8C">
        <w:rPr>
          <w:snapToGrid w:val="0"/>
        </w:rPr>
        <w:t xml:space="preserve"> that would occur during the normal operating phase at most stationary sources.  </w:t>
      </w:r>
      <w:r w:rsidR="007A61C9">
        <w:rPr>
          <w:snapToGrid w:val="0"/>
        </w:rPr>
        <w:t>ADEC</w:t>
      </w:r>
      <w:r w:rsidR="00E14A56">
        <w:rPr>
          <w:snapToGrid w:val="0"/>
        </w:rPr>
        <w:t xml:space="preserve"> has therefore frequently required applicants to model the </w:t>
      </w:r>
      <w:r w:rsidR="005075BB">
        <w:rPr>
          <w:snapToGrid w:val="0"/>
        </w:rPr>
        <w:t>PM</w:t>
      </w:r>
      <w:r w:rsidR="00E14A56">
        <w:rPr>
          <w:snapToGrid w:val="0"/>
        </w:rPr>
        <w:t xml:space="preserve"> emissions associated with the construction phase. </w:t>
      </w:r>
    </w:p>
    <w:p w14:paraId="2801AED2" w14:textId="48FE4D45" w:rsidR="007A61C9" w:rsidRDefault="005075BB" w:rsidP="0064540D">
      <w:pPr>
        <w:rPr>
          <w:snapToGrid w:val="0"/>
        </w:rPr>
      </w:pPr>
      <w:r>
        <w:rPr>
          <w:snapToGrid w:val="0"/>
        </w:rPr>
        <w:t xml:space="preserve">While modeling has been the typical past approach for assessing construction phase emissions, ADEC has recently observed that modeling the construction phase </w:t>
      </w:r>
      <w:r w:rsidR="008244E1">
        <w:rPr>
          <w:snapToGrid w:val="0"/>
        </w:rPr>
        <w:t xml:space="preserve">PM </w:t>
      </w:r>
      <w:r>
        <w:rPr>
          <w:snapToGrid w:val="0"/>
        </w:rPr>
        <w:t>emissions generally leads to a permit condition that imposes compliance with a fugitive dust control plan (FDCP).  ADEC is therefore contemplating whether it makes more sense to just impose a FDCP</w:t>
      </w:r>
      <w:r w:rsidR="008244E1">
        <w:rPr>
          <w:snapToGrid w:val="0"/>
        </w:rPr>
        <w:t>,</w:t>
      </w:r>
      <w:r>
        <w:rPr>
          <w:snapToGrid w:val="0"/>
        </w:rPr>
        <w:t xml:space="preserve"> with</w:t>
      </w:r>
      <w:r w:rsidR="008244E1">
        <w:rPr>
          <w:snapToGrid w:val="0"/>
        </w:rPr>
        <w:t xml:space="preserve"> post-construction PM monitoring (during the construction phase), than to require modeling and then imposing a FDCP. </w:t>
      </w:r>
      <w:r>
        <w:rPr>
          <w:snapToGrid w:val="0"/>
        </w:rPr>
        <w:t xml:space="preserve"> </w:t>
      </w:r>
      <w:r w:rsidR="008244E1">
        <w:rPr>
          <w:snapToGrid w:val="0"/>
        </w:rPr>
        <w:t xml:space="preserve">This is a new </w:t>
      </w:r>
      <w:r w:rsidR="008244E1">
        <w:rPr>
          <w:snapToGrid w:val="0"/>
        </w:rPr>
        <w:lastRenderedPageBreak/>
        <w:t xml:space="preserve">concept as of </w:t>
      </w:r>
      <w:r w:rsidR="00A76F0E">
        <w:rPr>
          <w:snapToGrid w:val="0"/>
        </w:rPr>
        <w:t>October 8</w:t>
      </w:r>
      <w:r w:rsidR="008244E1">
        <w:rPr>
          <w:snapToGrid w:val="0"/>
        </w:rPr>
        <w:t xml:space="preserve">, 2018, so it is unknown whether it will be viable from a regulatory/permitting aspect. </w:t>
      </w:r>
      <w:r>
        <w:rPr>
          <w:snapToGrid w:val="0"/>
        </w:rPr>
        <w:t xml:space="preserve"> </w:t>
      </w:r>
    </w:p>
    <w:p w14:paraId="4F9EBE48" w14:textId="06535C61" w:rsidR="0064540D" w:rsidRDefault="008E0765" w:rsidP="0064540D">
      <w:pPr>
        <w:rPr>
          <w:snapToGrid w:val="0"/>
        </w:rPr>
      </w:pPr>
      <w:r>
        <w:rPr>
          <w:snapToGrid w:val="0"/>
        </w:rPr>
        <w:t>T</w:t>
      </w:r>
      <w:r w:rsidR="0064540D">
        <w:rPr>
          <w:snapToGrid w:val="0"/>
        </w:rPr>
        <w:t>emporary construction activities</w:t>
      </w:r>
      <w:r>
        <w:rPr>
          <w:snapToGrid w:val="0"/>
        </w:rPr>
        <w:t xml:space="preserve"> do not need to be included in an increment analysis</w:t>
      </w:r>
      <w:r w:rsidR="0064540D">
        <w:rPr>
          <w:snapToGrid w:val="0"/>
        </w:rPr>
        <w:t xml:space="preserve"> per </w:t>
      </w:r>
      <w:hyperlink r:id="rId133" w:history="1">
        <w:r w:rsidR="0064540D" w:rsidRPr="00FB2639">
          <w:rPr>
            <w:rStyle w:val="Hyperlink"/>
            <w:snapToGrid w:val="0"/>
          </w:rPr>
          <w:t>18</w:t>
        </w:r>
        <w:r w:rsidR="0064540D" w:rsidRPr="00FB2639">
          <w:rPr>
            <w:rStyle w:val="Hyperlink"/>
          </w:rPr>
          <w:t> </w:t>
        </w:r>
        <w:r w:rsidR="0064540D" w:rsidRPr="00FB2639">
          <w:rPr>
            <w:rStyle w:val="Hyperlink"/>
            <w:snapToGrid w:val="0"/>
          </w:rPr>
          <w:t>AAC</w:t>
        </w:r>
        <w:r w:rsidR="0064540D" w:rsidRPr="00FB2639">
          <w:rPr>
            <w:rStyle w:val="Hyperlink"/>
          </w:rPr>
          <w:t> </w:t>
        </w:r>
        <w:r w:rsidR="0064540D" w:rsidRPr="00FB2639">
          <w:rPr>
            <w:rStyle w:val="Hyperlink"/>
            <w:snapToGrid w:val="0"/>
          </w:rPr>
          <w:t>50.215</w:t>
        </w:r>
      </w:hyperlink>
      <w:r w:rsidR="0064540D">
        <w:rPr>
          <w:snapToGrid w:val="0"/>
        </w:rPr>
        <w:t xml:space="preserve">(b)(2)(A).  Temporary construction activities are defined in </w:t>
      </w:r>
      <w:hyperlink r:id="rId134" w:history="1">
        <w:r w:rsidR="0064540D" w:rsidRPr="00FB2639">
          <w:rPr>
            <w:rStyle w:val="Hyperlink"/>
            <w:snapToGrid w:val="0"/>
          </w:rPr>
          <w:t>18</w:t>
        </w:r>
        <w:r w:rsidR="0064540D" w:rsidRPr="00FB2639">
          <w:rPr>
            <w:rStyle w:val="Hyperlink"/>
          </w:rPr>
          <w:t> </w:t>
        </w:r>
        <w:r w:rsidR="0064540D" w:rsidRPr="00FB2639">
          <w:rPr>
            <w:rStyle w:val="Hyperlink"/>
            <w:snapToGrid w:val="0"/>
          </w:rPr>
          <w:t>AAC</w:t>
        </w:r>
        <w:r w:rsidR="0064540D" w:rsidRPr="00FB2639">
          <w:rPr>
            <w:rStyle w:val="Hyperlink"/>
          </w:rPr>
          <w:t> </w:t>
        </w:r>
        <w:r w:rsidR="0064540D" w:rsidRPr="00FB2639">
          <w:rPr>
            <w:rStyle w:val="Hyperlink"/>
            <w:snapToGrid w:val="0"/>
          </w:rPr>
          <w:t>50.990</w:t>
        </w:r>
      </w:hyperlink>
      <w:r w:rsidR="0064540D">
        <w:rPr>
          <w:snapToGrid w:val="0"/>
        </w:rPr>
        <w:t xml:space="preserve">(107) as </w:t>
      </w:r>
      <w:r w:rsidR="0064540D">
        <w:t>construction that is completed in 24 months or less from the date construction begins, and includes any period of inactivity during that 24-month period.</w:t>
      </w:r>
      <w:r w:rsidR="0064540D">
        <w:rPr>
          <w:snapToGrid w:val="0"/>
        </w:rPr>
        <w:t xml:space="preserve">  </w:t>
      </w:r>
      <w:r w:rsidR="0064540D">
        <w:t xml:space="preserve">The definition for “begin actual construction” in </w:t>
      </w:r>
      <w:hyperlink r:id="rId135" w:history="1">
        <w:r w:rsidR="0064540D" w:rsidRPr="00FB2639">
          <w:rPr>
            <w:rStyle w:val="Hyperlink"/>
          </w:rPr>
          <w:t>40</w:t>
        </w:r>
        <w:r w:rsidR="00D641A0">
          <w:rPr>
            <w:rStyle w:val="Hyperlink"/>
          </w:rPr>
          <w:t xml:space="preserve"> </w:t>
        </w:r>
        <w:r w:rsidR="0064540D" w:rsidRPr="00FB2639">
          <w:rPr>
            <w:rStyle w:val="Hyperlink"/>
          </w:rPr>
          <w:t>CFR</w:t>
        </w:r>
        <w:r w:rsidR="00D641A0">
          <w:rPr>
            <w:rStyle w:val="Hyperlink"/>
          </w:rPr>
          <w:t xml:space="preserve"> </w:t>
        </w:r>
        <w:r w:rsidR="0064540D" w:rsidRPr="00FB2639">
          <w:rPr>
            <w:rStyle w:val="Hyperlink"/>
          </w:rPr>
          <w:t>52.21</w:t>
        </w:r>
      </w:hyperlink>
      <w:r w:rsidR="0064540D">
        <w:t>(b)(11) can be used to define “date construction begins</w:t>
      </w:r>
      <w:r w:rsidR="0064540D">
        <w:rPr>
          <w:snapToGrid w:val="0"/>
        </w:rPr>
        <w:t xml:space="preserve">”:   </w:t>
      </w:r>
    </w:p>
    <w:p w14:paraId="07293D0C" w14:textId="2B354078" w:rsidR="004A339D" w:rsidRDefault="0064540D" w:rsidP="00817AC9">
      <w:pPr>
        <w:ind w:left="720" w:right="720"/>
        <w:rPr>
          <w:snapToGrid w:val="0"/>
        </w:rPr>
      </w:pPr>
      <w:r w:rsidRPr="00397363">
        <w:rPr>
          <w:i/>
          <w:snapToGrid w:val="0"/>
        </w:rPr>
        <w:t xml:space="preserve">Begin actual construction means, in general, initiation of physical on-site construction activities on an emissions unit which are of a permanent nature.  Such activities include, but are not limited to, installation of building supports and foundations, laying underground pipework and construction of permanent storage structures.  With respect to a change in </w:t>
      </w:r>
      <w:proofErr w:type="gramStart"/>
      <w:r w:rsidRPr="00397363">
        <w:rPr>
          <w:i/>
          <w:snapToGrid w:val="0"/>
        </w:rPr>
        <w:t>method</w:t>
      </w:r>
      <w:proofErr w:type="gramEnd"/>
      <w:r w:rsidRPr="00397363">
        <w:rPr>
          <w:i/>
          <w:snapToGrid w:val="0"/>
        </w:rPr>
        <w:t xml:space="preserve"> of operations, this term refers to those on-site activities other than preparatory activities which mark the initiation of the change</w:t>
      </w:r>
      <w:r>
        <w:rPr>
          <w:snapToGrid w:val="0"/>
        </w:rPr>
        <w:t>.</w:t>
      </w:r>
    </w:p>
    <w:p w14:paraId="1FEAC5CE" w14:textId="136A78BF" w:rsidR="008244E1" w:rsidRPr="008244E1" w:rsidRDefault="008244E1" w:rsidP="008244E1">
      <w:pPr>
        <w:spacing w:after="60"/>
        <w:ind w:right="720"/>
        <w:rPr>
          <w:b/>
          <w:snapToGrid w:val="0"/>
          <w:u w:val="single"/>
        </w:rPr>
      </w:pPr>
      <w:r w:rsidRPr="008244E1">
        <w:rPr>
          <w:b/>
          <w:snapToGrid w:val="0"/>
          <w:u w:val="single"/>
        </w:rPr>
        <w:t xml:space="preserve">North Slope Construction Phase Emissions  </w:t>
      </w:r>
    </w:p>
    <w:p w14:paraId="3180ED54" w14:textId="2C32EDFA" w:rsidR="008244E1" w:rsidRPr="008244E1" w:rsidRDefault="00FC3053" w:rsidP="008244E1">
      <w:pPr>
        <w:ind w:right="720"/>
        <w:rPr>
          <w:snapToGrid w:val="0"/>
        </w:rPr>
      </w:pPr>
      <w:r>
        <w:t xml:space="preserve">As previously noted in Section </w:t>
      </w:r>
      <w:r>
        <w:fldChar w:fldCharType="begin"/>
      </w:r>
      <w:r>
        <w:instrText xml:space="preserve"> REF _Ref524685580 \w \h </w:instrText>
      </w:r>
      <w:r>
        <w:fldChar w:fldCharType="separate"/>
      </w:r>
      <w:r w:rsidR="00135FFD">
        <w:t>2.7.4</w:t>
      </w:r>
      <w:r>
        <w:fldChar w:fldCharType="end"/>
      </w:r>
      <w:r>
        <w:t xml:space="preserve"> of this manual, </w:t>
      </w:r>
      <w:r w:rsidR="008244E1">
        <w:t>ADEC allows North Slope applicants to exclude select construction phase emissions from their modeling analysis</w:t>
      </w:r>
      <w:r w:rsidR="008244E1" w:rsidRPr="008E3429">
        <w:t xml:space="preserve"> </w:t>
      </w:r>
      <w:r w:rsidR="008244E1" w:rsidRPr="00817668">
        <w:t>if</w:t>
      </w:r>
      <w:r w:rsidR="008244E1" w:rsidRPr="008E3429">
        <w:t xml:space="preserve"> they agree to </w:t>
      </w:r>
      <w:r w:rsidR="008244E1">
        <w:t>only use fuel with a maximum sulfur content of 15 parts per million by weight (</w:t>
      </w:r>
      <w:proofErr w:type="spellStart"/>
      <w:r w:rsidR="008244E1">
        <w:t>ppmw</w:t>
      </w:r>
      <w:proofErr w:type="spellEnd"/>
      <w:r w:rsidR="008244E1">
        <w:t xml:space="preserve">) in </w:t>
      </w:r>
      <w:r w:rsidR="008244E1" w:rsidRPr="00D14608">
        <w:t>all</w:t>
      </w:r>
      <w:r w:rsidR="008244E1">
        <w:t xml:space="preserve"> diesel-fired construction equipment operated at the stationary source.</w:t>
      </w:r>
      <w:r w:rsidR="008244E1" w:rsidRPr="000B520C">
        <w:rPr>
          <w:rStyle w:val="FootnoteReference"/>
        </w:rPr>
        <w:footnoteReference w:id="68"/>
      </w:r>
      <w:r w:rsidR="008244E1">
        <w:t xml:space="preserve">  </w:t>
      </w:r>
      <w:r w:rsidR="008244E1" w:rsidRPr="000B520C">
        <w:t>Diesel fuel that meets this fuel sulfur requirement is commonly known as Ultra-Low Sulfur Diesel (ULSD).</w:t>
      </w:r>
      <w:r w:rsidR="008244E1">
        <w:t xml:space="preserve">  In accordance with this guidance, the applicant may </w:t>
      </w:r>
      <w:r w:rsidR="008244E1" w:rsidRPr="009628A0">
        <w:t>exclude c</w:t>
      </w:r>
      <w:r w:rsidR="008244E1">
        <w:t>onstruction-related internal combustion</w:t>
      </w:r>
      <w:r w:rsidR="008244E1" w:rsidRPr="009628A0">
        <w:t xml:space="preserve"> equipment that is rated at less</w:t>
      </w:r>
      <w:r w:rsidR="008244E1">
        <w:t xml:space="preserve"> </w:t>
      </w:r>
      <w:r w:rsidR="008244E1" w:rsidRPr="009628A0">
        <w:t>than 400</w:t>
      </w:r>
      <w:r w:rsidR="008244E1">
        <w:t> </w:t>
      </w:r>
      <w:r w:rsidR="008244E1" w:rsidRPr="009628A0">
        <w:t xml:space="preserve">bhp, or </w:t>
      </w:r>
      <w:r w:rsidR="008244E1">
        <w:t xml:space="preserve">boilers/heaters with a </w:t>
      </w:r>
      <w:r w:rsidR="008244E1" w:rsidRPr="009628A0">
        <w:t>heat-input rating of less-than 2.8</w:t>
      </w:r>
      <w:r w:rsidR="008244E1">
        <w:t> </w:t>
      </w:r>
      <w:proofErr w:type="spellStart"/>
      <w:r w:rsidR="008244E1" w:rsidRPr="009628A0">
        <w:t>MMbtu</w:t>
      </w:r>
      <w:proofErr w:type="spellEnd"/>
      <w:r w:rsidR="008244E1" w:rsidRPr="009628A0">
        <w:t>/</w:t>
      </w:r>
      <w:proofErr w:type="spellStart"/>
      <w:r w:rsidR="008244E1" w:rsidRPr="009628A0">
        <w:t>hr</w:t>
      </w:r>
      <w:proofErr w:type="spellEnd"/>
      <w:r w:rsidR="008244E1" w:rsidRPr="009628A0">
        <w:t xml:space="preserve">, from their </w:t>
      </w:r>
      <w:r w:rsidR="008244E1">
        <w:t>construction phase</w:t>
      </w:r>
      <w:r w:rsidR="008244E1" w:rsidRPr="009628A0">
        <w:t xml:space="preserve"> </w:t>
      </w:r>
      <w:r w:rsidR="008244E1">
        <w:t xml:space="preserve">modeling </w:t>
      </w:r>
      <w:r w:rsidR="008244E1" w:rsidRPr="009628A0">
        <w:t xml:space="preserve">analysis. </w:t>
      </w:r>
      <w:r w:rsidR="008244E1">
        <w:t>The Department may impose these fuel restrictions as permit conditions.</w:t>
      </w:r>
    </w:p>
    <w:p w14:paraId="6CF8410D" w14:textId="4934C544" w:rsidR="00B57B5B" w:rsidRDefault="00FC5C38" w:rsidP="00B57B5B">
      <w:pPr>
        <w:pStyle w:val="Heading3"/>
      </w:pPr>
      <w:bookmarkStart w:id="193" w:name="_Ref449099253"/>
      <w:bookmarkStart w:id="194" w:name="_Toc526778274"/>
      <w:r>
        <w:t>Baseline EUs</w:t>
      </w:r>
      <w:bookmarkEnd w:id="193"/>
      <w:bookmarkEnd w:id="194"/>
      <w:r>
        <w:t xml:space="preserve"> </w:t>
      </w:r>
    </w:p>
    <w:p w14:paraId="1948CECB" w14:textId="05247DE3" w:rsidR="00092915" w:rsidRDefault="003A4839" w:rsidP="0064540D">
      <w:r>
        <w:t xml:space="preserve">Actual emissions, rather than potential emissions, must be used when modeling </w:t>
      </w:r>
      <w:r w:rsidR="00192FF1">
        <w:t xml:space="preserve">the </w:t>
      </w:r>
      <w:r>
        <w:t>baseline EUs</w:t>
      </w:r>
      <w:r w:rsidR="00192FF1">
        <w:t xml:space="preserve"> in an increment analysis</w:t>
      </w:r>
      <w:r>
        <w:t>. Using the potential emission</w:t>
      </w:r>
      <w:r w:rsidR="00092915">
        <w:t>s</w:t>
      </w:r>
      <w:r>
        <w:t xml:space="preserve"> for modeling baseline </w:t>
      </w:r>
      <w:r w:rsidR="00092915">
        <w:t xml:space="preserve">EUs may increase the baseline concentration, which would then reduce the </w:t>
      </w:r>
      <w:r w:rsidR="00715A1E">
        <w:t xml:space="preserve">subsequent </w:t>
      </w:r>
      <w:r w:rsidR="00092915">
        <w:t xml:space="preserve">change in concentration – i.e., it may underestimate the </w:t>
      </w:r>
      <w:r w:rsidR="00A5364E">
        <w:t xml:space="preserve">resulting </w:t>
      </w:r>
      <w:r w:rsidR="00092915">
        <w:t xml:space="preserve">increment consumption.  </w:t>
      </w:r>
    </w:p>
    <w:p w14:paraId="46358B7B" w14:textId="1EE89171" w:rsidR="00B57B5B" w:rsidRPr="00725AA6" w:rsidRDefault="00A5364E" w:rsidP="0064540D">
      <w:r>
        <w:t xml:space="preserve">Most </w:t>
      </w:r>
      <w:r w:rsidR="00830250">
        <w:t xml:space="preserve">facility </w:t>
      </w:r>
      <w:r>
        <w:t xml:space="preserve">operators do not change an exhaust stack once it’s built.  However, changes can occur.  </w:t>
      </w:r>
      <w:r w:rsidR="00715A1E">
        <w:t>In those situations, the stack location</w:t>
      </w:r>
      <w:r w:rsidR="00830250">
        <w:t>/</w:t>
      </w:r>
      <w:r w:rsidR="00715A1E">
        <w:t xml:space="preserve">configuration </w:t>
      </w:r>
      <w:r w:rsidR="00830250">
        <w:t xml:space="preserve">that existed </w:t>
      </w:r>
      <w:r w:rsidR="00715A1E">
        <w:t xml:space="preserve">during the baseline year should be used when simulating the baseline concentrations, and the current/proposed stack location/configuration should be used when simulating the </w:t>
      </w:r>
      <w:r w:rsidR="00830250">
        <w:t xml:space="preserve">current/future impacts.  </w:t>
      </w:r>
      <w:r>
        <w:t xml:space="preserve">For example, an owner/operator may </w:t>
      </w:r>
      <w:r w:rsidR="00830250">
        <w:t>have increased</w:t>
      </w:r>
      <w:r>
        <w:t xml:space="preserve"> </w:t>
      </w:r>
      <w:proofErr w:type="gramStart"/>
      <w:r w:rsidR="00830250">
        <w:t>a</w:t>
      </w:r>
      <w:r>
        <w:t xml:space="preserve"> stack</w:t>
      </w:r>
      <w:proofErr w:type="gramEnd"/>
      <w:r>
        <w:t xml:space="preserve"> height to reduce problems from downwash, or change a horizontal release to a vertical release</w:t>
      </w:r>
      <w:r w:rsidR="00830250">
        <w:t xml:space="preserve">, </w:t>
      </w:r>
      <w:proofErr w:type="gramStart"/>
      <w:r w:rsidR="00830250">
        <w:t>subsequent to</w:t>
      </w:r>
      <w:proofErr w:type="gramEnd"/>
      <w:r w:rsidR="00830250">
        <w:t xml:space="preserve"> the baseline year</w:t>
      </w:r>
      <w:r>
        <w:t xml:space="preserve">.  In these situations, the </w:t>
      </w:r>
      <w:r w:rsidR="00830250">
        <w:t xml:space="preserve">stack height/orientation </w:t>
      </w:r>
      <w:r>
        <w:t xml:space="preserve">that existed during the baseline </w:t>
      </w:r>
      <w:r w:rsidR="00830250">
        <w:t>year</w:t>
      </w:r>
      <w:r>
        <w:t xml:space="preserve"> should be used for modeling the baseline </w:t>
      </w:r>
      <w:r>
        <w:lastRenderedPageBreak/>
        <w:t>concentrations</w:t>
      </w:r>
      <w:r w:rsidR="00830250">
        <w:t>, and the current height/orientation should be used for modeling the current/future air quality impacts</w:t>
      </w:r>
      <w:r>
        <w:t xml:space="preserve">.   </w:t>
      </w:r>
      <w:r w:rsidR="00FC5C38">
        <w:t xml:space="preserve"> </w:t>
      </w:r>
      <w:r w:rsidR="00B57B5B">
        <w:t xml:space="preserve">   </w:t>
      </w:r>
    </w:p>
    <w:p w14:paraId="25AA4815" w14:textId="1BB8F511" w:rsidR="009A01E5" w:rsidRDefault="009A01E5" w:rsidP="000F2745">
      <w:pPr>
        <w:pStyle w:val="Heading3"/>
      </w:pPr>
      <w:bookmarkStart w:id="195" w:name="_Ref439919744"/>
      <w:bookmarkStart w:id="196" w:name="_Ref439926420"/>
      <w:bookmarkStart w:id="197" w:name="_Toc526778275"/>
      <w:r>
        <w:t>Source Groups</w:t>
      </w:r>
      <w:bookmarkEnd w:id="195"/>
      <w:bookmarkEnd w:id="196"/>
      <w:bookmarkEnd w:id="197"/>
    </w:p>
    <w:p w14:paraId="109C041B" w14:textId="413C38E3" w:rsidR="009A01E5" w:rsidRDefault="009A01E5">
      <w:r>
        <w:t xml:space="preserve">Source groups are useful in quantifying the air quality impacts from a pre-defined group of </w:t>
      </w:r>
      <w:r w:rsidR="004328A9">
        <w:t>EUs</w:t>
      </w:r>
      <w:r>
        <w:t xml:space="preserve">.  They are identified in the </w:t>
      </w:r>
      <w:r w:rsidR="00922271">
        <w:t>S</w:t>
      </w:r>
      <w:r w:rsidR="004328A9">
        <w:t xml:space="preserve">ource </w:t>
      </w:r>
      <w:r w:rsidR="00922271">
        <w:t xml:space="preserve">Option </w:t>
      </w:r>
      <w:r w:rsidR="004328A9">
        <w:t>(</w:t>
      </w:r>
      <w:r w:rsidRPr="004328A9">
        <w:t>SO</w:t>
      </w:r>
      <w:r w:rsidR="004328A9">
        <w:t>)</w:t>
      </w:r>
      <w:r w:rsidRPr="004328A9">
        <w:t xml:space="preserve"> </w:t>
      </w:r>
      <w:r w:rsidR="004328A9">
        <w:t xml:space="preserve">pathway </w:t>
      </w:r>
      <w:r>
        <w:t xml:space="preserve">of AERMOD.  The user must specify the name of the individual sources to be included in the source group.  Errors can occur if the character string identified in the source group is not </w:t>
      </w:r>
      <w:proofErr w:type="gramStart"/>
      <w:r>
        <w:t>exactly the same</w:t>
      </w:r>
      <w:proofErr w:type="gramEnd"/>
      <w:r>
        <w:t xml:space="preserve"> as that identified in the source lo</w:t>
      </w:r>
      <w:r w:rsidR="005A4B00">
        <w:t>c</w:t>
      </w:r>
      <w:r>
        <w:t xml:space="preserve">ation and parameter lines.  </w:t>
      </w:r>
    </w:p>
    <w:p w14:paraId="4C56354F" w14:textId="77777777" w:rsidR="0072293F" w:rsidRDefault="009A01E5" w:rsidP="00407F48">
      <w:pPr>
        <w:numPr>
          <w:ilvl w:val="0"/>
          <w:numId w:val="22"/>
        </w:numPr>
      </w:pPr>
      <w:r>
        <w:t xml:space="preserve">If source groups are used, verify that all sources intended to be included in a particular source group </w:t>
      </w:r>
      <w:proofErr w:type="gramStart"/>
      <w:r>
        <w:t>actually have</w:t>
      </w:r>
      <w:proofErr w:type="gramEnd"/>
      <w:r>
        <w:t xml:space="preserve"> been included.  </w:t>
      </w:r>
    </w:p>
    <w:p w14:paraId="2247E5B4" w14:textId="77777777" w:rsidR="0072293F" w:rsidRDefault="0072293F" w:rsidP="00407F48">
      <w:pPr>
        <w:numPr>
          <w:ilvl w:val="0"/>
          <w:numId w:val="22"/>
        </w:numPr>
      </w:pPr>
      <w:r>
        <w:t xml:space="preserve">Check for misspellings of a source ID in a source group, AERMOD will run and calculate impacts from those units, but impacts from the misspelled source ID will not be included in the source group impacts.  </w:t>
      </w:r>
    </w:p>
    <w:p w14:paraId="3B43E13D" w14:textId="77777777" w:rsidR="009A01E5" w:rsidRDefault="0072293F" w:rsidP="00407F48">
      <w:pPr>
        <w:numPr>
          <w:ilvl w:val="0"/>
          <w:numId w:val="22"/>
        </w:numPr>
      </w:pPr>
      <w:r>
        <w:t>Another potential source of error may occur if multiple source IDs are identified by using a “from-to” source ID format in a source group (for ex</w:t>
      </w:r>
      <w:r w:rsidR="00826865">
        <w:t>ample, Group1 </w:t>
      </w:r>
      <w:r>
        <w:t>Source1-Source6).  A source could be accidentally omitted if the source IDs are especially com</w:t>
      </w:r>
      <w:r w:rsidR="007C1A1E">
        <w:t>p</w:t>
      </w:r>
      <w:r>
        <w:t xml:space="preserve">lex names. </w:t>
      </w:r>
    </w:p>
    <w:p w14:paraId="3624B980" w14:textId="77777777" w:rsidR="009A01E5" w:rsidRDefault="00826865">
      <w:r>
        <w:t>A simple</w:t>
      </w:r>
      <w:r w:rsidR="009A01E5">
        <w:t xml:space="preserve"> way to </w:t>
      </w:r>
      <w:r w:rsidR="00B23165">
        <w:t xml:space="preserve">check </w:t>
      </w:r>
      <w:r>
        <w:t>sources and source groups</w:t>
      </w:r>
      <w:r w:rsidR="009A01E5">
        <w:t xml:space="preserve"> is to open </w:t>
      </w:r>
      <w:r>
        <w:t>a</w:t>
      </w:r>
      <w:r w:rsidR="009A01E5">
        <w:t xml:space="preserve"> model output file and </w:t>
      </w:r>
      <w:r>
        <w:t>compare the sources names to</w:t>
      </w:r>
      <w:r w:rsidR="009A01E5">
        <w:t xml:space="preserve"> the </w:t>
      </w:r>
      <w:r>
        <w:t xml:space="preserve">sources identified in each </w:t>
      </w:r>
      <w:r w:rsidR="009A01E5">
        <w:t>source group.</w:t>
      </w:r>
    </w:p>
    <w:p w14:paraId="39ED4342" w14:textId="7FFC6AB6" w:rsidR="009A01E5" w:rsidRDefault="009A01E5">
      <w:r>
        <w:t>Source groups are also helpful in performing a culpability analysis.  This simplest way to perform a culpability analysis for short-term impacts is to run the EVENT model, but one can also perform the analysis without an</w:t>
      </w:r>
      <w:r w:rsidR="00826865">
        <w:t xml:space="preserve"> event model.  One can</w:t>
      </w:r>
      <w:r>
        <w:t xml:space="preserve">not use the EVENT model to perform a culpability analysis of annual impacts.  The EVENT model has been incorporated into AERMOD.  Refer to the </w:t>
      </w:r>
      <w:hyperlink r:id="rId136" w:history="1">
        <w:r w:rsidR="00840D7D" w:rsidRPr="00AC56F0">
          <w:rPr>
            <w:rStyle w:val="Hyperlink"/>
          </w:rPr>
          <w:t xml:space="preserve">AERMOD </w:t>
        </w:r>
        <w:r w:rsidRPr="00AC56F0">
          <w:rPr>
            <w:rStyle w:val="Hyperlink"/>
          </w:rPr>
          <w:t>User’s Guide</w:t>
        </w:r>
      </w:hyperlink>
      <w:r>
        <w:t xml:space="preserve"> for a description of how to run the event model. </w:t>
      </w:r>
    </w:p>
    <w:p w14:paraId="5E3A1A0F" w14:textId="1EA31A82" w:rsidR="009A01E5" w:rsidRDefault="009A01E5">
      <w:proofErr w:type="gramStart"/>
      <w:r>
        <w:t>In order to</w:t>
      </w:r>
      <w:proofErr w:type="gramEnd"/>
      <w:r>
        <w:t xml:space="preserve"> understand the use of the EVENT model, consider the following example.  Assume the applicant performed an SO</w:t>
      </w:r>
      <w:r>
        <w:rPr>
          <w:vertAlign w:val="subscript"/>
        </w:rPr>
        <w:t>2</w:t>
      </w:r>
      <w:r>
        <w:t xml:space="preserve"> analysis for </w:t>
      </w:r>
      <w:r w:rsidR="008C2A9A">
        <w:t>N</w:t>
      </w:r>
      <w:r>
        <w:t xml:space="preserve">orth </w:t>
      </w:r>
      <w:r w:rsidR="008C2A9A">
        <w:t>S</w:t>
      </w:r>
      <w:r>
        <w:t>lope oil field operations, using five years of meteorological data, a receptor grid containing 2000 receptors, and 30 SO</w:t>
      </w:r>
      <w:r>
        <w:rPr>
          <w:vertAlign w:val="subscript"/>
        </w:rPr>
        <w:t>2</w:t>
      </w:r>
      <w:r>
        <w:t xml:space="preserve"> </w:t>
      </w:r>
      <w:r w:rsidR="00F02C3B">
        <w:t>EUs</w:t>
      </w:r>
      <w:r>
        <w:t xml:space="preserve">, from different </w:t>
      </w:r>
      <w:r w:rsidR="00F02C3B">
        <w:t>stationary sources</w:t>
      </w:r>
      <w:r>
        <w:t>. The analysis demonstrated compliance with the SO</w:t>
      </w:r>
      <w:r>
        <w:rPr>
          <w:vertAlign w:val="subscript"/>
        </w:rPr>
        <w:t>2</w:t>
      </w:r>
      <w:r>
        <w:t xml:space="preserve"> PSD Class II increments, but upon discovering</w:t>
      </w:r>
      <w:r w:rsidR="00840D7D">
        <w:t>,</w:t>
      </w:r>
      <w:r>
        <w:t xml:space="preserve"> correcting an error, </w:t>
      </w:r>
      <w:r w:rsidR="00840D7D">
        <w:t xml:space="preserve">and </w:t>
      </w:r>
      <w:r>
        <w:t>rer</w:t>
      </w:r>
      <w:r w:rsidR="00840D7D">
        <w:t>unning</w:t>
      </w:r>
      <w:r>
        <w:t xml:space="preserve"> the model, </w:t>
      </w:r>
      <w:r w:rsidR="00840D7D">
        <w:t>you find the model</w:t>
      </w:r>
      <w:r>
        <w:t xml:space="preserve"> now predict</w:t>
      </w:r>
      <w:r w:rsidR="00840D7D">
        <w:t>s</w:t>
      </w:r>
      <w:r>
        <w:t xml:space="preserve"> </w:t>
      </w:r>
      <w:r w:rsidR="000F77B4">
        <w:t xml:space="preserve">violations </w:t>
      </w:r>
      <w:r>
        <w:t>of the 24-hour PSD increment.  You want to know</w:t>
      </w:r>
      <w:r w:rsidR="00840D7D">
        <w:t xml:space="preserve"> the</w:t>
      </w:r>
      <w:r>
        <w:t xml:space="preserve"> contribution from the proposed project.  </w:t>
      </w:r>
    </w:p>
    <w:p w14:paraId="76069E8B" w14:textId="68068675" w:rsidR="009A01E5" w:rsidRDefault="009A01E5">
      <w:pPr>
        <w:rPr>
          <w:snapToGrid w:val="0"/>
        </w:rPr>
      </w:pPr>
      <w:r>
        <w:rPr>
          <w:snapToGrid w:val="0"/>
        </w:rPr>
        <w:t>In the</w:t>
      </w:r>
      <w:r w:rsidR="00922271">
        <w:rPr>
          <w:snapToGrid w:val="0"/>
        </w:rPr>
        <w:t xml:space="preserve"> Control Option</w:t>
      </w:r>
      <w:r>
        <w:rPr>
          <w:snapToGrid w:val="0"/>
        </w:rPr>
        <w:t xml:space="preserve"> </w:t>
      </w:r>
      <w:r w:rsidR="00922271">
        <w:rPr>
          <w:snapToGrid w:val="0"/>
        </w:rPr>
        <w:t>(</w:t>
      </w:r>
      <w:r w:rsidRPr="00922271">
        <w:rPr>
          <w:snapToGrid w:val="0"/>
        </w:rPr>
        <w:t>CO</w:t>
      </w:r>
      <w:r w:rsidR="00922271">
        <w:rPr>
          <w:snapToGrid w:val="0"/>
        </w:rPr>
        <w:t>)</w:t>
      </w:r>
      <w:r>
        <w:rPr>
          <w:snapToGrid w:val="0"/>
        </w:rPr>
        <w:t xml:space="preserve"> </w:t>
      </w:r>
      <w:r w:rsidR="00922271">
        <w:rPr>
          <w:snapToGrid w:val="0"/>
        </w:rPr>
        <w:t>pathway</w:t>
      </w:r>
      <w:r>
        <w:rPr>
          <w:snapToGrid w:val="0"/>
        </w:rPr>
        <w:t xml:space="preserve">, you could specify the EVENT option and run the model as normal.  In addition to the normal output, the model will create an event-specific model input file.  This file contains a list of events to be modeled.  Each event is unique in that it specifies the averaging period, the design concentration (e.g., high, highest second-high, etc.), and the receptor of interest.  Upon reviewing the event file, you discover that there was one day in which the model predicted impacts exceeded the 24-hour </w:t>
      </w:r>
      <w:r w:rsidR="001C1AFD" w:rsidRPr="001C1AFD">
        <w:rPr>
          <w:snapToGrid w:val="0"/>
        </w:rPr>
        <w:t>SO</w:t>
      </w:r>
      <w:r w:rsidR="001C1AFD" w:rsidRPr="001C1AFD">
        <w:rPr>
          <w:rFonts w:ascii="Times" w:hAnsi="Times"/>
          <w:snapToGrid w:val="0"/>
          <w:vertAlign w:val="subscript"/>
        </w:rPr>
        <w:t>2</w:t>
      </w:r>
      <w:r>
        <w:rPr>
          <w:snapToGrid w:val="0"/>
        </w:rPr>
        <w:t xml:space="preserve"> PSD increment at 10 receptors.  You can delete all events from the input file </w:t>
      </w:r>
      <w:r>
        <w:rPr>
          <w:snapToGrid w:val="0"/>
        </w:rPr>
        <w:lastRenderedPageBreak/>
        <w:t>(or use comment notation) so that you run only the receptor and day in which the</w:t>
      </w:r>
      <w:r w:rsidR="00BB5CA0">
        <w:rPr>
          <w:snapToGrid w:val="0"/>
        </w:rPr>
        <w:t xml:space="preserve"> </w:t>
      </w:r>
      <w:r w:rsidR="00691562">
        <w:t>high second-high</w:t>
      </w:r>
      <w:r w:rsidR="00691562">
        <w:rPr>
          <w:snapToGrid w:val="0"/>
        </w:rPr>
        <w:t xml:space="preserve"> (</w:t>
      </w:r>
      <w:r>
        <w:rPr>
          <w:snapToGrid w:val="0"/>
        </w:rPr>
        <w:t>H2H</w:t>
      </w:r>
      <w:r w:rsidR="00691562">
        <w:rPr>
          <w:snapToGrid w:val="0"/>
        </w:rPr>
        <w:t>)</w:t>
      </w:r>
      <w:r>
        <w:rPr>
          <w:snapToGrid w:val="0"/>
        </w:rPr>
        <w:t xml:space="preserve"> </w:t>
      </w:r>
      <w:r w:rsidR="000F77B4">
        <w:rPr>
          <w:snapToGrid w:val="0"/>
        </w:rPr>
        <w:t xml:space="preserve">impact </w:t>
      </w:r>
      <w:r>
        <w:rPr>
          <w:snapToGrid w:val="0"/>
        </w:rPr>
        <w:t xml:space="preserve">occurred.   </w:t>
      </w:r>
    </w:p>
    <w:p w14:paraId="76FD2651" w14:textId="77777777" w:rsidR="009A01E5" w:rsidRDefault="009A01E5">
      <w:pPr>
        <w:rPr>
          <w:snapToGrid w:val="0"/>
        </w:rPr>
      </w:pPr>
      <w:r>
        <w:rPr>
          <w:snapToGrid w:val="0"/>
        </w:rPr>
        <w:t xml:space="preserve">Run the model again, but this time </w:t>
      </w:r>
      <w:proofErr w:type="gramStart"/>
      <w:r>
        <w:rPr>
          <w:snapToGrid w:val="0"/>
        </w:rPr>
        <w:t>name</w:t>
      </w:r>
      <w:proofErr w:type="gramEnd"/>
      <w:r>
        <w:rPr>
          <w:snapToGrid w:val="0"/>
        </w:rPr>
        <w:t xml:space="preserve"> the event file as the input file.  The output will contain the concentration from each individual source to the receptor for the day of interest.  You can then manually </w:t>
      </w:r>
      <w:proofErr w:type="gramStart"/>
      <w:r>
        <w:rPr>
          <w:snapToGrid w:val="0"/>
        </w:rPr>
        <w:t>sum</w:t>
      </w:r>
      <w:proofErr w:type="gramEnd"/>
      <w:r>
        <w:rPr>
          <w:snapToGrid w:val="0"/>
        </w:rPr>
        <w:t xml:space="preserve"> the impacts from only those sources within the facility of interest to obtain the contribution from that source.</w:t>
      </w:r>
    </w:p>
    <w:p w14:paraId="68B3D9F3" w14:textId="77777777" w:rsidR="009A01E5" w:rsidRDefault="009A01E5">
      <w:pPr>
        <w:rPr>
          <w:snapToGrid w:val="0"/>
        </w:rPr>
      </w:pPr>
      <w:r>
        <w:rPr>
          <w:snapToGrid w:val="0"/>
        </w:rPr>
        <w:t xml:space="preserve">As an alternative to the event model, you can run the same model again using source groups, but only for the receptor and day of interest (i.e., the receptor and day where the H2H was predicted to exceed the PSD increment).   You can specify source groups for each facility or the facility of interest and all others.  This is somewhat more cumbersome </w:t>
      </w:r>
      <w:proofErr w:type="gramStart"/>
      <w:r>
        <w:rPr>
          <w:snapToGrid w:val="0"/>
        </w:rPr>
        <w:t>that</w:t>
      </w:r>
      <w:proofErr w:type="gramEnd"/>
      <w:r>
        <w:rPr>
          <w:snapToGrid w:val="0"/>
        </w:rPr>
        <w:t xml:space="preserve"> running the EVENT </w:t>
      </w:r>
      <w:proofErr w:type="gramStart"/>
      <w:r>
        <w:rPr>
          <w:snapToGrid w:val="0"/>
        </w:rPr>
        <w:t>model, but</w:t>
      </w:r>
      <w:proofErr w:type="gramEnd"/>
      <w:r>
        <w:rPr>
          <w:snapToGrid w:val="0"/>
        </w:rPr>
        <w:t xml:space="preserve"> will work.  </w:t>
      </w:r>
    </w:p>
    <w:p w14:paraId="56BD281A" w14:textId="77777777" w:rsidR="009A01E5" w:rsidRDefault="009A01E5">
      <w:pPr>
        <w:rPr>
          <w:snapToGrid w:val="0"/>
        </w:rPr>
      </w:pPr>
      <w:r>
        <w:rPr>
          <w:snapToGrid w:val="0"/>
        </w:rPr>
        <w:t xml:space="preserve">One can also perform a culpability analysis for annual impacts using this alternative approach.  To do so, one needs to run the model using only a single receptor, user-defined source groups, and the year of meteorological data of interest.  Refer to the original model output to identify the year with the highest annual </w:t>
      </w:r>
      <w:proofErr w:type="gramStart"/>
      <w:r>
        <w:rPr>
          <w:snapToGrid w:val="0"/>
        </w:rPr>
        <w:t>impacts, and</w:t>
      </w:r>
      <w:proofErr w:type="gramEnd"/>
      <w:r>
        <w:rPr>
          <w:snapToGrid w:val="0"/>
        </w:rPr>
        <w:t xml:space="preserve"> use that year to run the model again.</w:t>
      </w:r>
    </w:p>
    <w:p w14:paraId="31B84BB5" w14:textId="6992E642" w:rsidR="009A01E5" w:rsidRDefault="00FD7D8B">
      <w:pPr>
        <w:rPr>
          <w:snapToGrid w:val="0"/>
        </w:rPr>
      </w:pPr>
      <w:r>
        <w:rPr>
          <w:noProof/>
        </w:rPr>
        <mc:AlternateContent>
          <mc:Choice Requires="wps">
            <w:drawing>
              <wp:anchor distT="0" distB="0" distL="114300" distR="114300" simplePos="0" relativeHeight="251633152" behindDoc="0" locked="0" layoutInCell="0" allowOverlap="1" wp14:anchorId="43B1032C" wp14:editId="7DA978F9">
                <wp:simplePos x="0" y="0"/>
                <wp:positionH relativeFrom="column">
                  <wp:posOffset>346710</wp:posOffset>
                </wp:positionH>
                <wp:positionV relativeFrom="paragraph">
                  <wp:posOffset>33655</wp:posOffset>
                </wp:positionV>
                <wp:extent cx="4297680" cy="457200"/>
                <wp:effectExtent l="13335" t="13970" r="13335" b="5080"/>
                <wp:wrapNone/>
                <wp:docPr id="5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7680" cy="457200"/>
                        </a:xfrm>
                        <a:prstGeom prst="rect">
                          <a:avLst/>
                        </a:prstGeom>
                        <a:solidFill>
                          <a:srgbClr val="FFFFFF"/>
                        </a:solidFill>
                        <a:ln w="9525">
                          <a:solidFill>
                            <a:srgbClr val="000000"/>
                          </a:solidFill>
                          <a:miter lim="800000"/>
                          <a:headEnd/>
                          <a:tailEnd/>
                        </a:ln>
                      </wps:spPr>
                      <wps:txbx>
                        <w:txbxContent>
                          <w:p w14:paraId="4720429D" w14:textId="77777777" w:rsidR="004830EA" w:rsidRDefault="004830EA">
                            <w:pPr>
                              <w:pStyle w:val="BodyText2"/>
                            </w:pPr>
                            <w:r>
                              <w:t>HAVE YOU DOCUMENTED THE RESULTS OF YOUR REVIEW SO FAR?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1032C" id="Text Box 6" o:spid="_x0000_s1047" type="#_x0000_t202" style="position:absolute;margin-left:27.3pt;margin-top:2.65pt;width:338.4pt;height:36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" o:allowincell="f">
                <v:textbox>
                  <w:txbxContent>
                    <w:p w14:paraId="4720429D" w14:textId="77777777" w:rsidR="004830EA" w:rsidRDefault="004830EA">
                      <w:pPr>
                        <w:pStyle w:val="BodyText2"/>
                      </w:pPr>
                      <w:r>
                        <w:t>HAVE YOU DOCUMENTED THE RESULTS OF YOUR REVIEW SO FAR?</w:t>
                      </w:r>
                    </w:p>
                  </w:txbxContent>
                </v:textbox>
              </v:shape>
            </w:pict>
          </mc:Fallback>
        </mc:AlternateContent>
      </w:r>
    </w:p>
    <w:p w14:paraId="063D2591" w14:textId="77777777" w:rsidR="009A01E5" w:rsidRDefault="009A01E5">
      <w:pPr>
        <w:rPr>
          <w:snapToGrid w:val="0"/>
        </w:rPr>
      </w:pPr>
    </w:p>
    <w:p w14:paraId="72D6D1BD" w14:textId="77777777" w:rsidR="009A01E5" w:rsidRDefault="009A01E5">
      <w:pPr>
        <w:rPr>
          <w:snapToGrid w:val="0"/>
        </w:rPr>
      </w:pPr>
    </w:p>
    <w:p w14:paraId="6C4EB67A" w14:textId="77777777" w:rsidR="00273535" w:rsidRDefault="00E25D9E" w:rsidP="00273535">
      <w:pPr>
        <w:spacing w:after="0"/>
      </w:pPr>
      <w:bookmarkStart w:id="198" w:name="_Toc43521201"/>
      <w:r>
        <w:rPr>
          <w:snapToGrid w:val="0"/>
        </w:rPr>
        <w:br w:type="page"/>
      </w:r>
    </w:p>
    <w:p w14:paraId="22BB645A" w14:textId="77777777" w:rsidR="00273535" w:rsidRDefault="00273535" w:rsidP="00273535">
      <w:pPr>
        <w:spacing w:after="0"/>
      </w:pPr>
    </w:p>
    <w:p w14:paraId="0A059841" w14:textId="77777777" w:rsidR="00273535" w:rsidRDefault="00273535" w:rsidP="00273535">
      <w:pPr>
        <w:spacing w:after="0"/>
      </w:pPr>
    </w:p>
    <w:p w14:paraId="13AEBB00" w14:textId="77777777" w:rsidR="00273535" w:rsidRDefault="00273535" w:rsidP="00273535">
      <w:pPr>
        <w:spacing w:after="0"/>
      </w:pPr>
    </w:p>
    <w:p w14:paraId="3148AA1F" w14:textId="77777777" w:rsidR="00273535" w:rsidRDefault="00273535" w:rsidP="00273535">
      <w:pPr>
        <w:spacing w:after="0"/>
      </w:pPr>
    </w:p>
    <w:p w14:paraId="30006A42" w14:textId="77777777" w:rsidR="00273535" w:rsidRDefault="00273535" w:rsidP="00273535">
      <w:pPr>
        <w:spacing w:after="0"/>
      </w:pPr>
    </w:p>
    <w:p w14:paraId="4BB326CD" w14:textId="77777777" w:rsidR="00273535" w:rsidRDefault="00273535" w:rsidP="00273535">
      <w:pPr>
        <w:spacing w:after="0"/>
      </w:pPr>
    </w:p>
    <w:p w14:paraId="32E46183" w14:textId="77777777" w:rsidR="00273535" w:rsidRDefault="00273535" w:rsidP="00273535">
      <w:pPr>
        <w:spacing w:after="0"/>
      </w:pPr>
    </w:p>
    <w:p w14:paraId="7E7DACA9" w14:textId="77777777" w:rsidR="00273535" w:rsidRDefault="00273535" w:rsidP="00273535">
      <w:pPr>
        <w:spacing w:after="0"/>
      </w:pPr>
    </w:p>
    <w:p w14:paraId="3655D9F0" w14:textId="77777777" w:rsidR="00273535" w:rsidRDefault="00273535" w:rsidP="00273535">
      <w:pPr>
        <w:spacing w:after="0"/>
      </w:pPr>
    </w:p>
    <w:p w14:paraId="1696A07C" w14:textId="77777777" w:rsidR="00273535" w:rsidRDefault="00273535" w:rsidP="00273535">
      <w:pPr>
        <w:spacing w:after="0"/>
      </w:pPr>
    </w:p>
    <w:p w14:paraId="2B9775C9" w14:textId="77777777" w:rsidR="00273535" w:rsidRDefault="00273535" w:rsidP="00273535">
      <w:pPr>
        <w:spacing w:after="0"/>
      </w:pPr>
    </w:p>
    <w:p w14:paraId="6C8E7775" w14:textId="77777777" w:rsidR="00273535" w:rsidRDefault="00273535" w:rsidP="00273535">
      <w:pPr>
        <w:spacing w:after="0"/>
        <w:jc w:val="center"/>
      </w:pPr>
      <w:r>
        <w:rPr>
          <w:snapToGrid w:val="0"/>
        </w:rPr>
        <w:t>(This page intentionally left blank)</w:t>
      </w:r>
    </w:p>
    <w:p w14:paraId="3089C2BC" w14:textId="77777777" w:rsidR="00273535" w:rsidRDefault="00273535" w:rsidP="00273535">
      <w:pPr>
        <w:spacing w:after="0"/>
      </w:pPr>
      <w:r>
        <w:br w:type="page"/>
      </w:r>
    </w:p>
    <w:p w14:paraId="17F69B5A" w14:textId="77777777" w:rsidR="003C2967" w:rsidRDefault="00AD5C0A" w:rsidP="000958CC">
      <w:pPr>
        <w:pStyle w:val="Heading2"/>
        <w:rPr>
          <w:snapToGrid w:val="0"/>
        </w:rPr>
      </w:pPr>
      <w:bookmarkStart w:id="199" w:name="Downwash"/>
      <w:bookmarkEnd w:id="198"/>
      <w:r>
        <w:rPr>
          <w:snapToGrid w:val="0"/>
        </w:rPr>
        <w:lastRenderedPageBreak/>
        <w:tab/>
      </w:r>
      <w:bookmarkStart w:id="200" w:name="_Ref447796105"/>
      <w:bookmarkStart w:id="201" w:name="_Toc526778276"/>
      <w:r w:rsidR="003C2967">
        <w:rPr>
          <w:snapToGrid w:val="0"/>
        </w:rPr>
        <w:t>Downwash</w:t>
      </w:r>
      <w:bookmarkEnd w:id="199"/>
      <w:bookmarkEnd w:id="200"/>
      <w:bookmarkEnd w:id="201"/>
      <w:r w:rsidR="003C2967">
        <w:rPr>
          <w:snapToGrid w:val="0"/>
        </w:rPr>
        <w:t xml:space="preserve"> </w:t>
      </w:r>
    </w:p>
    <w:p w14:paraId="6AB2841D" w14:textId="215F5699" w:rsidR="003C2967" w:rsidRDefault="003C2967" w:rsidP="003C2967">
      <w:pPr>
        <w:rPr>
          <w:snapToGrid w:val="0"/>
          <w:color w:val="000000"/>
        </w:rPr>
      </w:pPr>
      <w:r>
        <w:rPr>
          <w:snapToGrid w:val="0"/>
          <w:color w:val="000000"/>
        </w:rPr>
        <w:t xml:space="preserve">Wind flows are disrupted by aerodynamic forces in the vicinity of buildings and other solid structures.  </w:t>
      </w:r>
      <w:bookmarkStart w:id="202" w:name="_Ref359418968"/>
      <w:r w:rsidR="003F3616">
        <w:rPr>
          <w:snapToGrid w:val="0"/>
          <w:color w:val="000000"/>
        </w:rPr>
        <w:fldChar w:fldCharType="begin"/>
      </w:r>
      <w:r w:rsidR="003F3616">
        <w:rPr>
          <w:snapToGrid w:val="0"/>
          <w:color w:val="000000"/>
        </w:rPr>
        <w:instrText xml:space="preserve"> REF _Ref371088121 \h </w:instrText>
      </w:r>
      <w:r w:rsidR="003F3616">
        <w:rPr>
          <w:snapToGrid w:val="0"/>
          <w:color w:val="000000"/>
        </w:rPr>
      </w:r>
      <w:r w:rsidR="003F3616">
        <w:rPr>
          <w:snapToGrid w:val="0"/>
          <w:color w:val="000000"/>
        </w:rPr>
        <w:fldChar w:fldCharType="separate"/>
      </w:r>
      <w:r w:rsidR="00135FFD">
        <w:t xml:space="preserve">Figure </w:t>
      </w:r>
      <w:r w:rsidR="00135FFD">
        <w:rPr>
          <w:noProof/>
        </w:rPr>
        <w:t>11</w:t>
      </w:r>
      <w:r w:rsidR="003F3616">
        <w:rPr>
          <w:snapToGrid w:val="0"/>
          <w:color w:val="000000"/>
        </w:rPr>
        <w:fldChar w:fldCharType="end"/>
      </w:r>
      <w:r w:rsidR="001F37D6">
        <w:rPr>
          <w:snapToGrid w:val="0"/>
          <w:color w:val="000000"/>
        </w:rPr>
        <w:t xml:space="preserve"> (reprinted by permission of Taylor and Francis</w:t>
      </w:r>
      <w:r w:rsidR="004403A8">
        <w:rPr>
          <w:snapToGrid w:val="0"/>
          <w:color w:val="000000"/>
        </w:rPr>
        <w:t>)</w:t>
      </w:r>
      <w:r w:rsidR="00451370">
        <w:rPr>
          <w:snapToGrid w:val="0"/>
          <w:color w:val="000000"/>
        </w:rPr>
        <w:t xml:space="preserve"> </w:t>
      </w:r>
      <w:r w:rsidRPr="003D109D">
        <w:rPr>
          <w:rStyle w:val="FootnoteReference"/>
          <w:snapToGrid w:val="0"/>
          <w:color w:val="000000"/>
        </w:rPr>
        <w:footnoteReference w:id="69"/>
      </w:r>
      <w:bookmarkEnd w:id="202"/>
      <w:r w:rsidR="00451370">
        <w:rPr>
          <w:snapToGrid w:val="0"/>
          <w:color w:val="000000"/>
        </w:rPr>
        <w:t xml:space="preserve"> illustrates the downwind near wake (cavity recirculation) and far wake (reattachment) associated with building downwash in AERMOD.</w:t>
      </w:r>
      <w:r>
        <w:rPr>
          <w:snapToGrid w:val="0"/>
          <w:color w:val="000000"/>
        </w:rPr>
        <w:t xml:space="preserve">  The structure and distances downwind associated with the wakes are based on the Plume Rise Model Enhancements (PRIME) downwash algorithms.  A complete discussion and evaluation of these algorithms can be found on </w:t>
      </w:r>
      <w:hyperlink r:id="rId137" w:history="1">
        <w:r w:rsidRPr="002B1C3F">
          <w:rPr>
            <w:rStyle w:val="Hyperlink"/>
            <w:snapToGrid w:val="0"/>
          </w:rPr>
          <w:t>SCRAM</w:t>
        </w:r>
      </w:hyperlink>
      <w:r>
        <w:rPr>
          <w:snapToGrid w:val="0"/>
          <w:color w:val="000000"/>
        </w:rPr>
        <w:t xml:space="preserve">.  </w:t>
      </w:r>
      <w:r w:rsidR="007949DA">
        <w:rPr>
          <w:snapToGrid w:val="0"/>
          <w:color w:val="000000"/>
        </w:rPr>
        <w:t>In summary, w</w:t>
      </w:r>
      <w:r>
        <w:rPr>
          <w:snapToGrid w:val="0"/>
          <w:color w:val="000000"/>
        </w:rPr>
        <w:t xml:space="preserve">hen pollutants are emitted from stacks subject to downwash, the emissions can quickly be mixed down to ground level and result in high concentrations.  Models such as AERMOD and AERSCREEN all make calculations of pollutant concentrations in the building wake zone as well as in the cavity region.  </w:t>
      </w:r>
    </w:p>
    <w:p w14:paraId="5D83441F" w14:textId="77777777" w:rsidR="003C2967" w:rsidRDefault="003C2967" w:rsidP="003C2967">
      <w:pPr>
        <w:keepNext/>
        <w:jc w:val="center"/>
      </w:pPr>
      <w:r>
        <w:rPr>
          <w:noProof/>
          <w:color w:val="000000"/>
        </w:rPr>
        <w:drawing>
          <wp:inline distT="0" distB="0" distL="0" distR="0" wp14:anchorId="78D3750A" wp14:editId="1DED3691">
            <wp:extent cx="2978592" cy="2319009"/>
            <wp:effectExtent l="19050" t="19050" r="12258" b="24141"/>
            <wp:docPr id="10" name="Picture 8" descr="near and far Wake in AER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8" descr="near and far Wake in AERMOD"/>
                    <pic:cNvPicPr/>
                  </pic:nvPicPr>
                  <pic:blipFill>
                    <a:blip r:embed="rId138" cstate="print"/>
                    <a:stretch>
                      <a:fillRect/>
                    </a:stretch>
                  </pic:blipFill>
                  <pic:spPr>
                    <a:xfrm>
                      <a:off x="0" y="0"/>
                      <a:ext cx="2979503" cy="2319718"/>
                    </a:xfrm>
                    <a:prstGeom prst="rect">
                      <a:avLst/>
                    </a:prstGeom>
                    <a:ln>
                      <a:solidFill>
                        <a:schemeClr val="tx1"/>
                      </a:solidFill>
                    </a:ln>
                  </pic:spPr>
                </pic:pic>
              </a:graphicData>
            </a:graphic>
          </wp:inline>
        </w:drawing>
      </w:r>
    </w:p>
    <w:p w14:paraId="0FD92F35" w14:textId="1C4B8352" w:rsidR="00D45E91" w:rsidRDefault="003C2967" w:rsidP="00D45E91">
      <w:pPr>
        <w:pStyle w:val="Caption"/>
        <w:spacing w:after="0"/>
        <w:jc w:val="center"/>
      </w:pPr>
      <w:bookmarkStart w:id="203" w:name="_Ref371088121"/>
      <w:bookmarkStart w:id="204" w:name="_Toc360016192"/>
      <w:bookmarkStart w:id="205" w:name="_Toc526778354"/>
      <w:r>
        <w:t xml:space="preserve">Figure </w:t>
      </w:r>
      <w:r w:rsidR="00B560B0">
        <w:rPr>
          <w:noProof/>
        </w:rPr>
        <w:fldChar w:fldCharType="begin"/>
      </w:r>
      <w:r w:rsidR="00B560B0">
        <w:rPr>
          <w:noProof/>
        </w:rPr>
        <w:instrText xml:space="preserve"> SEQ Figure \* ARABIC </w:instrText>
      </w:r>
      <w:r w:rsidR="00B560B0">
        <w:rPr>
          <w:noProof/>
        </w:rPr>
        <w:fldChar w:fldCharType="separate"/>
      </w:r>
      <w:r w:rsidR="00135FFD">
        <w:rPr>
          <w:noProof/>
        </w:rPr>
        <w:t>11</w:t>
      </w:r>
      <w:r w:rsidR="00B560B0">
        <w:rPr>
          <w:noProof/>
        </w:rPr>
        <w:fldChar w:fldCharType="end"/>
      </w:r>
      <w:bookmarkEnd w:id="203"/>
      <w:r>
        <w:t>.  Near and Far Wake in AERMOD</w:t>
      </w:r>
      <w:bookmarkEnd w:id="204"/>
      <w:bookmarkEnd w:id="205"/>
      <w:r w:rsidR="00D45E91">
        <w:t xml:space="preserve"> </w:t>
      </w:r>
    </w:p>
    <w:p w14:paraId="19F4C4D8" w14:textId="77777777" w:rsidR="003C2967" w:rsidRPr="004403A8" w:rsidRDefault="00D45E91" w:rsidP="005A4B00">
      <w:pPr>
        <w:pStyle w:val="Caption"/>
        <w:spacing w:before="0" w:after="240"/>
        <w:jc w:val="center"/>
        <w:rPr>
          <w:sz w:val="20"/>
          <w:szCs w:val="20"/>
        </w:rPr>
      </w:pPr>
      <w:r w:rsidRPr="00D45E91">
        <w:rPr>
          <w:sz w:val="20"/>
          <w:szCs w:val="20"/>
        </w:rPr>
        <w:t>(</w:t>
      </w:r>
      <w:r w:rsidR="004403A8" w:rsidRPr="004403A8">
        <w:rPr>
          <w:snapToGrid w:val="0"/>
          <w:color w:val="000000"/>
          <w:sz w:val="20"/>
          <w:szCs w:val="20"/>
        </w:rPr>
        <w:t xml:space="preserve">Schulman </w:t>
      </w:r>
      <w:r w:rsidR="004403A8" w:rsidRPr="004403A8">
        <w:rPr>
          <w:i/>
          <w:snapToGrid w:val="0"/>
          <w:color w:val="000000"/>
          <w:sz w:val="20"/>
          <w:szCs w:val="20"/>
        </w:rPr>
        <w:t>et al.</w:t>
      </w:r>
      <w:r w:rsidR="004403A8" w:rsidRPr="004403A8">
        <w:rPr>
          <w:snapToGrid w:val="0"/>
          <w:color w:val="000000"/>
          <w:sz w:val="20"/>
          <w:szCs w:val="20"/>
        </w:rPr>
        <w:t>, 2000</w:t>
      </w:r>
      <w:r w:rsidR="004403A8">
        <w:rPr>
          <w:sz w:val="20"/>
          <w:szCs w:val="20"/>
        </w:rPr>
        <w:t xml:space="preserve">; </w:t>
      </w:r>
      <w:r w:rsidRPr="00D45E91">
        <w:rPr>
          <w:sz w:val="20"/>
          <w:szCs w:val="20"/>
        </w:rPr>
        <w:t>reprinted by permission of Taylor and Francis</w:t>
      </w:r>
      <w:r>
        <w:rPr>
          <w:sz w:val="20"/>
          <w:szCs w:val="20"/>
        </w:rPr>
        <w:t>)</w:t>
      </w:r>
      <w:r w:rsidR="000C0EF6">
        <w:fldChar w:fldCharType="begin"/>
      </w:r>
      <w:r w:rsidR="003A4C45">
        <w:instrText xml:space="preserve"> NOTEREF _Ref359418968 \h  \* MERGEFORMAT </w:instrText>
      </w:r>
      <w:r w:rsidR="000C0EF6">
        <w:fldChar w:fldCharType="separate"/>
      </w:r>
      <w:r w:rsidR="00135FFD" w:rsidRPr="00135FFD">
        <w:rPr>
          <w:vertAlign w:val="superscript"/>
        </w:rPr>
        <w:t>69</w:t>
      </w:r>
      <w:r w:rsidR="000C0EF6">
        <w:fldChar w:fldCharType="end"/>
      </w:r>
    </w:p>
    <w:p w14:paraId="5E305BF9" w14:textId="322695CC" w:rsidR="003C2967" w:rsidRDefault="003C2967" w:rsidP="003C2967">
      <w:pPr>
        <w:rPr>
          <w:snapToGrid w:val="0"/>
          <w:color w:val="000000"/>
        </w:rPr>
      </w:pPr>
      <w:r>
        <w:rPr>
          <w:snapToGrid w:val="0"/>
          <w:color w:val="000000"/>
        </w:rPr>
        <w:t xml:space="preserve">EPA has developed </w:t>
      </w:r>
      <w:r w:rsidR="00A32A4D">
        <w:rPr>
          <w:snapToGrid w:val="0"/>
          <w:color w:val="000000"/>
        </w:rPr>
        <w:t xml:space="preserve">guidance </w:t>
      </w:r>
      <w:r>
        <w:rPr>
          <w:snapToGrid w:val="0"/>
          <w:color w:val="000000"/>
        </w:rPr>
        <w:t>for determining the stack heights necessary to prevent or reduce downwash effects, as described in</w:t>
      </w:r>
      <w:r w:rsidR="00A32A4D">
        <w:rPr>
          <w:snapToGrid w:val="0"/>
          <w:color w:val="000000"/>
        </w:rPr>
        <w:t>,</w:t>
      </w:r>
      <w:r>
        <w:rPr>
          <w:snapToGrid w:val="0"/>
          <w:color w:val="000000"/>
        </w:rPr>
        <w:t xml:space="preserve"> </w:t>
      </w:r>
      <w:r w:rsidRPr="00AC5591">
        <w:rPr>
          <w:i/>
          <w:snapToGrid w:val="0"/>
          <w:color w:val="000000"/>
        </w:rPr>
        <w:t>Guidelines for Determining Good Engineering Practice (GEP) Stack Height</w:t>
      </w:r>
      <w:r>
        <w:rPr>
          <w:snapToGrid w:val="0"/>
          <w:color w:val="000000"/>
        </w:rPr>
        <w:t xml:space="preserve">, </w:t>
      </w:r>
      <w:hyperlink r:id="rId139" w:history="1">
        <w:r w:rsidRPr="004403A8">
          <w:rPr>
            <w:rStyle w:val="Hyperlink"/>
            <w:snapToGrid w:val="0"/>
          </w:rPr>
          <w:t>EPA-450/4-80-023R</w:t>
        </w:r>
      </w:hyperlink>
      <w:r>
        <w:rPr>
          <w:snapToGrid w:val="0"/>
          <w:color w:val="000000"/>
        </w:rPr>
        <w:t xml:space="preserve">.  The GEP stack height is defined as the greater of:  1) a “de minimis” 65-meter height above ground level, or 2) for stacks in existence on January 12, 1979, 2.5 times the height of any nearby influencing structure, or 3) the height plus 1.5L of any influencing structure (with “L” as defined above).  The definition of “nearby influencing structure” is when the structure is located within 5L downwind, 2L upwind, or 0.5L crosswind from the stack, as illustrated in </w:t>
      </w:r>
      <w:r w:rsidR="000C0EF6">
        <w:rPr>
          <w:snapToGrid w:val="0"/>
          <w:color w:val="000000"/>
        </w:rPr>
        <w:fldChar w:fldCharType="begin"/>
      </w:r>
      <w:r w:rsidR="003D109D">
        <w:rPr>
          <w:snapToGrid w:val="0"/>
          <w:color w:val="000000"/>
        </w:rPr>
        <w:instrText xml:space="preserve"> REF _Ref359863142 \h </w:instrText>
      </w:r>
      <w:r w:rsidR="000C0EF6">
        <w:rPr>
          <w:snapToGrid w:val="0"/>
          <w:color w:val="000000"/>
        </w:rPr>
      </w:r>
      <w:r w:rsidR="000C0EF6">
        <w:rPr>
          <w:snapToGrid w:val="0"/>
          <w:color w:val="000000"/>
        </w:rPr>
        <w:fldChar w:fldCharType="separate"/>
      </w:r>
      <w:r w:rsidR="00135FFD">
        <w:t xml:space="preserve">Figure </w:t>
      </w:r>
      <w:r w:rsidR="00135FFD">
        <w:rPr>
          <w:noProof/>
        </w:rPr>
        <w:t>12</w:t>
      </w:r>
      <w:r w:rsidR="000C0EF6">
        <w:rPr>
          <w:snapToGrid w:val="0"/>
          <w:color w:val="000000"/>
        </w:rPr>
        <w:fldChar w:fldCharType="end"/>
      </w:r>
      <w:r>
        <w:rPr>
          <w:snapToGrid w:val="0"/>
          <w:color w:val="000000"/>
        </w:rPr>
        <w:t xml:space="preserve">.  Most stacks in </w:t>
      </w:r>
      <w:smartTag w:uri="urn:schemas-microsoft-com:office:smarttags" w:element="State">
        <w:smartTag w:uri="urn:schemas-microsoft-com:office:smarttags" w:element="place">
          <w:r>
            <w:rPr>
              <w:snapToGrid w:val="0"/>
              <w:color w:val="000000"/>
            </w:rPr>
            <w:t>Alaska</w:t>
          </w:r>
        </w:smartTag>
      </w:smartTag>
      <w:r>
        <w:rPr>
          <w:snapToGrid w:val="0"/>
          <w:color w:val="000000"/>
        </w:rPr>
        <w:t xml:space="preserve"> are below formula GEP.  </w:t>
      </w:r>
    </w:p>
    <w:p w14:paraId="00454091" w14:textId="77777777" w:rsidR="008F7273" w:rsidRDefault="003C2967" w:rsidP="008F7273">
      <w:pPr>
        <w:pStyle w:val="PlainText"/>
        <w:keepNext/>
        <w:jc w:val="center"/>
      </w:pPr>
      <w:r>
        <w:rPr>
          <w:noProof/>
        </w:rPr>
        <w:lastRenderedPageBreak/>
        <w:drawing>
          <wp:inline distT="0" distB="0" distL="0" distR="0" wp14:anchorId="5BBE8E8E" wp14:editId="54F7F2B9">
            <wp:extent cx="4305300" cy="1714500"/>
            <wp:effectExtent l="19050" t="19050" r="19050" b="19050"/>
            <wp:docPr id="11" name="Picture 2" descr="plan view of area of influence of building wake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plan view of area of influence of building wake effects"/>
                    <pic:cNvPicPr/>
                  </pic:nvPicPr>
                  <pic:blipFill>
                    <a:blip r:embed="rId140" cstate="print"/>
                    <a:stretch>
                      <a:fillRect/>
                    </a:stretch>
                  </pic:blipFill>
                  <pic:spPr>
                    <a:xfrm>
                      <a:off x="0" y="0"/>
                      <a:ext cx="4305300" cy="1714500"/>
                    </a:xfrm>
                    <a:prstGeom prst="rect">
                      <a:avLst/>
                    </a:prstGeom>
                    <a:ln>
                      <a:solidFill>
                        <a:schemeClr val="tx1"/>
                      </a:solidFill>
                    </a:ln>
                  </pic:spPr>
                </pic:pic>
              </a:graphicData>
            </a:graphic>
          </wp:inline>
        </w:drawing>
      </w:r>
    </w:p>
    <w:p w14:paraId="7BCABDBC" w14:textId="05DE5391" w:rsidR="003C2967" w:rsidRDefault="008F7273" w:rsidP="00871D9D">
      <w:pPr>
        <w:pStyle w:val="Caption"/>
        <w:spacing w:after="240"/>
        <w:jc w:val="center"/>
      </w:pPr>
      <w:bookmarkStart w:id="206" w:name="_Ref359863142"/>
      <w:bookmarkStart w:id="207" w:name="_Toc360016193"/>
      <w:bookmarkStart w:id="208" w:name="_Toc526778355"/>
      <w:r>
        <w:t xml:space="preserve">Figure </w:t>
      </w:r>
      <w:r w:rsidR="00B560B0">
        <w:rPr>
          <w:noProof/>
        </w:rPr>
        <w:fldChar w:fldCharType="begin"/>
      </w:r>
      <w:r w:rsidR="00B560B0">
        <w:rPr>
          <w:noProof/>
        </w:rPr>
        <w:instrText xml:space="preserve"> SEQ Figure \* ARABIC </w:instrText>
      </w:r>
      <w:r w:rsidR="00B560B0">
        <w:rPr>
          <w:noProof/>
        </w:rPr>
        <w:fldChar w:fldCharType="separate"/>
      </w:r>
      <w:r w:rsidR="00135FFD">
        <w:rPr>
          <w:noProof/>
        </w:rPr>
        <w:t>12</w:t>
      </w:r>
      <w:r w:rsidR="00B560B0">
        <w:rPr>
          <w:noProof/>
        </w:rPr>
        <w:fldChar w:fldCharType="end"/>
      </w:r>
      <w:bookmarkEnd w:id="206"/>
      <w:r>
        <w:t xml:space="preserve">. </w:t>
      </w:r>
      <w:r w:rsidR="00811CEA">
        <w:t xml:space="preserve"> </w:t>
      </w:r>
      <w:r>
        <w:t>Plan View of Area of Influence of Building Wake Effects</w:t>
      </w:r>
      <w:bookmarkEnd w:id="207"/>
      <w:bookmarkEnd w:id="208"/>
    </w:p>
    <w:p w14:paraId="2BDDC4F1" w14:textId="77777777" w:rsidR="003C2967" w:rsidRDefault="00AD5C0A" w:rsidP="003C2967">
      <w:pPr>
        <w:pStyle w:val="Heading3"/>
      </w:pPr>
      <w:bookmarkStart w:id="209" w:name="_GEP_and_BPIPPRM"/>
      <w:bookmarkEnd w:id="209"/>
      <w:r>
        <w:tab/>
      </w:r>
      <w:bookmarkStart w:id="210" w:name="_Toc526778277"/>
      <w:r w:rsidR="003C2967">
        <w:t>GEP and BPIPPRM Analyses</w:t>
      </w:r>
      <w:bookmarkEnd w:id="210"/>
    </w:p>
    <w:p w14:paraId="75D92C23" w14:textId="215B5A6F" w:rsidR="003C2967" w:rsidRDefault="00934EB4" w:rsidP="003C2967">
      <w:r>
        <w:t xml:space="preserve">The following discussion provides additional aspects of the building and </w:t>
      </w:r>
      <w:r w:rsidR="00BC634A">
        <w:t>EU</w:t>
      </w:r>
      <w:r>
        <w:t xml:space="preserve"> review discussed in </w:t>
      </w:r>
      <w:hyperlink w:anchor="_Layout_of_Emission" w:history="1">
        <w:r w:rsidRPr="00451370">
          <w:rPr>
            <w:rStyle w:val="Hyperlink"/>
          </w:rPr>
          <w:t xml:space="preserve">Section </w:t>
        </w:r>
        <w:r w:rsidR="00451370" w:rsidRPr="00451370">
          <w:rPr>
            <w:rStyle w:val="Hyperlink"/>
          </w:rPr>
          <w:t>2.3.2</w:t>
        </w:r>
      </w:hyperlink>
      <w:r>
        <w:t xml:space="preserve">.  </w:t>
      </w:r>
      <w:r w:rsidR="003C2967">
        <w:t>A GEP review must be conducted for each modeled point source to determine if building downwash effects need to be included in the analysis, and to determine the appropriate stack heights to be used with the model(s).  Because the calculations for determining GEP can be cumbersome, EPA developed the Building Profile Input Program for PRIME (</w:t>
      </w:r>
      <w:r w:rsidR="002B1C3F" w:rsidRPr="00A0694B">
        <w:t>BPIPPRM</w:t>
      </w:r>
      <w:r w:rsidR="005063AA">
        <w:rPr>
          <w:rStyle w:val="FootnoteReference"/>
        </w:rPr>
        <w:footnoteReference w:id="70"/>
      </w:r>
      <w:r w:rsidR="003C2967">
        <w:t>) for use with AERMOD.</w:t>
      </w:r>
      <w:r w:rsidR="003C2967">
        <w:rPr>
          <w:rStyle w:val="FootnoteReference"/>
        </w:rPr>
        <w:footnoteReference w:id="71"/>
      </w:r>
      <w:r w:rsidR="003C2967">
        <w:t xml:space="preserve">  The input data to BPIP</w:t>
      </w:r>
      <w:r w:rsidR="00BE6374">
        <w:t>PRM</w:t>
      </w:r>
      <w:r w:rsidR="003C2967">
        <w:t xml:space="preserve"> includes the coordinates of each structure and stack, the base elevation of each structure and stack, and the heights of each structure and stack.  The program then determines the GEP stack height for each stack based on </w:t>
      </w:r>
      <w:r w:rsidR="003C2967">
        <w:rPr>
          <w:snapToGrid w:val="0"/>
          <w:color w:val="000000"/>
        </w:rPr>
        <w:t xml:space="preserve">the GEP formula height (BPIPPRM also outputs </w:t>
      </w:r>
      <w:r w:rsidR="003C2967">
        <w:t>direction specific building dimensions that can be used to model downwash effects).  The GEP determined stack height is the maximum height that can be used or “credited” in the modeling analyses.</w:t>
      </w:r>
    </w:p>
    <w:p w14:paraId="277F2BB5" w14:textId="3AAF8BF4" w:rsidR="003C2967" w:rsidRDefault="003C2967" w:rsidP="003C2967">
      <w:pPr>
        <w:rPr>
          <w:lang w:val="en-CA"/>
        </w:rPr>
      </w:pPr>
      <w:r>
        <w:rPr>
          <w:lang w:val="en-CA"/>
        </w:rPr>
        <w:t xml:space="preserve">If a stack is below formula GEP (which is the typical case in Alaska), the potential for downwash exists and the modeling analysis must consider these effects.  The air quality models that can assess downwash effects include AERSCREEN, AERMOD and CALPUFF.  These models contain the Plume Rise Model Enhancement (PRIME) downwash algorithms.  </w:t>
      </w:r>
    </w:p>
    <w:p w14:paraId="54BC954C" w14:textId="77777777" w:rsidR="003C2967" w:rsidRDefault="003C2967" w:rsidP="003C2967">
      <w:r>
        <w:rPr>
          <w:lang w:val="en-CA"/>
        </w:rPr>
        <w:t xml:space="preserve">For AERMOD and CALPUFF, </w:t>
      </w:r>
      <w:r>
        <w:t>direction specific building dimensions are used in the model input files. For AERSCREEN building information can be input in two ways for a single source: 1) by entering the minimum and maximum building dimensions, orientation to north, and distance of the stack to the center of the building for</w:t>
      </w:r>
      <w:r>
        <w:rPr>
          <w:sz w:val="23"/>
          <w:szCs w:val="23"/>
        </w:rPr>
        <w:t xml:space="preserve"> a single tier rectangular, or 2) </w:t>
      </w:r>
      <w:r>
        <w:t xml:space="preserve">reading and processing a pre-existing BPIPPRM input file. </w:t>
      </w:r>
    </w:p>
    <w:p w14:paraId="61B85694" w14:textId="77777777" w:rsidR="003C2967" w:rsidRDefault="003C2967" w:rsidP="003C2967">
      <w:r>
        <w:t>It is critical to check the BPIP</w:t>
      </w:r>
      <w:r w:rsidR="00BE6374">
        <w:t>PRM</w:t>
      </w:r>
      <w:r>
        <w:t xml:space="preserve"> file for consistency with site plans and proposed stack heights. </w:t>
      </w:r>
    </w:p>
    <w:p w14:paraId="77DE6106" w14:textId="77777777" w:rsidR="001E5267" w:rsidRDefault="003C2967">
      <w:pPr>
        <w:keepNext/>
        <w:spacing w:after="120"/>
      </w:pPr>
      <w:r>
        <w:lastRenderedPageBreak/>
        <w:t xml:space="preserve"> The following review steps are recommended:</w:t>
      </w:r>
    </w:p>
    <w:p w14:paraId="293D2DA6" w14:textId="1D270601" w:rsidR="003C2967" w:rsidRDefault="003C2967" w:rsidP="00964D75">
      <w:pPr>
        <w:pStyle w:val="CheckReminder"/>
      </w:pPr>
      <w:r>
        <w:t xml:space="preserve">Using the BPIPPRM input file, generate a plot that shows the building locations and stack locations. Compare the plot to the site plan or aerial photo provided by the applicant.  See </w:t>
      </w:r>
      <w:r w:rsidR="00A57288">
        <w:fldChar w:fldCharType="begin"/>
      </w:r>
      <w:r w:rsidR="00A57288">
        <w:instrText xml:space="preserve"> REF _Ref371088200 \h </w:instrText>
      </w:r>
      <w:r w:rsidR="00A57288">
        <w:fldChar w:fldCharType="separate"/>
      </w:r>
      <w:r w:rsidR="00135FFD">
        <w:t xml:space="preserve">Figure </w:t>
      </w:r>
      <w:r w:rsidR="00135FFD">
        <w:rPr>
          <w:noProof/>
        </w:rPr>
        <w:t>13</w:t>
      </w:r>
      <w:r w:rsidR="00A57288">
        <w:fldChar w:fldCharType="end"/>
      </w:r>
      <w:r w:rsidR="0021763C">
        <w:t xml:space="preserve"> </w:t>
      </w:r>
      <w:r>
        <w:t xml:space="preserve">and </w:t>
      </w:r>
      <w:r w:rsidR="00A57288">
        <w:fldChar w:fldCharType="begin"/>
      </w:r>
      <w:r w:rsidR="00A57288">
        <w:instrText xml:space="preserve"> REF _Ref371088210 \h </w:instrText>
      </w:r>
      <w:r w:rsidR="00A57288">
        <w:fldChar w:fldCharType="separate"/>
      </w:r>
      <w:r w:rsidR="00135FFD">
        <w:t xml:space="preserve">Figure </w:t>
      </w:r>
      <w:r w:rsidR="00135FFD">
        <w:rPr>
          <w:noProof/>
        </w:rPr>
        <w:t>14</w:t>
      </w:r>
      <w:r w:rsidR="00A57288">
        <w:fldChar w:fldCharType="end"/>
      </w:r>
      <w:r>
        <w:t xml:space="preserve"> for an example of an aerial photograph and the representation </w:t>
      </w:r>
      <w:r w:rsidR="002A59F8">
        <w:t>of the applicant’s characterization of the modeled stacks and buildings using a</w:t>
      </w:r>
      <w:r>
        <w:t xml:space="preserve"> third</w:t>
      </w:r>
      <w:r w:rsidR="002A59F8">
        <w:t xml:space="preserve"> </w:t>
      </w:r>
      <w:r>
        <w:t xml:space="preserve">party </w:t>
      </w:r>
      <w:r w:rsidR="002A59F8">
        <w:t>GUI</w:t>
      </w:r>
      <w:r>
        <w:t>.</w:t>
      </w:r>
    </w:p>
    <w:p w14:paraId="2B0D068F" w14:textId="77777777" w:rsidR="003C2967" w:rsidRDefault="003C2967" w:rsidP="003C2967">
      <w:r>
        <w:t>The applicant may omit small buildings/structures from the BPIPPRM input file as these structures may not contribute to downwash effects.  Also note that if plant north is different than true north, the BPIPPRM input file must include a rotation angle.  One other note, the plant coordinate system may be different than the modeling coordinate system.  This is perfectly acceptable so long as plot generated by reviewer matches the plot plan provided by the applicant.</w:t>
      </w:r>
    </w:p>
    <w:tbl>
      <w:tblPr>
        <w:tblStyle w:val="TableGrid"/>
        <w:tblW w:w="8815" w:type="dxa"/>
        <w:tblBorders>
          <w:insideH w:val="none" w:sz="0" w:space="0" w:color="auto"/>
        </w:tblBorders>
        <w:tblLook w:val="04A0" w:firstRow="1" w:lastRow="0" w:firstColumn="1" w:lastColumn="0" w:noHBand="0" w:noVBand="1"/>
      </w:tblPr>
      <w:tblGrid>
        <w:gridCol w:w="4686"/>
        <w:gridCol w:w="4129"/>
      </w:tblGrid>
      <w:tr w:rsidR="003C2967" w14:paraId="2821AF5D" w14:textId="77777777" w:rsidTr="00272EF2">
        <w:trPr>
          <w:trHeight w:hRule="exact" w:val="3475"/>
        </w:trPr>
        <w:tc>
          <w:tcPr>
            <w:tcW w:w="4601" w:type="dxa"/>
          </w:tcPr>
          <w:p w14:paraId="2DC159D7" w14:textId="536EB13B" w:rsidR="007647F3" w:rsidRDefault="00FB2C91" w:rsidP="007647F3">
            <w:pPr>
              <w:keepNext/>
              <w:spacing w:before="120" w:after="0"/>
            </w:pPr>
            <w:r>
              <w:object w:dxaOrig="11520" w:dyaOrig="6030" w14:anchorId="33A2A254">
                <v:shape id="_x0000_i1041" type="#_x0000_t75" alt="aerial view of an applicant's stationary source" style="width:223.5pt;height:115.15pt" o:ole="">
                  <v:imagedata r:id="rId141" o:title=""/>
                </v:shape>
                <o:OLEObject Type="Embed" ProgID="PBrush" ShapeID="_x0000_i1041" DrawAspect="Content" ObjectID="_1837838084" r:id="rId142"/>
              </w:object>
            </w:r>
          </w:p>
          <w:p w14:paraId="6DA0684A" w14:textId="6D0C4D64" w:rsidR="003C2967" w:rsidRPr="00575825" w:rsidRDefault="007647F3" w:rsidP="007647F3">
            <w:pPr>
              <w:pStyle w:val="Caption"/>
            </w:pPr>
            <w:bookmarkStart w:id="211" w:name="_Ref371088200"/>
            <w:bookmarkStart w:id="212" w:name="_Toc360016194"/>
            <w:bookmarkStart w:id="213" w:name="_Toc526778356"/>
            <w:r>
              <w:t xml:space="preserve">Figure </w:t>
            </w:r>
            <w:r w:rsidR="00B560B0">
              <w:rPr>
                <w:noProof/>
              </w:rPr>
              <w:fldChar w:fldCharType="begin"/>
            </w:r>
            <w:r w:rsidR="00B560B0">
              <w:rPr>
                <w:noProof/>
              </w:rPr>
              <w:instrText xml:space="preserve"> SEQ Figure \* ARABIC </w:instrText>
            </w:r>
            <w:r w:rsidR="00B560B0">
              <w:rPr>
                <w:noProof/>
              </w:rPr>
              <w:fldChar w:fldCharType="separate"/>
            </w:r>
            <w:r w:rsidR="00135FFD">
              <w:rPr>
                <w:noProof/>
              </w:rPr>
              <w:t>13</w:t>
            </w:r>
            <w:r w:rsidR="00B560B0">
              <w:rPr>
                <w:noProof/>
              </w:rPr>
              <w:fldChar w:fldCharType="end"/>
            </w:r>
            <w:bookmarkEnd w:id="211"/>
            <w:r>
              <w:t xml:space="preserve">.  </w:t>
            </w:r>
            <w:r w:rsidRPr="002573CC">
              <w:t>Aerial View of an Applicant’s Stationary Source</w:t>
            </w:r>
            <w:bookmarkEnd w:id="212"/>
            <w:bookmarkEnd w:id="213"/>
          </w:p>
        </w:tc>
        <w:tc>
          <w:tcPr>
            <w:tcW w:w="4214" w:type="dxa"/>
          </w:tcPr>
          <w:p w14:paraId="3DCDE142" w14:textId="7BE01DB0" w:rsidR="007647F3" w:rsidRDefault="00FB2C91" w:rsidP="007647F3">
            <w:pPr>
              <w:keepNext/>
              <w:spacing w:before="120" w:after="120"/>
            </w:pPr>
            <w:r>
              <w:object w:dxaOrig="18045" w:dyaOrig="8835" w14:anchorId="013A3574">
                <v:shape id="_x0000_i1042" type="#_x0000_t75" alt="visualization of an applicant's characterization of the structures and emission units" style="width:194pt;height:115.3pt" o:ole="" o:bordertopcolor="this" o:borderleftcolor="this" o:borderbottomcolor="this" o:borderrightcolor="this">
                  <v:imagedata r:id="rId143" o:title=""/>
                  <w10:bordertop type="single" width="4"/>
                  <w10:borderleft type="single" width="4"/>
                  <w10:borderbottom type="single" width="4"/>
                  <w10:borderright type="single" width="4"/>
                </v:shape>
                <o:OLEObject Type="Embed" ProgID="PBrush" ShapeID="_x0000_i1042" DrawAspect="Content" ObjectID="_1837838085" r:id="rId144"/>
              </w:object>
            </w:r>
          </w:p>
          <w:p w14:paraId="1E477CEA" w14:textId="165A505D" w:rsidR="007647F3" w:rsidRDefault="007647F3" w:rsidP="007647F3">
            <w:pPr>
              <w:pStyle w:val="Caption"/>
            </w:pPr>
            <w:bookmarkStart w:id="214" w:name="_Ref371088210"/>
            <w:bookmarkStart w:id="215" w:name="_Toc526778357"/>
            <w:bookmarkStart w:id="216" w:name="_Toc360016195"/>
            <w:r>
              <w:t xml:space="preserve">Figure </w:t>
            </w:r>
            <w:r w:rsidR="00B560B0">
              <w:rPr>
                <w:noProof/>
              </w:rPr>
              <w:fldChar w:fldCharType="begin"/>
            </w:r>
            <w:r w:rsidR="00B560B0">
              <w:rPr>
                <w:noProof/>
              </w:rPr>
              <w:instrText xml:space="preserve"> SEQ Figure \* ARABIC </w:instrText>
            </w:r>
            <w:r w:rsidR="00B560B0">
              <w:rPr>
                <w:noProof/>
              </w:rPr>
              <w:fldChar w:fldCharType="separate"/>
            </w:r>
            <w:r w:rsidR="00135FFD">
              <w:rPr>
                <w:noProof/>
              </w:rPr>
              <w:t>14</w:t>
            </w:r>
            <w:r w:rsidR="00B560B0">
              <w:rPr>
                <w:noProof/>
              </w:rPr>
              <w:fldChar w:fldCharType="end"/>
            </w:r>
            <w:bookmarkEnd w:id="214"/>
            <w:r>
              <w:t xml:space="preserve">.  </w:t>
            </w:r>
            <w:r w:rsidRPr="00622573">
              <w:t xml:space="preserve">Visualization of an Applicant’s Characterization of </w:t>
            </w:r>
            <w:r w:rsidR="007F2106">
              <w:t xml:space="preserve">the </w:t>
            </w:r>
            <w:r w:rsidRPr="00622573">
              <w:t>Structures</w:t>
            </w:r>
            <w:r w:rsidR="00FF6D8F">
              <w:t xml:space="preserve"> and </w:t>
            </w:r>
            <w:r w:rsidR="00BC634A">
              <w:t>EU</w:t>
            </w:r>
            <w:r w:rsidR="00FF6D8F">
              <w:t>s</w:t>
            </w:r>
            <w:bookmarkEnd w:id="215"/>
            <w:r w:rsidR="00FF6D8F">
              <w:t xml:space="preserve"> </w:t>
            </w:r>
            <w:bookmarkEnd w:id="216"/>
          </w:p>
          <w:p w14:paraId="378FF1FA" w14:textId="77777777" w:rsidR="007647F3" w:rsidRDefault="007647F3" w:rsidP="007647F3">
            <w:pPr>
              <w:pStyle w:val="Caption"/>
            </w:pPr>
          </w:p>
          <w:p w14:paraId="2842DCE9" w14:textId="77777777" w:rsidR="003C2967" w:rsidRPr="00575825" w:rsidRDefault="003C2967" w:rsidP="007647F3">
            <w:pPr>
              <w:pStyle w:val="Caption"/>
            </w:pPr>
          </w:p>
        </w:tc>
      </w:tr>
    </w:tbl>
    <w:p w14:paraId="2F5138A9" w14:textId="77777777" w:rsidR="003C2967" w:rsidRDefault="003C2967" w:rsidP="00A37514">
      <w:pPr>
        <w:spacing w:before="240"/>
      </w:pPr>
      <w:r>
        <w:t xml:space="preserve">The BPIPPRM input also requires building base elevation and stack base elevation.  </w:t>
      </w:r>
    </w:p>
    <w:p w14:paraId="59F775DF" w14:textId="77777777" w:rsidR="003C2967" w:rsidRDefault="003C2967" w:rsidP="00964D75">
      <w:pPr>
        <w:pStyle w:val="CheckReminder"/>
      </w:pPr>
      <w:r>
        <w:t xml:space="preserve">Check the base elevations of the buildings and stacks in the BPIPPRM file.  </w:t>
      </w:r>
    </w:p>
    <w:p w14:paraId="0571DAFC" w14:textId="77777777" w:rsidR="003C2967" w:rsidRDefault="003C2967" w:rsidP="003C2967">
      <w:r>
        <w:t xml:space="preserve">In most instances, stack base elevations and building base elevations are identical, which essentially allows modelers to use either zero (0) elevation, or the actual plant elevation, when running BPIPPRM.  Both approaches provide identical results when running the SCRAM version of BPIPPRM.  However, the use of zero-meter elevations can lead to errors in the BEEST GUI, since BEEST uses the stack base elevation provided in the AERMOD input file, rather than the stack base elevations provided in the BPIPPRM file.  </w:t>
      </w:r>
      <w:r w:rsidRPr="00272E93">
        <w:rPr>
          <w:b/>
          <w:i/>
        </w:rPr>
        <w:t>For this reason, ADEC encourages applicants to use the actual building and stack elevations in the BPIP</w:t>
      </w:r>
      <w:r>
        <w:rPr>
          <w:b/>
          <w:i/>
        </w:rPr>
        <w:t>PRM</w:t>
      </w:r>
      <w:r w:rsidRPr="00272E93">
        <w:rPr>
          <w:b/>
          <w:i/>
        </w:rPr>
        <w:t xml:space="preserve"> analysis</w:t>
      </w:r>
      <w:r w:rsidRPr="00272E93">
        <w:rPr>
          <w:b/>
        </w:rPr>
        <w:t xml:space="preserve">. </w:t>
      </w:r>
    </w:p>
    <w:p w14:paraId="7BEAA965" w14:textId="77777777" w:rsidR="003C2967" w:rsidRDefault="003C2967" w:rsidP="003C2967">
      <w:r w:rsidRPr="00DC2C5D">
        <w:rPr>
          <w:u w:val="single"/>
        </w:rPr>
        <w:t>Note</w:t>
      </w:r>
      <w:proofErr w:type="gramStart"/>
      <w:r>
        <w:t>:  You</w:t>
      </w:r>
      <w:proofErr w:type="gramEnd"/>
      <w:r>
        <w:t xml:space="preserve"> will need to take one of the following two approaches if you wish to verify the BPIPPRM results from an applicant who used zero-meter elevations in the BPIPPRM file:</w:t>
      </w:r>
    </w:p>
    <w:p w14:paraId="74717C34" w14:textId="17C44996" w:rsidR="003C2967" w:rsidRDefault="003C2967" w:rsidP="00407F48">
      <w:pPr>
        <w:numPr>
          <w:ilvl w:val="0"/>
          <w:numId w:val="1"/>
        </w:numPr>
      </w:pPr>
      <w:r>
        <w:t xml:space="preserve">Approach </w:t>
      </w:r>
      <w:proofErr w:type="gramStart"/>
      <w:r>
        <w:t>1  –</w:t>
      </w:r>
      <w:proofErr w:type="gramEnd"/>
      <w:r>
        <w:t xml:space="preserve"> enter the actual building base elevations in the BPIPPRM input file (copy the BPIPPRM input file first – do not edit original files!) and use </w:t>
      </w:r>
      <w:r w:rsidR="008E7F21">
        <w:t xml:space="preserve">the </w:t>
      </w:r>
      <w:proofErr w:type="gramStart"/>
      <w:r w:rsidR="008E7F21">
        <w:t>third</w:t>
      </w:r>
      <w:r w:rsidR="002A59F8">
        <w:t xml:space="preserve"> </w:t>
      </w:r>
      <w:r w:rsidR="008E7F21">
        <w:t>party</w:t>
      </w:r>
      <w:proofErr w:type="gramEnd"/>
      <w:r w:rsidR="008E7F21">
        <w:t xml:space="preserve"> </w:t>
      </w:r>
      <w:r w:rsidR="002A59F8">
        <w:t>GUI</w:t>
      </w:r>
      <w:r w:rsidR="008E7F21">
        <w:t xml:space="preserve"> of your choice </w:t>
      </w:r>
      <w:r>
        <w:t>to rerun the BPIPPRM analysis; or</w:t>
      </w:r>
    </w:p>
    <w:p w14:paraId="40B6C21D" w14:textId="77777777" w:rsidR="003C2967" w:rsidRDefault="003C2967" w:rsidP="00407F48">
      <w:pPr>
        <w:numPr>
          <w:ilvl w:val="0"/>
          <w:numId w:val="1"/>
        </w:numPr>
      </w:pPr>
      <w:r>
        <w:lastRenderedPageBreak/>
        <w:t>Approach 2 – run the SCRAM version of BPIPPRM using -</w:t>
      </w:r>
      <w:r w:rsidR="005E3578">
        <w:t xml:space="preserve"> </w:t>
      </w:r>
      <w:r>
        <w:t xml:space="preserve">using a Command Window and running it from the command prompt.  </w:t>
      </w:r>
    </w:p>
    <w:p w14:paraId="3E41A9AD" w14:textId="77777777" w:rsidR="003C2967" w:rsidRDefault="003C2967" w:rsidP="003C2967">
      <w:r>
        <w:t>The applicant may characterize buildings with pitched roofs or multiple rooflines as tiered structures.  One acceptable method is to assign the building as a multi-tiered structure in BPIP</w:t>
      </w:r>
      <w:r w:rsidR="00BE6374">
        <w:t>PRM</w:t>
      </w:r>
      <w:r>
        <w:t xml:space="preserve"> and assign each tier as a separate height.  Another method is to list each tier as a separate structure independent of the original, so long as the tier height is identical to the building height at the location of that tier.</w:t>
      </w:r>
    </w:p>
    <w:p w14:paraId="78173533" w14:textId="77777777" w:rsidR="003C2967" w:rsidRDefault="003C2967" w:rsidP="003C2967">
      <w:r>
        <w:t xml:space="preserve">In some instances, the applicant may conservatively characterize pitched roofs by assuming that the entire horizontal dimensions are covered by a flat roof at the elevation of the peak of the pitched roof.  An acceptable alternative is to assume a building height ½ the distance up the pitched roof and the corresponding horizontal dimensions below that 'roof' (i.e., one horizontal dimension would also be halved), as shown in </w:t>
      </w:r>
      <w:r w:rsidR="000C0EF6">
        <w:fldChar w:fldCharType="begin"/>
      </w:r>
      <w:r w:rsidR="0043025A">
        <w:instrText xml:space="preserve"> REF _Ref359863205 \h </w:instrText>
      </w:r>
      <w:r w:rsidR="000C0EF6">
        <w:fldChar w:fldCharType="separate"/>
      </w:r>
      <w:r w:rsidR="00135FFD">
        <w:t xml:space="preserve">Figure </w:t>
      </w:r>
      <w:r w:rsidR="00135FFD">
        <w:rPr>
          <w:noProof/>
        </w:rPr>
        <w:t>15</w:t>
      </w:r>
      <w:r w:rsidR="000C0EF6">
        <w:fldChar w:fldCharType="end"/>
      </w:r>
      <w:r w:rsidR="005E3578">
        <w:t xml:space="preserve"> </w:t>
      </w:r>
      <w:r>
        <w:t>below</w:t>
      </w:r>
      <w:r w:rsidRPr="006811A4">
        <w:t>.</w:t>
      </w:r>
    </w:p>
    <w:p w14:paraId="2D60E030" w14:textId="77777777" w:rsidR="00347140" w:rsidRDefault="003C2967" w:rsidP="00347140">
      <w:pPr>
        <w:keepNext/>
        <w:jc w:val="center"/>
      </w:pPr>
      <w:r>
        <w:rPr>
          <w:noProof/>
        </w:rPr>
        <w:drawing>
          <wp:inline distT="0" distB="0" distL="0" distR="0" wp14:anchorId="31215AD0" wp14:editId="7BB5B743">
            <wp:extent cx="3800475" cy="1419225"/>
            <wp:effectExtent l="19050" t="19050" r="28575" b="28575"/>
            <wp:docPr id="12" name="Picture 1" descr="illustration of pitched roof re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illustration of pitched roof representation"/>
                    <pic:cNvPicPr/>
                  </pic:nvPicPr>
                  <pic:blipFill>
                    <a:blip r:embed="rId145" cstate="print"/>
                    <a:stretch>
                      <a:fillRect/>
                    </a:stretch>
                  </pic:blipFill>
                  <pic:spPr>
                    <a:xfrm>
                      <a:off x="0" y="0"/>
                      <a:ext cx="3800475" cy="1419225"/>
                    </a:xfrm>
                    <a:prstGeom prst="rect">
                      <a:avLst/>
                    </a:prstGeom>
                    <a:ln>
                      <a:solidFill>
                        <a:schemeClr val="tx1"/>
                      </a:solidFill>
                    </a:ln>
                  </pic:spPr>
                </pic:pic>
              </a:graphicData>
            </a:graphic>
          </wp:inline>
        </w:drawing>
      </w:r>
    </w:p>
    <w:p w14:paraId="7885523F" w14:textId="594BE246" w:rsidR="003C2967" w:rsidRDefault="00347140" w:rsidP="00964D75">
      <w:pPr>
        <w:pStyle w:val="Caption"/>
        <w:spacing w:after="240"/>
        <w:jc w:val="center"/>
      </w:pPr>
      <w:bookmarkStart w:id="217" w:name="_Ref359863205"/>
      <w:bookmarkStart w:id="218" w:name="_Toc360016196"/>
      <w:bookmarkStart w:id="219" w:name="_Toc526778358"/>
      <w:r>
        <w:t xml:space="preserve">Figure </w:t>
      </w:r>
      <w:r w:rsidR="00B560B0">
        <w:rPr>
          <w:noProof/>
        </w:rPr>
        <w:fldChar w:fldCharType="begin"/>
      </w:r>
      <w:r w:rsidR="00B560B0">
        <w:rPr>
          <w:noProof/>
        </w:rPr>
        <w:instrText xml:space="preserve"> SEQ Figure \* ARABIC </w:instrText>
      </w:r>
      <w:r w:rsidR="00B560B0">
        <w:rPr>
          <w:noProof/>
        </w:rPr>
        <w:fldChar w:fldCharType="separate"/>
      </w:r>
      <w:r w:rsidR="00135FFD">
        <w:rPr>
          <w:noProof/>
        </w:rPr>
        <w:t>15</w:t>
      </w:r>
      <w:r w:rsidR="00B560B0">
        <w:rPr>
          <w:noProof/>
        </w:rPr>
        <w:fldChar w:fldCharType="end"/>
      </w:r>
      <w:bookmarkEnd w:id="217"/>
      <w:r>
        <w:t xml:space="preserve">. </w:t>
      </w:r>
      <w:r w:rsidR="00811CEA">
        <w:t xml:space="preserve"> </w:t>
      </w:r>
      <w:r>
        <w:t>Illustration of Pitched Roof Representations in BPIPPRM</w:t>
      </w:r>
      <w:bookmarkEnd w:id="218"/>
      <w:bookmarkEnd w:id="219"/>
    </w:p>
    <w:p w14:paraId="2DB13FA9" w14:textId="77777777" w:rsidR="003C2967" w:rsidRDefault="003C2967" w:rsidP="00964D75">
      <w:pPr>
        <w:pStyle w:val="CheckReminder"/>
      </w:pPr>
      <w:r>
        <w:t>Verify that the building heights provided in the BPIP</w:t>
      </w:r>
      <w:r w:rsidR="00BE6374">
        <w:t>PRM</w:t>
      </w:r>
      <w:r>
        <w:t xml:space="preserve"> input file(s) are consistent with the data provided in the application or modeling report.</w:t>
      </w:r>
    </w:p>
    <w:p w14:paraId="03E40B24" w14:textId="77777777" w:rsidR="003C2967" w:rsidRDefault="003C2967" w:rsidP="00964D75">
      <w:pPr>
        <w:pStyle w:val="CheckReminder"/>
      </w:pPr>
      <w:r>
        <w:t xml:space="preserve">After reviewing the BPIPPRM input/output files, check to ensure that the direction specific building downwash parameters were included in the AERMOD input files.  </w:t>
      </w:r>
    </w:p>
    <w:p w14:paraId="5E8C2843" w14:textId="77777777" w:rsidR="003C2967" w:rsidRDefault="003C2967" w:rsidP="003C2967">
      <w:r>
        <w:t>The BPIPPRM output data with the keywords “BUILDHGT”, “BUILDWID” are the same keywords in the AERMOD source data input files and should not be changed.</w:t>
      </w:r>
    </w:p>
    <w:p w14:paraId="29CF4FB8" w14:textId="77777777" w:rsidR="00B63D2C" w:rsidRDefault="00556C11" w:rsidP="00B63D2C">
      <w:pPr>
        <w:spacing w:after="0"/>
      </w:pPr>
      <w:r>
        <w:br w:type="page"/>
      </w:r>
    </w:p>
    <w:p w14:paraId="677F1EFB" w14:textId="77777777" w:rsidR="003C2967" w:rsidRDefault="00AD5C0A" w:rsidP="009E7738">
      <w:pPr>
        <w:pStyle w:val="Heading2"/>
      </w:pPr>
      <w:bookmarkStart w:id="220" w:name="StackModifications"/>
      <w:r>
        <w:lastRenderedPageBreak/>
        <w:tab/>
      </w:r>
      <w:bookmarkStart w:id="221" w:name="_Toc526778278"/>
      <w:r w:rsidR="003C2967">
        <w:t>Stack Modifications</w:t>
      </w:r>
      <w:bookmarkEnd w:id="221"/>
    </w:p>
    <w:bookmarkEnd w:id="220"/>
    <w:p w14:paraId="12D47E98" w14:textId="77777777" w:rsidR="003C2967" w:rsidRDefault="003C2967" w:rsidP="003C2967">
      <w:pPr>
        <w:rPr>
          <w:snapToGrid w:val="0"/>
          <w:color w:val="000000"/>
        </w:rPr>
      </w:pPr>
      <w:r>
        <w:rPr>
          <w:snapToGrid w:val="0"/>
          <w:color w:val="000000"/>
        </w:rPr>
        <w:t>In some situations, an existing source may wish to modify its stack either by (1) increasing the stack height, (2) changing from a horizontal to</w:t>
      </w:r>
      <w:r w:rsidR="00556C11">
        <w:rPr>
          <w:snapToGrid w:val="0"/>
          <w:color w:val="000000"/>
        </w:rPr>
        <w:t xml:space="preserve"> vertical discharge position, </w:t>
      </w:r>
      <w:r>
        <w:rPr>
          <w:snapToGrid w:val="0"/>
          <w:color w:val="000000"/>
        </w:rPr>
        <w:t xml:space="preserve">(3) removing a rain cap, or </w:t>
      </w:r>
      <w:r w:rsidR="00CC6F05">
        <w:rPr>
          <w:snapToGrid w:val="0"/>
          <w:color w:val="000000"/>
        </w:rPr>
        <w:t xml:space="preserve">(4) </w:t>
      </w:r>
      <w:r>
        <w:rPr>
          <w:snapToGrid w:val="0"/>
          <w:color w:val="000000"/>
        </w:rPr>
        <w:t xml:space="preserve">merging </w:t>
      </w:r>
      <w:r w:rsidR="00556C11">
        <w:rPr>
          <w:snapToGrid w:val="0"/>
          <w:color w:val="000000"/>
        </w:rPr>
        <w:t xml:space="preserve">multiple </w:t>
      </w:r>
      <w:r>
        <w:rPr>
          <w:snapToGrid w:val="0"/>
          <w:color w:val="000000"/>
        </w:rPr>
        <w:t xml:space="preserve">stacks.  EPA does not regulate the physical change that may occur, but only the “creditable” portion that may be used in regulatory dispersion modeling.  Hence, those stack parameters used in the </w:t>
      </w:r>
      <w:proofErr w:type="gramStart"/>
      <w:r>
        <w:rPr>
          <w:snapToGrid w:val="0"/>
          <w:color w:val="000000"/>
        </w:rPr>
        <w:t>modeling,</w:t>
      </w:r>
      <w:proofErr w:type="gramEnd"/>
      <w:r>
        <w:rPr>
          <w:snapToGrid w:val="0"/>
          <w:color w:val="000000"/>
        </w:rPr>
        <w:t xml:space="preserve"> may differ from the actual conditions.</w:t>
      </w:r>
    </w:p>
    <w:p w14:paraId="7D0946E9" w14:textId="77777777" w:rsidR="003C2967" w:rsidRDefault="003C2967" w:rsidP="003C2967">
      <w:r>
        <w:t xml:space="preserve">40 CFR Part 51 establishes stack height regulations that assure emission limits determined through modeling analyses are not affected by any stack height which exceeds GEP, or by any other enhanced “dispersion technique.”  The stack height regulations define </w:t>
      </w:r>
      <w:proofErr w:type="gramStart"/>
      <w:r>
        <w:t>a number of</w:t>
      </w:r>
      <w:proofErr w:type="gramEnd"/>
      <w:r>
        <w:t xml:space="preserve"> terms, provide methods for determining GEP height and specify when each method can be used, and limit the use of enhanced “dispersion techniques”, such as exhaust gas reheating or stack merging, at existing sources. </w:t>
      </w:r>
    </w:p>
    <w:p w14:paraId="67F2539A" w14:textId="5F0970FB" w:rsidR="003C2967" w:rsidRDefault="003C2967" w:rsidP="003C2967">
      <w:pPr>
        <w:rPr>
          <w:snapToGrid w:val="0"/>
          <w:color w:val="000000"/>
        </w:rPr>
      </w:pPr>
      <w:r>
        <w:rPr>
          <w:snapToGrid w:val="0"/>
          <w:color w:val="000000"/>
        </w:rPr>
        <w:t xml:space="preserve">The regulation is somewhat confusing.  Therefore, ADEC asked Mr. Dave Bray of </w:t>
      </w:r>
      <w:r w:rsidR="003B5F48">
        <w:rPr>
          <w:snapToGrid w:val="0"/>
          <w:color w:val="000000"/>
        </w:rPr>
        <w:t>R10</w:t>
      </w:r>
      <w:r>
        <w:rPr>
          <w:snapToGrid w:val="0"/>
          <w:color w:val="000000"/>
        </w:rPr>
        <w:t xml:space="preserve"> (the EPA lead on dispersion techniques associated with the GEP rule) to clarify whether applicants may take credit for increasing the stack height up to GEP, removing rain caps, or making </w:t>
      </w:r>
      <w:r w:rsidR="00E25D9E">
        <w:rPr>
          <w:snapToGrid w:val="0"/>
          <w:color w:val="000000"/>
        </w:rPr>
        <w:t>a horizontal stack vertical.</w:t>
      </w:r>
      <w:r>
        <w:rPr>
          <w:snapToGrid w:val="0"/>
          <w:color w:val="000000"/>
        </w:rPr>
        <w:t xml:space="preserve"> </w:t>
      </w:r>
    </w:p>
    <w:p w14:paraId="324F92AC" w14:textId="4A4C2991" w:rsidR="0038608B" w:rsidRDefault="003C2967" w:rsidP="003C2967">
      <w:pPr>
        <w:rPr>
          <w:snapToGrid w:val="0"/>
          <w:color w:val="000000"/>
        </w:rPr>
      </w:pPr>
      <w:r>
        <w:rPr>
          <w:snapToGrid w:val="0"/>
          <w:color w:val="000000"/>
        </w:rPr>
        <w:t>Mr. Bray</w:t>
      </w:r>
      <w:r w:rsidR="0038608B">
        <w:rPr>
          <w:snapToGrid w:val="0"/>
          <w:color w:val="000000"/>
        </w:rPr>
        <w:t xml:space="preserve"> provided the following reply:</w:t>
      </w:r>
      <w:r w:rsidR="0038608B">
        <w:rPr>
          <w:rStyle w:val="FootnoteReference"/>
          <w:snapToGrid w:val="0"/>
          <w:color w:val="000000"/>
        </w:rPr>
        <w:footnoteReference w:id="72"/>
      </w:r>
      <w:r>
        <w:rPr>
          <w:snapToGrid w:val="0"/>
          <w:color w:val="000000"/>
        </w:rPr>
        <w:t xml:space="preserve"> </w:t>
      </w:r>
    </w:p>
    <w:p w14:paraId="567E17A1" w14:textId="66E37877" w:rsidR="003C2967" w:rsidRDefault="0038608B" w:rsidP="0038608B">
      <w:pPr>
        <w:ind w:left="540" w:right="720"/>
        <w:rPr>
          <w:i/>
        </w:rPr>
      </w:pPr>
      <w:r>
        <w:rPr>
          <w:snapToGrid w:val="0"/>
          <w:color w:val="000000"/>
        </w:rPr>
        <w:t xml:space="preserve">… </w:t>
      </w:r>
      <w:r w:rsidR="003C2967">
        <w:rPr>
          <w:i/>
        </w:rPr>
        <w:t xml:space="preserve">EPA, when developing its rules to implement this requirement, made it clear that sources were always free to build stacks, replace stacks, or modify stacks such that they employed good engineering practice. Under the definition of good engineering practice, we provide a default height of 65 meters that is always considered GEP.  So, </w:t>
      </w:r>
      <w:proofErr w:type="gramStart"/>
      <w:r w:rsidR="003C2967">
        <w:rPr>
          <w:i/>
        </w:rPr>
        <w:t>as long as</w:t>
      </w:r>
      <w:proofErr w:type="gramEnd"/>
      <w:r w:rsidR="003C2967">
        <w:rPr>
          <w:i/>
        </w:rPr>
        <w:t xml:space="preserve"> the stack is less than 65 meters in height, any change to the stack height or orientation would always be allowed as representing GEP. </w:t>
      </w:r>
    </w:p>
    <w:p w14:paraId="3E5D6FC7" w14:textId="3F915070" w:rsidR="003C2967" w:rsidRDefault="003C2967" w:rsidP="0038608B">
      <w:pPr>
        <w:ind w:left="540" w:right="720"/>
      </w:pPr>
      <w:r>
        <w:rPr>
          <w:i/>
        </w:rPr>
        <w:t xml:space="preserve">The general intent of the dispersion technique provisions </w:t>
      </w:r>
      <w:proofErr w:type="gramStart"/>
      <w:r>
        <w:rPr>
          <w:i/>
        </w:rPr>
        <w:t>are</w:t>
      </w:r>
      <w:proofErr w:type="gramEnd"/>
      <w:r>
        <w:rPr>
          <w:i/>
        </w:rPr>
        <w:t xml:space="preserve"> to preclude the use of intermittent and supplemental control systems whereby the source alters production rates based on ambient air quality levels or meteorological conditions. The dispersion technique provisions also preclude some type of exhaust gas manipulation that would be unrelated to having a stack meet GEP (e.g., increasing exhaust gas flow rates beyond what would be needed to prevent stack-tip downwash just to increase final plume rise</w:t>
      </w:r>
      <w:r>
        <w:t>.</w:t>
      </w:r>
    </w:p>
    <w:p w14:paraId="44C79F0C" w14:textId="392D5857" w:rsidR="00071005" w:rsidRDefault="00071005">
      <w:pPr>
        <w:spacing w:after="0"/>
      </w:pPr>
      <w:r>
        <w:br w:type="page"/>
      </w:r>
    </w:p>
    <w:p w14:paraId="2195FB8A" w14:textId="77777777" w:rsidR="003C2967" w:rsidRDefault="003C2967" w:rsidP="003C2967">
      <w:hyperlink r:id="rId146" w:history="1">
        <w:r w:rsidRPr="000A2AE1">
          <w:rPr>
            <w:rStyle w:val="Hyperlink"/>
          </w:rPr>
          <w:t>18 AAC 50.045</w:t>
        </w:r>
      </w:hyperlink>
      <w:r>
        <w:t xml:space="preserve"> presents the prohibitions for operating an emission source, including use of certain dispersion techniques.  A dispersion technique means a technique that attempts to reduce the concentration of an air contaminant in the ambient air by:</w:t>
      </w:r>
    </w:p>
    <w:p w14:paraId="11DF933C" w14:textId="77777777" w:rsidR="003C2967" w:rsidRDefault="003C2967" w:rsidP="00407F48">
      <w:pPr>
        <w:numPr>
          <w:ilvl w:val="0"/>
          <w:numId w:val="10"/>
        </w:numPr>
        <w:spacing w:after="120"/>
      </w:pPr>
      <w:r>
        <w:t>using that portion of a stack that exceeds GEP</w:t>
      </w:r>
    </w:p>
    <w:p w14:paraId="49201DD1" w14:textId="77777777" w:rsidR="003C2967" w:rsidRDefault="003C2967" w:rsidP="00407F48">
      <w:pPr>
        <w:numPr>
          <w:ilvl w:val="0"/>
          <w:numId w:val="10"/>
        </w:numPr>
        <w:spacing w:after="120"/>
      </w:pPr>
      <w:r>
        <w:t>varying the emission rates of an air pollutant according to atmospheric conditions or ambient concentrations of that air contaminant</w:t>
      </w:r>
    </w:p>
    <w:p w14:paraId="7024BD87" w14:textId="77777777" w:rsidR="003C2967" w:rsidRDefault="003C2967" w:rsidP="00407F48">
      <w:pPr>
        <w:numPr>
          <w:ilvl w:val="0"/>
          <w:numId w:val="10"/>
        </w:numPr>
        <w:spacing w:after="120"/>
      </w:pPr>
      <w:r>
        <w:t>increasing exhaust gas plume rise by:</w:t>
      </w:r>
    </w:p>
    <w:p w14:paraId="4C87E5BE" w14:textId="77777777" w:rsidR="003C2967" w:rsidRDefault="003C2967" w:rsidP="00407F48">
      <w:pPr>
        <w:numPr>
          <w:ilvl w:val="0"/>
          <w:numId w:val="10"/>
        </w:numPr>
        <w:tabs>
          <w:tab w:val="clear" w:pos="360"/>
          <w:tab w:val="num" w:pos="720"/>
        </w:tabs>
        <w:spacing w:after="120"/>
        <w:ind w:left="720"/>
      </w:pPr>
      <w:r>
        <w:t xml:space="preserve">manipulating a source process parameter, exhaust gas parameter, or stack </w:t>
      </w:r>
      <w:proofErr w:type="gramStart"/>
      <w:r>
        <w:t>parameter;</w:t>
      </w:r>
      <w:proofErr w:type="gramEnd"/>
    </w:p>
    <w:p w14:paraId="1485940D" w14:textId="77777777" w:rsidR="003C2967" w:rsidRDefault="003C2967" w:rsidP="00407F48">
      <w:pPr>
        <w:numPr>
          <w:ilvl w:val="0"/>
          <w:numId w:val="10"/>
        </w:numPr>
        <w:tabs>
          <w:tab w:val="clear" w:pos="360"/>
          <w:tab w:val="num" w:pos="720"/>
        </w:tabs>
        <w:spacing w:after="120"/>
        <w:ind w:left="720"/>
      </w:pPr>
      <w:r>
        <w:t xml:space="preserve">combining exhaust gases from several existing stacks into one </w:t>
      </w:r>
      <w:proofErr w:type="gramStart"/>
      <w:r>
        <w:t>stack;</w:t>
      </w:r>
      <w:proofErr w:type="gramEnd"/>
    </w:p>
    <w:p w14:paraId="638D6B05" w14:textId="77777777" w:rsidR="003C2967" w:rsidRDefault="003C2967" w:rsidP="00407F48">
      <w:pPr>
        <w:numPr>
          <w:ilvl w:val="0"/>
          <w:numId w:val="10"/>
        </w:numPr>
        <w:tabs>
          <w:tab w:val="clear" w:pos="360"/>
          <w:tab w:val="num" w:pos="720"/>
        </w:tabs>
        <w:spacing w:after="120"/>
        <w:ind w:left="720"/>
      </w:pPr>
      <w:r>
        <w:t>other selective handling of exhaust gas streams.</w:t>
      </w:r>
    </w:p>
    <w:p w14:paraId="434F96C7" w14:textId="5C227DD8" w:rsidR="003C2967" w:rsidRDefault="003C2967" w:rsidP="003C2967">
      <w:r>
        <w:t>These prohibitions do not limit applicants from making stack changes within GEP (e.g., raising the stack height to GEP, changing the stack orientation, or removing rain caps).</w:t>
      </w:r>
      <w:r>
        <w:rPr>
          <w:i/>
        </w:rPr>
        <w:t xml:space="preserve"> </w:t>
      </w:r>
      <w:r>
        <w:t>Refer to 18</w:t>
      </w:r>
      <w:r w:rsidR="0044597A">
        <w:t> </w:t>
      </w:r>
      <w:r>
        <w:t>AAC</w:t>
      </w:r>
      <w:r w:rsidR="0044597A">
        <w:t> </w:t>
      </w:r>
      <w:r>
        <w:t>50.045 for a complete description of dispersion techniques.</w:t>
      </w:r>
    </w:p>
    <w:p w14:paraId="5F5822B6" w14:textId="0135F1DA" w:rsidR="003C2967" w:rsidRDefault="003C2967" w:rsidP="003C2967">
      <w:r>
        <w:t xml:space="preserve">The stack height regulations also limit allowable credit </w:t>
      </w:r>
      <w:r>
        <w:rPr>
          <w:u w:val="single"/>
        </w:rPr>
        <w:t>at existing stacks</w:t>
      </w:r>
      <w:r>
        <w:t xml:space="preserve"> for the use of enhanced “dispersion techniques,” that are defined to include increases to final plume rise caused by “manipulating source process parameters, exhaust gas parameters, stack parameters, or combining exhaust gases from several existing stacks into one stack.” There are two exceptions to the limitation on stack </w:t>
      </w:r>
      <w:proofErr w:type="gramStart"/>
      <w:r>
        <w:t>merging</w:t>
      </w:r>
      <w:proofErr w:type="gramEnd"/>
      <w:r>
        <w:t>.  First, if stack merging is part of a pollution control project and there is a net reduction in allowable emissions, the use of stack merging is allowed.  Second, if the source’s allowable SO</w:t>
      </w:r>
      <w:r>
        <w:rPr>
          <w:vertAlign w:val="subscript"/>
        </w:rPr>
        <w:t>2</w:t>
      </w:r>
      <w:r>
        <w:t xml:space="preserve"> emissions are less than 5,000</w:t>
      </w:r>
      <w:r w:rsidR="0044597A">
        <w:t> </w:t>
      </w:r>
      <w:r w:rsidR="00A4235D">
        <w:t>tons per year (</w:t>
      </w:r>
      <w:proofErr w:type="spellStart"/>
      <w:r>
        <w:t>tpy</w:t>
      </w:r>
      <w:proofErr w:type="spellEnd"/>
      <w:r w:rsidR="00A4235D">
        <w:t>)</w:t>
      </w:r>
      <w:r>
        <w:t>, the use of stack merging is allowed for SO</w:t>
      </w:r>
      <w:r>
        <w:rPr>
          <w:vertAlign w:val="subscript"/>
        </w:rPr>
        <w:t>2</w:t>
      </w:r>
      <w:r>
        <w:t xml:space="preserve"> modeling analyses.</w:t>
      </w:r>
      <w:r w:rsidR="00AE022D">
        <w:rPr>
          <w:rStyle w:val="FootnoteReference"/>
        </w:rPr>
        <w:footnoteReference w:id="73"/>
      </w:r>
      <w:r>
        <w:t xml:space="preserve">  </w:t>
      </w:r>
    </w:p>
    <w:p w14:paraId="533898D3" w14:textId="77777777" w:rsidR="003C2967" w:rsidRDefault="003C2967" w:rsidP="003C2967">
      <w:r>
        <w:t xml:space="preserve">When </w:t>
      </w:r>
      <w:proofErr w:type="gramStart"/>
      <w:r>
        <w:t>merging of</w:t>
      </w:r>
      <w:proofErr w:type="gramEnd"/>
      <w:r>
        <w:t xml:space="preserve"> stacks is creditable, the resultant stack exit volume is determined by summing the individual stack volumetric flow rates, and the resultant stack temperature is a volume flow-weighted average (i.e., considering the flow rates of each unit that is merged into the single stack).  The final exit velocity is calculated by dividing the summed exit volume by the merged stack area.  </w:t>
      </w:r>
    </w:p>
    <w:p w14:paraId="3D4BC865" w14:textId="30C66923" w:rsidR="003C2967" w:rsidRDefault="003C2967" w:rsidP="003C2967">
      <w:r>
        <w:t>EPA</w:t>
      </w:r>
      <w:r w:rsidR="00BE5BFF">
        <w:t xml:space="preserve">’s October 10, </w:t>
      </w:r>
      <w:proofErr w:type="gramStart"/>
      <w:r w:rsidR="00BE5BFF">
        <w:t>1985</w:t>
      </w:r>
      <w:proofErr w:type="gramEnd"/>
      <w:r w:rsidR="00BE5BFF">
        <w:t xml:space="preserve"> </w:t>
      </w:r>
      <w:r>
        <w:t>memorandum</w:t>
      </w:r>
      <w:r w:rsidR="00836591">
        <w:t>,</w:t>
      </w:r>
      <w:r>
        <w:t xml:space="preserve"> </w:t>
      </w:r>
      <w:r w:rsidRPr="00836591">
        <w:rPr>
          <w:i/>
        </w:rPr>
        <w:t>Questions and Answers on Implementing the Revised Stack Height Regulation</w:t>
      </w:r>
      <w:r>
        <w:t xml:space="preserve">, provides guidance on how merged stacks should be treated in a modeling analysis when merging is not creditable.  EPA recommends that each </w:t>
      </w:r>
      <w:r w:rsidR="00BC634A">
        <w:t>EU</w:t>
      </w:r>
      <w:r>
        <w:t xml:space="preserve"> be modeled as a separate source and the combined impact determined, rather than modeling as a single merged stack.  The “effective” stack exit velocity and temperature parameters for each modeled source are calculated based on the actual merged stack conditions (as described in the previous paragraph).  The “effective” stack diameter for each modeled source would then be based on the calculated “effective” stack </w:t>
      </w:r>
      <w:r>
        <w:lastRenderedPageBreak/>
        <w:t xml:space="preserve">exit velocity and the volumetric flow from the individual </w:t>
      </w:r>
      <w:r w:rsidR="00BC634A">
        <w:t>EU</w:t>
      </w:r>
      <w:r>
        <w:t xml:space="preserve">s.  These procedures ensure that the exit velocity and temperatures for each modeled source reflect the actual conditions of the merged stack, while the increased plume rise resulting from the merged volume is not calculated by the model (i.e., each modeled source’s volumetric flow rate is based on the individual </w:t>
      </w:r>
      <w:r w:rsidR="00BC634A">
        <w:t>EU</w:t>
      </w:r>
      <w:r>
        <w:t xml:space="preserve">’s flow).  </w:t>
      </w:r>
    </w:p>
    <w:p w14:paraId="1F539A31" w14:textId="00ED4724" w:rsidR="003C2967" w:rsidRDefault="003C2967" w:rsidP="00407F48">
      <w:pPr>
        <w:numPr>
          <w:ilvl w:val="0"/>
          <w:numId w:val="23"/>
        </w:numPr>
        <w:spacing w:before="120" w:after="120"/>
      </w:pPr>
      <w:r>
        <w:t xml:space="preserve">If the applicant is proposing merging exhaust gases from new or modified </w:t>
      </w:r>
      <w:r w:rsidR="00ED104E">
        <w:t>EU</w:t>
      </w:r>
      <w:r>
        <w:t xml:space="preserve">s into stacks that also support existing </w:t>
      </w:r>
      <w:r w:rsidR="00ED104E">
        <w:t>EU</w:t>
      </w:r>
      <w:r>
        <w:t xml:space="preserve">s, ensure that the resultant stack parameters are based on the above guidance do not allow for the benefit from enhanced dispersion techniques for existing </w:t>
      </w:r>
      <w:r w:rsidR="00ED104E">
        <w:t>EU</w:t>
      </w:r>
      <w:r>
        <w:t>s.</w:t>
      </w:r>
    </w:p>
    <w:p w14:paraId="0857E54C" w14:textId="77777777" w:rsidR="002D3A0B" w:rsidRDefault="002D3A0B" w:rsidP="003C2967">
      <w:pPr>
        <w:rPr>
          <w:snapToGrid w:val="0"/>
        </w:rPr>
      </w:pPr>
    </w:p>
    <w:p w14:paraId="79FE076D" w14:textId="77777777" w:rsidR="002D3A0B" w:rsidRDefault="003C2967" w:rsidP="002D3A0B">
      <w:pPr>
        <w:spacing w:after="0"/>
      </w:pPr>
      <w:r>
        <w:rPr>
          <w:snapToGrid w:val="0"/>
        </w:rPr>
        <w:br w:type="page"/>
      </w:r>
    </w:p>
    <w:p w14:paraId="216FD543" w14:textId="77777777" w:rsidR="002D3A0B" w:rsidRDefault="002D3A0B" w:rsidP="002D3A0B">
      <w:pPr>
        <w:spacing w:after="0"/>
      </w:pPr>
    </w:p>
    <w:p w14:paraId="5A553E22" w14:textId="77777777" w:rsidR="002D3A0B" w:rsidRDefault="002D3A0B" w:rsidP="002D3A0B">
      <w:pPr>
        <w:spacing w:after="0"/>
      </w:pPr>
    </w:p>
    <w:p w14:paraId="133D938B" w14:textId="77777777" w:rsidR="002D3A0B" w:rsidRDefault="002D3A0B" w:rsidP="002D3A0B">
      <w:pPr>
        <w:spacing w:after="0"/>
      </w:pPr>
    </w:p>
    <w:p w14:paraId="3C51F245" w14:textId="77777777" w:rsidR="002D3A0B" w:rsidRDefault="002D3A0B" w:rsidP="002D3A0B">
      <w:pPr>
        <w:spacing w:after="0"/>
      </w:pPr>
    </w:p>
    <w:p w14:paraId="2EC81271" w14:textId="77777777" w:rsidR="002D3A0B" w:rsidRDefault="002D3A0B" w:rsidP="002D3A0B">
      <w:pPr>
        <w:spacing w:after="0"/>
      </w:pPr>
    </w:p>
    <w:p w14:paraId="4C783691" w14:textId="77777777" w:rsidR="002D3A0B" w:rsidRDefault="002D3A0B" w:rsidP="002D3A0B">
      <w:pPr>
        <w:spacing w:after="0"/>
      </w:pPr>
    </w:p>
    <w:p w14:paraId="3AD23763" w14:textId="77777777" w:rsidR="002D3A0B" w:rsidRDefault="002D3A0B" w:rsidP="002D3A0B">
      <w:pPr>
        <w:spacing w:after="0"/>
      </w:pPr>
    </w:p>
    <w:p w14:paraId="2DA39B38" w14:textId="77777777" w:rsidR="002D3A0B" w:rsidRDefault="002D3A0B" w:rsidP="002D3A0B">
      <w:pPr>
        <w:spacing w:after="0"/>
      </w:pPr>
    </w:p>
    <w:p w14:paraId="78868D68" w14:textId="77777777" w:rsidR="002D3A0B" w:rsidRDefault="002D3A0B" w:rsidP="002D3A0B">
      <w:pPr>
        <w:spacing w:after="0"/>
      </w:pPr>
    </w:p>
    <w:p w14:paraId="5CEBB55B" w14:textId="77777777" w:rsidR="002D3A0B" w:rsidRDefault="002D3A0B" w:rsidP="002D3A0B">
      <w:pPr>
        <w:spacing w:after="0"/>
      </w:pPr>
    </w:p>
    <w:p w14:paraId="59995786" w14:textId="77777777" w:rsidR="002D3A0B" w:rsidRDefault="002D3A0B" w:rsidP="002D3A0B">
      <w:pPr>
        <w:spacing w:after="0"/>
        <w:jc w:val="center"/>
      </w:pPr>
      <w:r>
        <w:rPr>
          <w:snapToGrid w:val="0"/>
        </w:rPr>
        <w:t>(This page intentionally left blank)</w:t>
      </w:r>
    </w:p>
    <w:p w14:paraId="6ABF85FF" w14:textId="77777777" w:rsidR="002D3A0B" w:rsidRDefault="002D3A0B" w:rsidP="002D3A0B">
      <w:pPr>
        <w:spacing w:after="0"/>
      </w:pPr>
      <w:r>
        <w:br w:type="page"/>
      </w:r>
    </w:p>
    <w:p w14:paraId="267C0EBF" w14:textId="77777777" w:rsidR="00A13804" w:rsidRDefault="00AD080E" w:rsidP="00AD5C0A">
      <w:pPr>
        <w:pStyle w:val="Heading2"/>
        <w:ind w:left="540" w:hanging="540"/>
        <w:rPr>
          <w:snapToGrid w:val="0"/>
        </w:rPr>
      </w:pPr>
      <w:bookmarkStart w:id="222" w:name="PollutantSpecificInfo"/>
      <w:bookmarkStart w:id="223" w:name="_Toc526778279"/>
      <w:r>
        <w:rPr>
          <w:snapToGrid w:val="0"/>
        </w:rPr>
        <w:lastRenderedPageBreak/>
        <w:t xml:space="preserve">Additional Information on </w:t>
      </w:r>
      <w:r w:rsidR="003C2967">
        <w:rPr>
          <w:snapToGrid w:val="0"/>
        </w:rPr>
        <w:t xml:space="preserve">Specific </w:t>
      </w:r>
      <w:r w:rsidR="001F2B66">
        <w:rPr>
          <w:snapToGrid w:val="0"/>
        </w:rPr>
        <w:t>Pollutant</w:t>
      </w:r>
      <w:r>
        <w:rPr>
          <w:snapToGrid w:val="0"/>
        </w:rPr>
        <w:t>s</w:t>
      </w:r>
      <w:bookmarkEnd w:id="222"/>
      <w:bookmarkEnd w:id="223"/>
    </w:p>
    <w:p w14:paraId="004E7647" w14:textId="77777777" w:rsidR="009A01E5" w:rsidRDefault="009A01E5">
      <w:r>
        <w:t xml:space="preserve">Regulatory air quality models can simulate the transport and dispersion of pollutants in the atmosphere, and to a limited degree can also simulate transformations and the generation of “secondary pollutants”.  Secondary pollutants, such as ozone and components of “secondary particulate matter” including ammonium sulfate, are not directly emitted by sources but are formed by reactions in the atmosphere.  The following paragraphs discuss the important transformations that need to be addressed in regulatory dispersion modeling analyses.  </w:t>
      </w:r>
    </w:p>
    <w:p w14:paraId="5D1C40CE" w14:textId="77777777" w:rsidR="0023321C" w:rsidRDefault="00AD5C0A" w:rsidP="004C5669">
      <w:pPr>
        <w:pStyle w:val="Heading3"/>
      </w:pPr>
      <w:bookmarkStart w:id="224" w:name="NO2Modeling"/>
      <w:r>
        <w:tab/>
      </w:r>
      <w:bookmarkStart w:id="225" w:name="_Toc526778280"/>
      <w:r w:rsidR="005C3F2D">
        <w:t>NO</w:t>
      </w:r>
      <w:r w:rsidR="005C3F2D" w:rsidRPr="005C3F2D">
        <w:rPr>
          <w:vertAlign w:val="subscript"/>
        </w:rPr>
        <w:t>2</w:t>
      </w:r>
      <w:bookmarkEnd w:id="225"/>
    </w:p>
    <w:bookmarkEnd w:id="224"/>
    <w:p w14:paraId="1FEF15D3" w14:textId="4B367004" w:rsidR="005C3F2D" w:rsidRDefault="002C6123">
      <w:r>
        <w:t xml:space="preserve">The </w:t>
      </w:r>
      <w:r w:rsidR="009A01E5">
        <w:t>NOx</w:t>
      </w:r>
      <w:r w:rsidR="00DB2F69">
        <w:t xml:space="preserve"> </w:t>
      </w:r>
      <w:r>
        <w:t xml:space="preserve">emissions </w:t>
      </w:r>
      <w:r w:rsidR="009A01E5">
        <w:t xml:space="preserve">from combustion sources are </w:t>
      </w:r>
      <w:r>
        <w:t>partly nitric oxide (</w:t>
      </w:r>
      <w:r w:rsidR="009A01E5">
        <w:t>NO</w:t>
      </w:r>
      <w:r>
        <w:t>) and partly NO</w:t>
      </w:r>
      <w:r w:rsidRPr="00405954">
        <w:rPr>
          <w:vertAlign w:val="subscript"/>
        </w:rPr>
        <w:t>2</w:t>
      </w:r>
      <w:r>
        <w:t>,</w:t>
      </w:r>
      <w:r w:rsidR="009A01E5">
        <w:t xml:space="preserve"> even though the mass emission rate for NOx is typically based on the molecular weight of NO</w:t>
      </w:r>
      <w:r w:rsidR="009A01E5">
        <w:rPr>
          <w:vertAlign w:val="subscript"/>
        </w:rPr>
        <w:t>2</w:t>
      </w:r>
      <w:r w:rsidR="009A01E5">
        <w:t xml:space="preserve">.  </w:t>
      </w:r>
      <w:r w:rsidR="00E5334D">
        <w:t>After the combustion gas exi</w:t>
      </w:r>
      <w:r>
        <w:t>ts the stack, additional NO</w:t>
      </w:r>
      <w:r w:rsidRPr="00405954">
        <w:rPr>
          <w:vertAlign w:val="subscript"/>
        </w:rPr>
        <w:t>2</w:t>
      </w:r>
      <w:r>
        <w:t xml:space="preserve"> can be created due to atmospheric reactions.</w:t>
      </w:r>
      <w:r w:rsidR="00405954">
        <w:t xml:space="preserve"> </w:t>
      </w:r>
      <w:r w:rsidR="009007AE">
        <w:t xml:space="preserve"> </w:t>
      </w:r>
      <w:r w:rsidR="009A01E5">
        <w:t xml:space="preserve">Therefore, a methodology </w:t>
      </w:r>
      <w:r w:rsidR="001F418F">
        <w:t>for</w:t>
      </w:r>
      <w:r w:rsidR="009A01E5">
        <w:t xml:space="preserve"> </w:t>
      </w:r>
      <w:r>
        <w:t xml:space="preserve">estimating how much of the </w:t>
      </w:r>
      <w:r w:rsidR="00912D60">
        <w:t xml:space="preserve">released </w:t>
      </w:r>
      <w:r>
        <w:t xml:space="preserve">NO is </w:t>
      </w:r>
      <w:r w:rsidR="009A01E5">
        <w:t>convert</w:t>
      </w:r>
      <w:r>
        <w:t>ed</w:t>
      </w:r>
      <w:r w:rsidR="009A01E5">
        <w:t xml:space="preserve"> to NO</w:t>
      </w:r>
      <w:r w:rsidR="009A01E5">
        <w:rPr>
          <w:vertAlign w:val="subscript"/>
        </w:rPr>
        <w:t>2</w:t>
      </w:r>
      <w:r w:rsidR="009A01E5">
        <w:t xml:space="preserve"> is </w:t>
      </w:r>
      <w:r w:rsidR="00912D60">
        <w:t xml:space="preserve">needed </w:t>
      </w:r>
      <w:proofErr w:type="gramStart"/>
      <w:r w:rsidR="00912D60">
        <w:t>in order to</w:t>
      </w:r>
      <w:proofErr w:type="gramEnd"/>
      <w:r w:rsidR="00912D60">
        <w:t xml:space="preserve"> compare a modeled concentration to a NO</w:t>
      </w:r>
      <w:r w:rsidR="00912D60" w:rsidRPr="00912D60">
        <w:rPr>
          <w:vertAlign w:val="subscript"/>
        </w:rPr>
        <w:t>2</w:t>
      </w:r>
      <w:r w:rsidR="00912D60">
        <w:t xml:space="preserve"> standard or increment</w:t>
      </w:r>
      <w:r w:rsidR="009A01E5">
        <w:t xml:space="preserve">.  </w:t>
      </w:r>
    </w:p>
    <w:p w14:paraId="32251299" w14:textId="0767106E" w:rsidR="00FA7980" w:rsidRPr="00230FCD" w:rsidRDefault="009003F2" w:rsidP="00230FCD">
      <w:pPr>
        <w:pStyle w:val="Heading4"/>
        <w:tabs>
          <w:tab w:val="clear" w:pos="864"/>
        </w:tabs>
        <w:ind w:left="1080" w:hanging="1080"/>
      </w:pPr>
      <w:bookmarkStart w:id="226" w:name="_Toc526778281"/>
      <w:r>
        <w:t xml:space="preserve">Guideline Methods for Modeling </w:t>
      </w:r>
      <w:r w:rsidR="001F418F" w:rsidRPr="00150E0D">
        <w:rPr>
          <w:szCs w:val="24"/>
        </w:rPr>
        <w:t>NO</w:t>
      </w:r>
      <w:r w:rsidR="001F418F" w:rsidRPr="00150E0D">
        <w:rPr>
          <w:szCs w:val="24"/>
          <w:vertAlign w:val="subscript"/>
        </w:rPr>
        <w:t>2</w:t>
      </w:r>
      <w:r w:rsidR="001F418F">
        <w:t xml:space="preserve"> </w:t>
      </w:r>
      <w:r w:rsidR="00FA7980" w:rsidRPr="00230FCD">
        <w:t>Impacts</w:t>
      </w:r>
      <w:bookmarkEnd w:id="226"/>
      <w:r w:rsidR="00FA7980" w:rsidRPr="00230FCD">
        <w:t xml:space="preserve"> </w:t>
      </w:r>
    </w:p>
    <w:p w14:paraId="53475458" w14:textId="104E3B60" w:rsidR="009A01E5" w:rsidRDefault="00CE70D6" w:rsidP="00077CD8">
      <w:pPr>
        <w:spacing w:after="120"/>
      </w:pPr>
      <w:r>
        <w:t>Section 4.2.3.4 of t</w:t>
      </w:r>
      <w:r w:rsidR="00077CD8">
        <w:t xml:space="preserve">he </w:t>
      </w:r>
      <w:hyperlink r:id="rId147" w:history="1">
        <w:r w:rsidR="00077CD8" w:rsidRPr="00196955">
          <w:rPr>
            <w:rStyle w:val="Hyperlink"/>
          </w:rPr>
          <w:t>Guideline</w:t>
        </w:r>
      </w:hyperlink>
      <w:r w:rsidR="00077CD8">
        <w:t xml:space="preserve"> discusses</w:t>
      </w:r>
      <w:r w:rsidR="005C3F2D">
        <w:t xml:space="preserve"> a </w:t>
      </w:r>
      <w:r w:rsidR="00721CB2">
        <w:t>three-</w:t>
      </w:r>
      <w:r w:rsidR="005C3F2D">
        <w:t xml:space="preserve">tiered </w:t>
      </w:r>
      <w:r w:rsidR="009A01E5">
        <w:t xml:space="preserve">approach for </w:t>
      </w:r>
      <w:r w:rsidR="009F432B">
        <w:t xml:space="preserve">modeling </w:t>
      </w:r>
      <w:r w:rsidR="00B95F12">
        <w:t>ambient</w:t>
      </w:r>
      <w:r w:rsidR="000743D3">
        <w:t xml:space="preserve"> </w:t>
      </w:r>
      <w:r w:rsidR="005C3F2D">
        <w:t>NO</w:t>
      </w:r>
      <w:r w:rsidR="005C3F2D" w:rsidRPr="005C3F2D">
        <w:rPr>
          <w:vertAlign w:val="subscript"/>
        </w:rPr>
        <w:t>2</w:t>
      </w:r>
      <w:r w:rsidR="005C3F2D">
        <w:t xml:space="preserve"> </w:t>
      </w:r>
      <w:r w:rsidR="000743D3">
        <w:t>impacts</w:t>
      </w:r>
      <w:r w:rsidR="00721CB2">
        <w:t xml:space="preserve">.  The tiers </w:t>
      </w:r>
      <w:r w:rsidR="009A01E5">
        <w:t>rang</w:t>
      </w:r>
      <w:r w:rsidR="00721CB2">
        <w:t>e</w:t>
      </w:r>
      <w:r w:rsidR="009A01E5">
        <w:t xml:space="preserve"> from the simple assumption that </w:t>
      </w:r>
      <w:r w:rsidR="00C16BF5">
        <w:t>all</w:t>
      </w:r>
      <w:r w:rsidR="009A01E5">
        <w:t xml:space="preserve"> NO is converted to NO</w:t>
      </w:r>
      <w:r w:rsidR="009A01E5">
        <w:rPr>
          <w:vertAlign w:val="subscript"/>
        </w:rPr>
        <w:t>2</w:t>
      </w:r>
      <w:r w:rsidR="009A01E5">
        <w:t xml:space="preserve"> </w:t>
      </w:r>
      <w:r w:rsidR="00C16BF5">
        <w:t xml:space="preserve">(i.e., full conversion), </w:t>
      </w:r>
      <w:r w:rsidR="009A01E5">
        <w:t xml:space="preserve">to other more complex methods.  </w:t>
      </w:r>
      <w:r w:rsidR="0071694C">
        <w:t>T</w:t>
      </w:r>
      <w:r w:rsidR="009A01E5">
        <w:t xml:space="preserve">hese methods </w:t>
      </w:r>
      <w:r w:rsidR="0071694C">
        <w:t>are</w:t>
      </w:r>
      <w:r w:rsidR="009A01E5">
        <w:t xml:space="preserve"> </w:t>
      </w:r>
      <w:r w:rsidR="00721CB2">
        <w:t xml:space="preserve">illustrated in </w:t>
      </w:r>
      <w:r w:rsidR="00480165">
        <w:fldChar w:fldCharType="begin"/>
      </w:r>
      <w:r w:rsidR="00480165">
        <w:instrText xml:space="preserve"> REF _Ref359863238 \h </w:instrText>
      </w:r>
      <w:r w:rsidR="00480165">
        <w:fldChar w:fldCharType="separate"/>
      </w:r>
      <w:r w:rsidR="00104535">
        <w:t xml:space="preserve">Figure </w:t>
      </w:r>
      <w:r w:rsidR="00104535">
        <w:rPr>
          <w:noProof/>
        </w:rPr>
        <w:t>16</w:t>
      </w:r>
      <w:r w:rsidR="00480165">
        <w:fldChar w:fldCharType="end"/>
      </w:r>
      <w:r w:rsidR="00721CB2">
        <w:t xml:space="preserve"> (which ADEC copied from the </w:t>
      </w:r>
      <w:r w:rsidR="00721CB2" w:rsidRPr="00C42099">
        <w:t>Guideline</w:t>
      </w:r>
      <w:proofErr w:type="gramStart"/>
      <w:r w:rsidR="00721CB2" w:rsidRPr="00721CB2">
        <w:t>)</w:t>
      </w:r>
      <w:r w:rsidR="00FC3192">
        <w:t>,</w:t>
      </w:r>
      <w:r w:rsidR="005C3F2D">
        <w:t xml:space="preserve"> </w:t>
      </w:r>
      <w:r w:rsidR="00721CB2">
        <w:t>and</w:t>
      </w:r>
      <w:proofErr w:type="gramEnd"/>
      <w:r w:rsidR="00721CB2">
        <w:t xml:space="preserve"> are further summarized below</w:t>
      </w:r>
      <w:r w:rsidR="005C3F2D">
        <w:t>.</w:t>
      </w:r>
      <w:r w:rsidR="008664DD">
        <w:t xml:space="preserve">  As noted in Section 4.2.3.4</w:t>
      </w:r>
      <w:r w:rsidR="008F461C">
        <w:t>(</w:t>
      </w:r>
      <w:r w:rsidR="008664DD">
        <w:t>b</w:t>
      </w:r>
      <w:r w:rsidR="008F461C">
        <w:t>)</w:t>
      </w:r>
      <w:r w:rsidR="008664DD">
        <w:t xml:space="preserve"> of the </w:t>
      </w:r>
      <w:r w:rsidR="008664DD" w:rsidRPr="00C42099">
        <w:t>Guideline</w:t>
      </w:r>
      <w:r w:rsidR="008664DD">
        <w:t xml:space="preserve">, “modeling of negative emissions rates should only be done after consultation with the EPA Regional Office to ensure that decreases in concentrations would not be overestimated.” </w:t>
      </w:r>
    </w:p>
    <w:p w14:paraId="727B88DC" w14:textId="4AC19B63" w:rsidR="00604B27" w:rsidRDefault="00AA1A4A" w:rsidP="00604B27">
      <w:pPr>
        <w:keepNext/>
      </w:pPr>
      <w:r>
        <w:rPr>
          <w:noProof/>
        </w:rPr>
        <w:drawing>
          <wp:inline distT="0" distB="0" distL="0" distR="0" wp14:anchorId="0505CC64" wp14:editId="4F04F221">
            <wp:extent cx="5486400" cy="2435225"/>
            <wp:effectExtent l="0" t="0" r="0" b="3175"/>
            <wp:docPr id="1" name="Picture 1" descr="multi-tiered approach for estimating NO2 concen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ulti-tiered approach for estimating NO2 concentrations"/>
                    <pic:cNvPicPr/>
                  </pic:nvPicPr>
                  <pic:blipFill>
                    <a:blip r:embed="rId148"/>
                    <a:stretch>
                      <a:fillRect/>
                    </a:stretch>
                  </pic:blipFill>
                  <pic:spPr>
                    <a:xfrm>
                      <a:off x="0" y="0"/>
                      <a:ext cx="5486400" cy="2435225"/>
                    </a:xfrm>
                    <a:prstGeom prst="rect">
                      <a:avLst/>
                    </a:prstGeom>
                  </pic:spPr>
                </pic:pic>
              </a:graphicData>
            </a:graphic>
          </wp:inline>
        </w:drawing>
      </w:r>
    </w:p>
    <w:p w14:paraId="083E5869" w14:textId="6F575181" w:rsidR="005C3F2D" w:rsidRDefault="00604B27" w:rsidP="00604B27">
      <w:pPr>
        <w:pStyle w:val="Caption"/>
        <w:jc w:val="center"/>
      </w:pPr>
      <w:bookmarkStart w:id="227" w:name="_Ref359863238"/>
      <w:bookmarkStart w:id="228" w:name="_Toc360016197"/>
      <w:bookmarkStart w:id="229" w:name="_Toc526778359"/>
      <w:r>
        <w:t xml:space="preserve">Figure </w:t>
      </w:r>
      <w:r w:rsidR="00B560B0">
        <w:rPr>
          <w:noProof/>
        </w:rPr>
        <w:fldChar w:fldCharType="begin"/>
      </w:r>
      <w:r w:rsidR="00B560B0">
        <w:rPr>
          <w:noProof/>
        </w:rPr>
        <w:instrText xml:space="preserve"> SEQ Figure \* ARABIC </w:instrText>
      </w:r>
      <w:r w:rsidR="00B560B0">
        <w:rPr>
          <w:noProof/>
        </w:rPr>
        <w:fldChar w:fldCharType="separate"/>
      </w:r>
      <w:r w:rsidR="00104535">
        <w:rPr>
          <w:noProof/>
        </w:rPr>
        <w:t>16</w:t>
      </w:r>
      <w:r w:rsidR="00B560B0">
        <w:rPr>
          <w:noProof/>
        </w:rPr>
        <w:fldChar w:fldCharType="end"/>
      </w:r>
      <w:bookmarkEnd w:id="227"/>
      <w:r w:rsidR="004C5669">
        <w:t xml:space="preserve">.  </w:t>
      </w:r>
      <w:r w:rsidR="006E3430">
        <w:t>Multi-tiered</w:t>
      </w:r>
      <w:r>
        <w:t xml:space="preserve"> Approach </w:t>
      </w:r>
      <w:r w:rsidR="006E3430">
        <w:t>for Estimating</w:t>
      </w:r>
      <w:r>
        <w:t xml:space="preserve"> NO</w:t>
      </w:r>
      <w:r w:rsidRPr="00604B27">
        <w:rPr>
          <w:vertAlign w:val="subscript"/>
        </w:rPr>
        <w:t>2</w:t>
      </w:r>
      <w:r>
        <w:t xml:space="preserve"> </w:t>
      </w:r>
      <w:bookmarkEnd w:id="228"/>
      <w:r w:rsidR="006E3430">
        <w:t>Concentrations</w:t>
      </w:r>
      <w:bookmarkEnd w:id="229"/>
    </w:p>
    <w:p w14:paraId="5AD26A9E" w14:textId="77777777" w:rsidR="005C3F2D" w:rsidRPr="006A2939" w:rsidRDefault="004E282E" w:rsidP="00230FCD">
      <w:pPr>
        <w:pStyle w:val="Level5"/>
        <w:rPr>
          <w:b/>
          <w:i w:val="0"/>
        </w:rPr>
      </w:pPr>
      <w:r w:rsidRPr="006A2939">
        <w:rPr>
          <w:b/>
          <w:i w:val="0"/>
        </w:rPr>
        <w:t>Tier 1</w:t>
      </w:r>
    </w:p>
    <w:p w14:paraId="55510B42" w14:textId="07DF2A8C" w:rsidR="005C3F2D" w:rsidRDefault="005C3F2D" w:rsidP="00BE386F">
      <w:r>
        <w:t xml:space="preserve">In </w:t>
      </w:r>
      <w:r w:rsidR="00366306">
        <w:t xml:space="preserve">the </w:t>
      </w:r>
      <w:r>
        <w:t>Tier 1</w:t>
      </w:r>
      <w:r w:rsidR="00366306">
        <w:t xml:space="preserve"> approach</w:t>
      </w:r>
      <w:r>
        <w:t xml:space="preserve">, </w:t>
      </w:r>
      <w:r w:rsidR="009A01E5">
        <w:t xml:space="preserve">the </w:t>
      </w:r>
      <w:r w:rsidR="00C16BF5">
        <w:t>model user</w:t>
      </w:r>
      <w:r w:rsidR="009A01E5">
        <w:t xml:space="preserve"> assume</w:t>
      </w:r>
      <w:r w:rsidR="00C16BF5">
        <w:t>s</w:t>
      </w:r>
      <w:r w:rsidR="009A01E5">
        <w:t xml:space="preserve"> that 100</w:t>
      </w:r>
      <w:r w:rsidR="0071694C">
        <w:t xml:space="preserve"> percent</w:t>
      </w:r>
      <w:r w:rsidR="009A01E5">
        <w:t xml:space="preserve"> of the emitted NO is converted to NO</w:t>
      </w:r>
      <w:r w:rsidR="009A01E5">
        <w:rPr>
          <w:vertAlign w:val="subscript"/>
        </w:rPr>
        <w:t>2</w:t>
      </w:r>
      <w:r w:rsidR="009A01E5">
        <w:t>.</w:t>
      </w:r>
      <w:r w:rsidR="002C6123">
        <w:t xml:space="preserve"> </w:t>
      </w:r>
      <w:r w:rsidR="00366306">
        <w:t xml:space="preserve"> </w:t>
      </w:r>
      <w:r w:rsidR="000743D3">
        <w:t xml:space="preserve">Applicants may </w:t>
      </w:r>
      <w:r w:rsidR="00C70632">
        <w:t xml:space="preserve">generally </w:t>
      </w:r>
      <w:r w:rsidR="000743D3">
        <w:t>use this approach without justification or request</w:t>
      </w:r>
      <w:r w:rsidR="00C70632">
        <w:t xml:space="preserve"> to estimate their </w:t>
      </w:r>
      <w:r w:rsidR="00C70632" w:rsidRPr="00C70632">
        <w:rPr>
          <w:i/>
        </w:rPr>
        <w:t>current</w:t>
      </w:r>
      <w:r w:rsidR="00C70632">
        <w:t xml:space="preserve"> or </w:t>
      </w:r>
      <w:r w:rsidR="00C70632" w:rsidRPr="00C70632">
        <w:rPr>
          <w:i/>
        </w:rPr>
        <w:t>future</w:t>
      </w:r>
      <w:r w:rsidR="00C70632">
        <w:t xml:space="preserve"> impacts</w:t>
      </w:r>
      <w:r w:rsidR="000743D3">
        <w:t>, sin</w:t>
      </w:r>
      <w:r w:rsidR="006238F5">
        <w:t xml:space="preserve">ce </w:t>
      </w:r>
      <w:r w:rsidR="000743D3">
        <w:t>it</w:t>
      </w:r>
      <w:r w:rsidR="002C6123">
        <w:t xml:space="preserve"> provides </w:t>
      </w:r>
      <w:r w:rsidR="006238F5">
        <w:t xml:space="preserve">the worst-case scenario </w:t>
      </w:r>
      <w:r w:rsidR="002E6CBE">
        <w:t>for</w:t>
      </w:r>
      <w:r w:rsidR="006238F5">
        <w:t xml:space="preserve"> atmospheric conversion of NO to NO</w:t>
      </w:r>
      <w:r w:rsidR="002C6123" w:rsidRPr="006238F5">
        <w:rPr>
          <w:vertAlign w:val="subscript"/>
        </w:rPr>
        <w:t>2</w:t>
      </w:r>
      <w:r w:rsidR="006238F5">
        <w:t xml:space="preserve">. </w:t>
      </w:r>
      <w:r w:rsidR="00C70632">
        <w:t xml:space="preserve"> However, this approach may be </w:t>
      </w:r>
      <w:r w:rsidR="00322A41">
        <w:lastRenderedPageBreak/>
        <w:t>in</w:t>
      </w:r>
      <w:r w:rsidR="00C70632">
        <w:t xml:space="preserve">appropriate when estimating the baseline concentrations in a </w:t>
      </w:r>
      <w:r w:rsidR="00C70632" w:rsidRPr="00150E0D">
        <w:t>NO</w:t>
      </w:r>
      <w:r w:rsidR="00C70632" w:rsidRPr="00150E0D">
        <w:rPr>
          <w:vertAlign w:val="subscript"/>
        </w:rPr>
        <w:t>2</w:t>
      </w:r>
      <w:r w:rsidR="00C70632">
        <w:t xml:space="preserve"> increment analysis, or any type of </w:t>
      </w:r>
      <w:r w:rsidR="00C70632" w:rsidRPr="00150E0D">
        <w:t>NO</w:t>
      </w:r>
      <w:r w:rsidR="00C70632" w:rsidRPr="00150E0D">
        <w:rPr>
          <w:vertAlign w:val="subscript"/>
        </w:rPr>
        <w:t>2</w:t>
      </w:r>
      <w:r w:rsidR="00C70632">
        <w:t xml:space="preserve"> “credit</w:t>
      </w:r>
      <w:r w:rsidR="002B267E">
        <w:t>,</w:t>
      </w:r>
      <w:r w:rsidR="00C70632">
        <w:t xml:space="preserve">” since it </w:t>
      </w:r>
      <w:r w:rsidR="000465E4">
        <w:t>likely</w:t>
      </w:r>
      <w:r w:rsidR="00C70632">
        <w:t xml:space="preserve"> overstate</w:t>
      </w:r>
      <w:r w:rsidR="000465E4">
        <w:t>s</w:t>
      </w:r>
      <w:r w:rsidR="00C70632">
        <w:t xml:space="preserve"> th</w:t>
      </w:r>
      <w:r w:rsidR="00322A41">
        <w:t>ose concentrations</w:t>
      </w:r>
      <w:r w:rsidR="002B267E">
        <w:t xml:space="preserve">.  In those situations, a more accurate technique may be warranted. </w:t>
      </w:r>
      <w:r w:rsidR="00C70632">
        <w:t xml:space="preserve"> </w:t>
      </w:r>
    </w:p>
    <w:p w14:paraId="2129D758" w14:textId="77777777" w:rsidR="005C3F2D" w:rsidRPr="006A2939" w:rsidRDefault="004E282E" w:rsidP="00230FCD">
      <w:pPr>
        <w:pStyle w:val="Level5"/>
        <w:rPr>
          <w:b/>
          <w:i w:val="0"/>
        </w:rPr>
      </w:pPr>
      <w:r w:rsidRPr="006A2939">
        <w:rPr>
          <w:b/>
          <w:i w:val="0"/>
        </w:rPr>
        <w:t>Tier 2</w:t>
      </w:r>
    </w:p>
    <w:p w14:paraId="5D3701D1" w14:textId="528D1DCF" w:rsidR="00D37B25" w:rsidRDefault="00366306" w:rsidP="00604B27">
      <w:pPr>
        <w:keepNext/>
      </w:pPr>
      <w:r>
        <w:t>The Tier 2 a</w:t>
      </w:r>
      <w:r w:rsidR="00DA6379">
        <w:t>pproach</w:t>
      </w:r>
      <w:r w:rsidR="009A01E5">
        <w:t xml:space="preserve"> employ</w:t>
      </w:r>
      <w:r w:rsidR="00DA6379">
        <w:t>s</w:t>
      </w:r>
      <w:r w:rsidR="009A01E5">
        <w:t xml:space="preserve"> the </w:t>
      </w:r>
      <w:r w:rsidR="00DA6379">
        <w:t xml:space="preserve">method known as the </w:t>
      </w:r>
      <w:r>
        <w:t>“</w:t>
      </w:r>
      <w:r w:rsidR="00B20D28">
        <w:t>A</w:t>
      </w:r>
      <w:r w:rsidR="009A01E5">
        <w:t xml:space="preserve">mbient </w:t>
      </w:r>
      <w:r w:rsidR="00B20D28">
        <w:t>R</w:t>
      </w:r>
      <w:r w:rsidR="009A01E5">
        <w:t xml:space="preserve">atio </w:t>
      </w:r>
      <w:r w:rsidR="00B20D28">
        <w:t>M</w:t>
      </w:r>
      <w:r w:rsidR="009A01E5">
        <w:t>ethod</w:t>
      </w:r>
      <w:r w:rsidR="00AF7838">
        <w:t xml:space="preserve"> </w:t>
      </w:r>
      <w:r w:rsidR="00B20D28">
        <w:t>2</w:t>
      </w:r>
      <w:r>
        <w:t>”</w:t>
      </w:r>
      <w:r w:rsidR="009A01E5">
        <w:t xml:space="preserve"> (ARM</w:t>
      </w:r>
      <w:r w:rsidR="00B20D28">
        <w:t>2</w:t>
      </w:r>
      <w:r w:rsidR="009A01E5">
        <w:t>)</w:t>
      </w:r>
      <w:r w:rsidR="00B20D28">
        <w:t xml:space="preserve">, “which provides estimates of representative equilibrium ratios of </w:t>
      </w:r>
      <w:r w:rsidR="00B20D28" w:rsidRPr="00150E0D">
        <w:t>NO</w:t>
      </w:r>
      <w:r w:rsidR="00B20D28" w:rsidRPr="00150E0D">
        <w:rPr>
          <w:vertAlign w:val="subscript"/>
        </w:rPr>
        <w:t>2</w:t>
      </w:r>
      <w:r w:rsidR="00B20D28">
        <w:t>/NOx value base</w:t>
      </w:r>
      <w:r w:rsidR="00562153">
        <w:t>d</w:t>
      </w:r>
      <w:r w:rsidR="00B20D28">
        <w:t xml:space="preserve"> on ambient levels of </w:t>
      </w:r>
      <w:r w:rsidR="00B20D28" w:rsidRPr="00150E0D">
        <w:t>NO</w:t>
      </w:r>
      <w:r w:rsidR="00B20D28" w:rsidRPr="00150E0D">
        <w:rPr>
          <w:vertAlign w:val="subscript"/>
        </w:rPr>
        <w:t>2</w:t>
      </w:r>
      <w:r w:rsidR="00B20D28">
        <w:t xml:space="preserve"> and NOx derived from national data from the EPA’s Air Quality System (AQS)”</w:t>
      </w:r>
      <w:r w:rsidR="00077CD8">
        <w:t>.</w:t>
      </w:r>
      <w:r w:rsidR="00B20D28">
        <w:rPr>
          <w:rStyle w:val="FootnoteReference"/>
        </w:rPr>
        <w:footnoteReference w:id="74"/>
      </w:r>
      <w:r w:rsidR="00077CD8">
        <w:t xml:space="preserve"> </w:t>
      </w:r>
      <w:r w:rsidR="009A01E5">
        <w:t xml:space="preserve"> </w:t>
      </w:r>
      <w:r w:rsidR="004313DC">
        <w:t>The previous “Ambient Ratio Method” (ARM) is no longer a</w:t>
      </w:r>
      <w:r w:rsidR="00140A37">
        <w:t xml:space="preserve"> preferred</w:t>
      </w:r>
      <w:r w:rsidR="004313DC">
        <w:t xml:space="preserve"> option, but </w:t>
      </w:r>
      <w:r w:rsidR="00562153">
        <w:t>applicants can still request to use it</w:t>
      </w:r>
      <w:r w:rsidR="004313DC">
        <w:t xml:space="preserve"> – </w:t>
      </w:r>
      <w:r w:rsidR="004313DC" w:rsidRPr="004313DC">
        <w:rPr>
          <w:i/>
        </w:rPr>
        <w:t>if warranted</w:t>
      </w:r>
      <w:r w:rsidR="004313DC">
        <w:t xml:space="preserve"> – under the case-specific alternative modeling provisions in Section</w:t>
      </w:r>
      <w:r w:rsidR="0044597A">
        <w:t> </w:t>
      </w:r>
      <w:r w:rsidR="004313DC">
        <w:t xml:space="preserve">3.2 of the </w:t>
      </w:r>
      <w:hyperlink r:id="rId149" w:history="1">
        <w:r w:rsidR="004313DC" w:rsidRPr="00C42099">
          <w:rPr>
            <w:rStyle w:val="Hyperlink"/>
          </w:rPr>
          <w:t>Guideline</w:t>
        </w:r>
      </w:hyperlink>
      <w:r w:rsidR="004313DC">
        <w:t xml:space="preserve"> and 18</w:t>
      </w:r>
      <w:r w:rsidR="0044597A">
        <w:t> </w:t>
      </w:r>
      <w:r w:rsidR="004313DC">
        <w:t>AAC</w:t>
      </w:r>
      <w:r w:rsidR="0044597A">
        <w:t> </w:t>
      </w:r>
      <w:r w:rsidR="004313DC">
        <w:t xml:space="preserve">50.215(c). </w:t>
      </w:r>
      <w:r w:rsidR="009A01E5">
        <w:t xml:space="preserve">  </w:t>
      </w:r>
    </w:p>
    <w:p w14:paraId="224D8745" w14:textId="2CCC5C75" w:rsidR="00BE386F" w:rsidRDefault="00337F3F" w:rsidP="00BE386F">
      <w:r>
        <w:t xml:space="preserve">AERMOD includes a default minimum ambient </w:t>
      </w:r>
      <w:r w:rsidRPr="00150E0D">
        <w:t>NO</w:t>
      </w:r>
      <w:r w:rsidRPr="00150E0D">
        <w:rPr>
          <w:vertAlign w:val="subscript"/>
        </w:rPr>
        <w:t>2</w:t>
      </w:r>
      <w:r>
        <w:t xml:space="preserve">/NOx ratio of 0.5 and a </w:t>
      </w:r>
      <w:r w:rsidR="00BF25BD">
        <w:t xml:space="preserve">default </w:t>
      </w:r>
      <w:r>
        <w:t xml:space="preserve">maximum ambient </w:t>
      </w:r>
      <w:r w:rsidRPr="00150E0D">
        <w:t>NO</w:t>
      </w:r>
      <w:r w:rsidRPr="00150E0D">
        <w:rPr>
          <w:vertAlign w:val="subscript"/>
        </w:rPr>
        <w:t>2</w:t>
      </w:r>
      <w:r>
        <w:t>/</w:t>
      </w:r>
      <w:r w:rsidRPr="00150E0D">
        <w:t>NO</w:t>
      </w:r>
      <w:r w:rsidRPr="00150E0D">
        <w:rPr>
          <w:vertAlign w:val="subscript"/>
        </w:rPr>
        <w:t>2</w:t>
      </w:r>
      <w:r>
        <w:t xml:space="preserve"> ratio of 0.9.  However, </w:t>
      </w:r>
      <w:r w:rsidR="00B1111D">
        <w:t xml:space="preserve">we as the reviewing authority, may </w:t>
      </w:r>
      <w:r>
        <w:t xml:space="preserve">approve </w:t>
      </w:r>
      <w:r w:rsidR="00B1111D">
        <w:t xml:space="preserve">requests to use </w:t>
      </w:r>
      <w:r>
        <w:t xml:space="preserve">alternative </w:t>
      </w:r>
      <w:r w:rsidR="00BF25BD">
        <w:t>minimum values</w:t>
      </w:r>
      <w:r>
        <w:t xml:space="preserve"> </w:t>
      </w:r>
      <w:r w:rsidR="00BF25BD">
        <w:t xml:space="preserve">based on the EU’s in-stack </w:t>
      </w:r>
      <w:r w:rsidR="00BF25BD" w:rsidRPr="00150E0D">
        <w:t>NO</w:t>
      </w:r>
      <w:r w:rsidR="00BF25BD" w:rsidRPr="00150E0D">
        <w:rPr>
          <w:vertAlign w:val="subscript"/>
        </w:rPr>
        <w:t>2</w:t>
      </w:r>
      <w:r w:rsidR="00BF25BD">
        <w:t>/NOx ratios.  See Section</w:t>
      </w:r>
      <w:r w:rsidR="002C6FA4">
        <w:t> </w:t>
      </w:r>
      <w:r w:rsidR="00BF25BD">
        <w:t>4.2.3.4</w:t>
      </w:r>
      <w:r w:rsidR="008F461C">
        <w:t>(</w:t>
      </w:r>
      <w:r w:rsidR="00BF25BD">
        <w:t>d</w:t>
      </w:r>
      <w:r w:rsidR="008F461C">
        <w:t>)</w:t>
      </w:r>
      <w:r w:rsidR="00BF25BD">
        <w:t xml:space="preserve"> of the </w:t>
      </w:r>
      <w:hyperlink r:id="rId150" w:history="1">
        <w:r w:rsidR="00BF25BD" w:rsidRPr="00C42099">
          <w:rPr>
            <w:rStyle w:val="Hyperlink"/>
          </w:rPr>
          <w:t>Guideline</w:t>
        </w:r>
      </w:hyperlink>
      <w:r w:rsidR="00BF25BD">
        <w:t xml:space="preserve"> for additional information.  </w:t>
      </w:r>
    </w:p>
    <w:p w14:paraId="28459AEF" w14:textId="56518ABF" w:rsidR="00140A37" w:rsidRDefault="00140A37" w:rsidP="00BE386F">
      <w:r>
        <w:t>OCD does not include an ARM2 option, but R10 proposed an approach for applying ARM2 to the OCD results.</w:t>
      </w:r>
      <w:r>
        <w:rPr>
          <w:rStyle w:val="FootnoteReference"/>
        </w:rPr>
        <w:footnoteReference w:id="75"/>
      </w:r>
      <w:r>
        <w:t xml:space="preserve">  They stated, “This required some extra effort by the applicant, but less effort than a full 3.2.2 demonstration” (i.e., request to use ARM).  </w:t>
      </w:r>
      <w:r w:rsidR="00CB537D">
        <w:t xml:space="preserve">The following is a verbatim reiteration of </w:t>
      </w:r>
      <w:r>
        <w:t xml:space="preserve">R10’s recommended procedure: </w:t>
      </w:r>
    </w:p>
    <w:p w14:paraId="7ECC0016" w14:textId="10AC97E8" w:rsidR="00140A37" w:rsidRDefault="00140A37" w:rsidP="00140A37">
      <w:pPr>
        <w:ind w:left="720" w:right="720"/>
        <w:rPr>
          <w:sz w:val="22"/>
          <w:szCs w:val="22"/>
        </w:rPr>
      </w:pPr>
      <w:r>
        <w:t>Step 1) Apply the maximum ARM2 ratio of 0.9 to the modeled results. This approach is conservative and effectively complies with the App. W 4.2.3.4 Guidance for Tier 2 NO2 analysis.</w:t>
      </w:r>
      <w:r w:rsidR="00430917">
        <w:t xml:space="preserve"> </w:t>
      </w:r>
      <w:r>
        <w:t xml:space="preserve"> If results at receptors exceed the SIL (or exceed NAAQS when background is added, if this step is used for a cumulative analysis), proceed to Step 2:</w:t>
      </w:r>
    </w:p>
    <w:p w14:paraId="02CAAAA4" w14:textId="10611C66" w:rsidR="00140A37" w:rsidRDefault="00140A37" w:rsidP="00140A37">
      <w:pPr>
        <w:ind w:left="720" w:right="720"/>
      </w:pPr>
      <w:r>
        <w:t>Step 2) Determine which receptors exceed the SIL (from Step 1) and grab the hourly modeled concentration data from this subset of receptors:</w:t>
      </w:r>
      <w:r w:rsidR="00430917">
        <w:t xml:space="preserve"> </w:t>
      </w:r>
      <w:r>
        <w:t xml:space="preserve"> OCD allows the user to print out hourly concentrations at each receptor using </w:t>
      </w:r>
      <w:proofErr w:type="gramStart"/>
      <w:r>
        <w:t>IOPT(</w:t>
      </w:r>
      <w:proofErr w:type="gramEnd"/>
      <w:r>
        <w:t>14) = 0; selecting the “hourly summary of receptor concentrations” option.</w:t>
      </w:r>
      <w:r w:rsidR="00430917">
        <w:t xml:space="preserve"> </w:t>
      </w:r>
      <w:r>
        <w:t xml:space="preserve"> I believe the output is an ordered ASCII file that can be manipulated to fit the results into Excel or processed via Python/R/other system. </w:t>
      </w:r>
    </w:p>
    <w:p w14:paraId="25B13C2D" w14:textId="1144B48E" w:rsidR="00140A37" w:rsidRDefault="00140A37" w:rsidP="00140A37">
      <w:pPr>
        <w:ind w:left="720" w:right="720"/>
      </w:pPr>
      <w:r>
        <w:t xml:space="preserve">Step 3) For the selected receptors, use the ARM2 equation to determine the NO2 concentration for each hour. The ARM2 equation, as coded into the version 16216r version of AERMOD, is available in Section 3.4 (Page 22) of the attached API Evaluation Report. The equation determines the NO2/NOx equilibrium ratio depending on the modeled ambient concentration of NOx (without background added!). </w:t>
      </w:r>
    </w:p>
    <w:p w14:paraId="0EA3BDB5" w14:textId="77777777" w:rsidR="00140A37" w:rsidRDefault="00140A37" w:rsidP="00140A37">
      <w:pPr>
        <w:ind w:left="720" w:right="720"/>
      </w:pPr>
      <w:r>
        <w:lastRenderedPageBreak/>
        <w:t xml:space="preserve">Step 4) Use the results from Step 3 to determine the NO2 design value for comparison to the NAAQS or SILs. </w:t>
      </w:r>
    </w:p>
    <w:p w14:paraId="629ED315" w14:textId="58D4A771" w:rsidR="00140A37" w:rsidRDefault="00CB537D" w:rsidP="008E60B5">
      <w:pPr>
        <w:ind w:right="720"/>
      </w:pPr>
      <w:r>
        <w:t xml:space="preserve">R10 felt </w:t>
      </w:r>
      <w:r w:rsidR="00140A37">
        <w:t>Step 1 w</w:t>
      </w:r>
      <w:r>
        <w:t xml:space="preserve">ould </w:t>
      </w:r>
      <w:r w:rsidR="00140A37">
        <w:t>likely suffice f</w:t>
      </w:r>
      <w:r w:rsidR="008E60B5">
        <w:t xml:space="preserve">or </w:t>
      </w:r>
      <w:proofErr w:type="gramStart"/>
      <w:r w:rsidR="008E60B5">
        <w:t>the vast majority of</w:t>
      </w:r>
      <w:proofErr w:type="gramEnd"/>
      <w:r w:rsidR="008E60B5">
        <w:t xml:space="preserve"> cases.  </w:t>
      </w:r>
      <w:r w:rsidR="00E24C22">
        <w:t xml:space="preserve">They also stated that </w:t>
      </w:r>
      <w:r>
        <w:t>they w</w:t>
      </w:r>
      <w:r w:rsidR="00E24C22">
        <w:t>ere</w:t>
      </w:r>
      <w:r w:rsidR="00140A37">
        <w:t xml:space="preserve"> available to clarify </w:t>
      </w:r>
      <w:r>
        <w:t xml:space="preserve">Steps 2 – 4 if </w:t>
      </w:r>
      <w:r w:rsidR="00140A37">
        <w:t xml:space="preserve">needed. </w:t>
      </w:r>
      <w:r w:rsidR="008E60B5">
        <w:t xml:space="preserve"> </w:t>
      </w:r>
    </w:p>
    <w:p w14:paraId="134B1B77" w14:textId="77777777" w:rsidR="005C3F2D" w:rsidRPr="006A2939" w:rsidRDefault="004E282E" w:rsidP="00230FCD">
      <w:pPr>
        <w:pStyle w:val="Level5"/>
        <w:rPr>
          <w:b/>
          <w:i w:val="0"/>
        </w:rPr>
      </w:pPr>
      <w:r w:rsidRPr="006A2939">
        <w:rPr>
          <w:b/>
          <w:i w:val="0"/>
        </w:rPr>
        <w:t>Tier 3</w:t>
      </w:r>
    </w:p>
    <w:p w14:paraId="51D7A08B" w14:textId="3B2E7EA8" w:rsidR="00DC05F7" w:rsidRDefault="00366306">
      <w:pPr>
        <w:pStyle w:val="Date"/>
      </w:pPr>
      <w:proofErr w:type="gramStart"/>
      <w:r>
        <w:t>A</w:t>
      </w:r>
      <w:r w:rsidR="00BE386F" w:rsidRPr="00BE386F">
        <w:t xml:space="preserve"> detailed</w:t>
      </w:r>
      <w:proofErr w:type="gramEnd"/>
      <w:r w:rsidR="00BE386F" w:rsidRPr="00BE386F">
        <w:t xml:space="preserve"> screening method</w:t>
      </w:r>
      <w:r w:rsidR="00BE386F">
        <w:t>, such as the Ozone Limiting Method (OLM)</w:t>
      </w:r>
      <w:r w:rsidR="00AF5FE0">
        <w:rPr>
          <w:rStyle w:val="FootnoteReference"/>
        </w:rPr>
        <w:footnoteReference w:id="76"/>
      </w:r>
      <w:r w:rsidR="00AF5FE0">
        <w:t xml:space="preserve"> or the Plume Volume Molar Ratio Method (PVMRM)</w:t>
      </w:r>
      <w:r>
        <w:t>,</w:t>
      </w:r>
      <w:r w:rsidR="00AF5FE0">
        <w:rPr>
          <w:rStyle w:val="FootnoteReference"/>
        </w:rPr>
        <w:footnoteReference w:id="77"/>
      </w:r>
      <w:r w:rsidR="00AF5FE0" w:rsidRPr="00451370">
        <w:rPr>
          <w:vertAlign w:val="superscript"/>
        </w:rPr>
        <w:t>,</w:t>
      </w:r>
      <w:r w:rsidR="00BD5A39">
        <w:rPr>
          <w:vertAlign w:val="superscript"/>
        </w:rPr>
        <w:t xml:space="preserve"> </w:t>
      </w:r>
      <w:r w:rsidR="00AF5FE0">
        <w:rPr>
          <w:rStyle w:val="FootnoteReference"/>
        </w:rPr>
        <w:footnoteReference w:id="78"/>
      </w:r>
      <w:r w:rsidR="00BE386F" w:rsidRPr="00BE386F">
        <w:t xml:space="preserve"> may be selected on a case-</w:t>
      </w:r>
      <w:r>
        <w:t>specific</w:t>
      </w:r>
      <w:r w:rsidR="00BE386F" w:rsidRPr="00BE386F">
        <w:t xml:space="preserve"> basis</w:t>
      </w:r>
      <w:r>
        <w:t xml:space="preserve"> in a Tier 3 analysis</w:t>
      </w:r>
      <w:r w:rsidR="0099404F">
        <w:t>.</w:t>
      </w:r>
      <w:r w:rsidR="009A01E5">
        <w:t xml:space="preserve">  </w:t>
      </w:r>
      <w:r w:rsidR="00996BB8">
        <w:t>However, if the application is subject to PSD-review, then you will need to discuss the proposed approach with R10, per Section 4.2.3.4</w:t>
      </w:r>
      <w:r w:rsidR="008F461C">
        <w:t>(</w:t>
      </w:r>
      <w:r w:rsidR="00996BB8">
        <w:t>e</w:t>
      </w:r>
      <w:r w:rsidR="008F461C">
        <w:t>)</w:t>
      </w:r>
      <w:r w:rsidR="00996BB8">
        <w:t xml:space="preserve"> of the </w:t>
      </w:r>
      <w:r w:rsidR="00996BB8" w:rsidRPr="00C42099">
        <w:t>Guideline</w:t>
      </w:r>
      <w:r w:rsidR="00996BB8">
        <w:t>.  R10 has also provided the following clarification:</w:t>
      </w:r>
    </w:p>
    <w:p w14:paraId="51C436CA" w14:textId="2A2E8973" w:rsidR="00996BB8" w:rsidRPr="00996BB8" w:rsidRDefault="00996BB8" w:rsidP="00996BB8">
      <w:pPr>
        <w:ind w:left="720" w:right="720"/>
      </w:pPr>
      <w:r>
        <w:t xml:space="preserve">Formal approval by the Regional Administrator or a delegated representative is not required for </w:t>
      </w:r>
      <w:proofErr w:type="gramStart"/>
      <w:r>
        <w:t>a consultation</w:t>
      </w:r>
      <w:proofErr w:type="gramEnd"/>
      <w:r>
        <w:t xml:space="preserve">. </w:t>
      </w:r>
      <w:r w:rsidR="008E60B5">
        <w:t xml:space="preserve"> </w:t>
      </w:r>
      <w:r>
        <w:t xml:space="preserve">Our most formal response for particularly unique or challenging projects would be a short technical report outlining our recommendations. </w:t>
      </w:r>
      <w:r w:rsidR="008E60B5">
        <w:t xml:space="preserve"> </w:t>
      </w:r>
      <w:r>
        <w:t xml:space="preserve">For routine use of Tier 3 methods for any major projects, consultation would likely only involve an email acknowledging the results of the consultation. </w:t>
      </w:r>
      <w:r w:rsidR="008E60B5">
        <w:t xml:space="preserve"> </w:t>
      </w:r>
      <w:r>
        <w:t xml:space="preserve">For routine minor NSR projects, consultation is available if Alaska seeks technical assistance, but approval or notice is not required, given the history of Alaska’s experience and history of communication with </w:t>
      </w:r>
      <w:r w:rsidR="008E60B5">
        <w:t>[</w:t>
      </w:r>
      <w:r>
        <w:t>R10</w:t>
      </w:r>
      <w:r w:rsidR="008E60B5">
        <w:t>]</w:t>
      </w:r>
      <w:r>
        <w:t xml:space="preserve"> regarding this subject. </w:t>
      </w:r>
      <w:r w:rsidR="008E60B5">
        <w:t xml:space="preserve"> </w:t>
      </w:r>
      <w:r>
        <w:t xml:space="preserve">Instead, consultation for routine minor NSR can be fulfilled by the general ongoing informal communication between </w:t>
      </w:r>
      <w:r w:rsidR="008E60B5">
        <w:t>[</w:t>
      </w:r>
      <w:r>
        <w:t>R10</w:t>
      </w:r>
      <w:r w:rsidR="008E60B5">
        <w:t>]</w:t>
      </w:r>
      <w:r>
        <w:t xml:space="preserve"> and Alaska regarding Alaska’s methods and experience applying Tier 3 models.</w:t>
      </w:r>
      <w:r w:rsidRPr="00996BB8">
        <w:rPr>
          <w:vertAlign w:val="superscript"/>
        </w:rPr>
        <w:fldChar w:fldCharType="begin"/>
      </w:r>
      <w:r w:rsidRPr="00996BB8">
        <w:rPr>
          <w:vertAlign w:val="superscript"/>
        </w:rPr>
        <w:instrText xml:space="preserve"> NOTEREF _Ref482619858 \h </w:instrText>
      </w:r>
      <w:r>
        <w:rPr>
          <w:vertAlign w:val="superscript"/>
        </w:rPr>
        <w:instrText xml:space="preserve"> \* MERGEFORMAT </w:instrText>
      </w:r>
      <w:r w:rsidRPr="00996BB8">
        <w:rPr>
          <w:vertAlign w:val="superscript"/>
        </w:rPr>
      </w:r>
      <w:r w:rsidRPr="00996BB8">
        <w:rPr>
          <w:vertAlign w:val="superscript"/>
        </w:rPr>
        <w:fldChar w:fldCharType="separate"/>
      </w:r>
      <w:r w:rsidR="00135FFD">
        <w:rPr>
          <w:vertAlign w:val="superscript"/>
        </w:rPr>
        <w:t>5</w:t>
      </w:r>
      <w:r w:rsidRPr="00996BB8">
        <w:rPr>
          <w:vertAlign w:val="superscript"/>
        </w:rPr>
        <w:fldChar w:fldCharType="end"/>
      </w:r>
    </w:p>
    <w:p w14:paraId="4B4C7D19" w14:textId="4CC93FAD" w:rsidR="00366306" w:rsidRDefault="00366306">
      <w:pPr>
        <w:pStyle w:val="Date"/>
      </w:pPr>
      <w:r>
        <w:t xml:space="preserve">OLM </w:t>
      </w:r>
      <w:r w:rsidR="00996BB8">
        <w:t xml:space="preserve">and PVMRM are both </w:t>
      </w:r>
      <w:r w:rsidR="00AF5FE0">
        <w:t>based on</w:t>
      </w:r>
      <w:r>
        <w:t xml:space="preserve"> the premise that the amount of ozone (</w:t>
      </w:r>
      <w:r w:rsidRPr="00DD3A5E">
        <w:t>O</w:t>
      </w:r>
      <w:r w:rsidRPr="00DD3A5E">
        <w:rPr>
          <w:vertAlign w:val="subscript"/>
        </w:rPr>
        <w:t>3</w:t>
      </w:r>
      <w:r>
        <w:t xml:space="preserve">) in the lower atmosphere is the </w:t>
      </w:r>
      <w:proofErr w:type="gramStart"/>
      <w:r>
        <w:t>predominate</w:t>
      </w:r>
      <w:proofErr w:type="gramEnd"/>
      <w:r>
        <w:t xml:space="preserve"> factor in converting NO to </w:t>
      </w:r>
      <w:r w:rsidRPr="00150E0D">
        <w:rPr>
          <w:szCs w:val="24"/>
        </w:rPr>
        <w:t>NO</w:t>
      </w:r>
      <w:r w:rsidRPr="00150E0D">
        <w:rPr>
          <w:szCs w:val="24"/>
          <w:vertAlign w:val="subscript"/>
        </w:rPr>
        <w:t>2</w:t>
      </w:r>
      <w:r w:rsidR="00DC05F7">
        <w:t>.</w:t>
      </w:r>
      <w:r>
        <w:t xml:space="preserve"> </w:t>
      </w:r>
      <w:r w:rsidR="00AF5FE0">
        <w:t xml:space="preserve">They </w:t>
      </w:r>
      <w:r w:rsidR="00DC05F7">
        <w:t xml:space="preserve">ignore all other chemical reactions that may occur in the atmosphere </w:t>
      </w:r>
      <w:proofErr w:type="gramStart"/>
      <w:r w:rsidR="00DC05F7">
        <w:t>and also</w:t>
      </w:r>
      <w:proofErr w:type="gramEnd"/>
      <w:r w:rsidR="00DC05F7">
        <w:t xml:space="preserve"> assumes that the </w:t>
      </w:r>
      <w:r w:rsidR="00DC05F7" w:rsidRPr="00150E0D">
        <w:rPr>
          <w:szCs w:val="24"/>
        </w:rPr>
        <w:t>NO</w:t>
      </w:r>
      <w:r w:rsidR="00DC05F7" w:rsidRPr="00150E0D">
        <w:rPr>
          <w:szCs w:val="24"/>
          <w:vertAlign w:val="subscript"/>
        </w:rPr>
        <w:t>2</w:t>
      </w:r>
      <w:r w:rsidR="00DC05F7">
        <w:t xml:space="preserve"> emissions remain as </w:t>
      </w:r>
      <w:r w:rsidR="00DC05F7" w:rsidRPr="00150E0D">
        <w:rPr>
          <w:szCs w:val="24"/>
        </w:rPr>
        <w:t>NO</w:t>
      </w:r>
      <w:r w:rsidR="00DC05F7" w:rsidRPr="00150E0D">
        <w:rPr>
          <w:szCs w:val="24"/>
          <w:vertAlign w:val="subscript"/>
        </w:rPr>
        <w:t>2</w:t>
      </w:r>
      <w:r w:rsidR="00DC05F7">
        <w:t xml:space="preserve"> in the atmosphere – i.e., </w:t>
      </w:r>
      <w:r w:rsidR="00AF5FE0">
        <w:t xml:space="preserve">they </w:t>
      </w:r>
      <w:r w:rsidR="00DC05F7">
        <w:t xml:space="preserve">ignore the </w:t>
      </w:r>
      <w:r w:rsidR="00DC05F7" w:rsidRPr="00150E0D">
        <w:rPr>
          <w:szCs w:val="24"/>
        </w:rPr>
        <w:t>NO</w:t>
      </w:r>
      <w:r w:rsidR="00DC05F7" w:rsidRPr="00150E0D">
        <w:rPr>
          <w:szCs w:val="24"/>
          <w:vertAlign w:val="subscript"/>
        </w:rPr>
        <w:t>2</w:t>
      </w:r>
      <w:r w:rsidR="00DC05F7">
        <w:t xml:space="preserve"> + </w:t>
      </w:r>
      <w:proofErr w:type="spellStart"/>
      <w:r w:rsidR="00DC05F7">
        <w:t>uv</w:t>
      </w:r>
      <w:proofErr w:type="spellEnd"/>
      <w:r w:rsidR="00DC05F7">
        <w:t xml:space="preserve"> (sunlight) </w:t>
      </w:r>
      <w:r w:rsidR="00DC05F7">
        <w:sym w:font="Wingdings" w:char="F0E0"/>
      </w:r>
      <w:r w:rsidR="00DC05F7">
        <w:t xml:space="preserve"> NO + </w:t>
      </w:r>
      <w:r w:rsidR="00DC05F7" w:rsidRPr="00DD3A5E">
        <w:t>O</w:t>
      </w:r>
      <w:r w:rsidR="00DC05F7" w:rsidRPr="00DD3A5E">
        <w:rPr>
          <w:vertAlign w:val="subscript"/>
        </w:rPr>
        <w:t>3</w:t>
      </w:r>
      <w:r w:rsidR="00DC05F7">
        <w:t xml:space="preserve"> reaction.  The basic premise is represented by the following molecular equation</w:t>
      </w:r>
      <w:r>
        <w:t>:</w:t>
      </w:r>
    </w:p>
    <w:p w14:paraId="41F622B5" w14:textId="1E665918" w:rsidR="00366306" w:rsidRDefault="00366306">
      <w:pPr>
        <w:pStyle w:val="Date"/>
      </w:pPr>
      <w:r>
        <w:tab/>
      </w:r>
      <w:r>
        <w:tab/>
      </w:r>
      <w:r w:rsidR="004F6727">
        <w:tab/>
      </w:r>
      <w:r>
        <w:tab/>
      </w:r>
      <w:proofErr w:type="gramStart"/>
      <w:r>
        <w:t>NO  +</w:t>
      </w:r>
      <w:proofErr w:type="gramEnd"/>
      <w:r>
        <w:t xml:space="preserve">  </w:t>
      </w:r>
      <w:r w:rsidRPr="00DD3A5E">
        <w:t>O</w:t>
      </w:r>
      <w:r w:rsidRPr="00DD3A5E">
        <w:rPr>
          <w:vertAlign w:val="subscript"/>
        </w:rPr>
        <w:t>3</w:t>
      </w:r>
      <w:r>
        <w:t xml:space="preserve"> </w:t>
      </w:r>
      <w:r w:rsidRPr="00366306">
        <w:rPr>
          <w:sz w:val="20"/>
        </w:rPr>
        <w:sym w:font="Wingdings" w:char="F0E0"/>
      </w:r>
      <w:r>
        <w:t xml:space="preserve"> </w:t>
      </w:r>
      <w:r w:rsidRPr="00150E0D">
        <w:rPr>
          <w:szCs w:val="24"/>
        </w:rPr>
        <w:t>NO</w:t>
      </w:r>
      <w:proofErr w:type="gramStart"/>
      <w:r w:rsidRPr="00150E0D">
        <w:rPr>
          <w:szCs w:val="24"/>
          <w:vertAlign w:val="subscript"/>
        </w:rPr>
        <w:t>2</w:t>
      </w:r>
      <w:r>
        <w:rPr>
          <w:szCs w:val="24"/>
          <w:vertAlign w:val="subscript"/>
        </w:rPr>
        <w:t xml:space="preserve"> </w:t>
      </w:r>
      <w:r>
        <w:t xml:space="preserve"> +</w:t>
      </w:r>
      <w:proofErr w:type="gramEnd"/>
      <w:r>
        <w:t xml:space="preserve">  O</w:t>
      </w:r>
      <w:r w:rsidRPr="00366306">
        <w:rPr>
          <w:vertAlign w:val="subscript"/>
        </w:rPr>
        <w:t>2</w:t>
      </w:r>
      <w:r>
        <w:t xml:space="preserve"> </w:t>
      </w:r>
    </w:p>
    <w:p w14:paraId="49FFE51F" w14:textId="5A8A7A09" w:rsidR="00CF57CE" w:rsidRPr="003C1073" w:rsidRDefault="003C1073" w:rsidP="00CF57CE">
      <w:pPr>
        <w:pStyle w:val="Date"/>
      </w:pPr>
      <w:r>
        <w:t xml:space="preserve">This equation shows that one mole of NO plus one mole of </w:t>
      </w:r>
      <w:r w:rsidRPr="00DD3A5E">
        <w:t>O</w:t>
      </w:r>
      <w:r w:rsidRPr="00DD3A5E">
        <w:rPr>
          <w:vertAlign w:val="subscript"/>
        </w:rPr>
        <w:t>3</w:t>
      </w:r>
      <w:r>
        <w:t xml:space="preserve"> creates one mole of </w:t>
      </w:r>
      <w:r w:rsidRPr="00150E0D">
        <w:rPr>
          <w:szCs w:val="24"/>
        </w:rPr>
        <w:t>NO</w:t>
      </w:r>
      <w:r w:rsidRPr="00150E0D">
        <w:rPr>
          <w:szCs w:val="24"/>
          <w:vertAlign w:val="subscript"/>
        </w:rPr>
        <w:t>2</w:t>
      </w:r>
      <w:r>
        <w:t xml:space="preserve"> and one mole of oxygen (O</w:t>
      </w:r>
      <w:r w:rsidRPr="003C1073">
        <w:rPr>
          <w:vertAlign w:val="subscript"/>
        </w:rPr>
        <w:t>2</w:t>
      </w:r>
      <w:r>
        <w:t xml:space="preserve">). </w:t>
      </w:r>
      <w:r w:rsidR="00366306">
        <w:t xml:space="preserve"> </w:t>
      </w:r>
      <w:r>
        <w:t xml:space="preserve">This equation also shows that </w:t>
      </w:r>
      <w:proofErr w:type="gramStart"/>
      <w:r>
        <w:t>all of</w:t>
      </w:r>
      <w:proofErr w:type="gramEnd"/>
      <w:r>
        <w:t xml:space="preserve"> the NO will be converted to </w:t>
      </w:r>
      <w:r w:rsidRPr="00150E0D">
        <w:rPr>
          <w:szCs w:val="24"/>
        </w:rPr>
        <w:t>NO</w:t>
      </w:r>
      <w:r w:rsidRPr="00150E0D">
        <w:rPr>
          <w:szCs w:val="24"/>
          <w:vertAlign w:val="subscript"/>
        </w:rPr>
        <w:t>2</w:t>
      </w:r>
      <w:r>
        <w:t xml:space="preserve">, if there is sufficient </w:t>
      </w:r>
      <w:r w:rsidRPr="00DD3A5E">
        <w:t>O</w:t>
      </w:r>
      <w:r w:rsidRPr="00DD3A5E">
        <w:rPr>
          <w:vertAlign w:val="subscript"/>
        </w:rPr>
        <w:t>3</w:t>
      </w:r>
      <w:r>
        <w:t xml:space="preserve">.  However, if there is insufficient </w:t>
      </w:r>
      <w:r w:rsidRPr="00DD3A5E">
        <w:t>O</w:t>
      </w:r>
      <w:r w:rsidRPr="00DD3A5E">
        <w:rPr>
          <w:vertAlign w:val="subscript"/>
        </w:rPr>
        <w:t>3</w:t>
      </w:r>
      <w:r>
        <w:t xml:space="preserve">, then the moles of NO converted to </w:t>
      </w:r>
      <w:r w:rsidRPr="00150E0D">
        <w:rPr>
          <w:szCs w:val="24"/>
        </w:rPr>
        <w:t>NO</w:t>
      </w:r>
      <w:r w:rsidRPr="00150E0D">
        <w:rPr>
          <w:szCs w:val="24"/>
          <w:vertAlign w:val="subscript"/>
        </w:rPr>
        <w:t>2</w:t>
      </w:r>
      <w:r>
        <w:t xml:space="preserve"> will be limited by the moles of available </w:t>
      </w:r>
      <w:r w:rsidRPr="00DD3A5E">
        <w:t>O</w:t>
      </w:r>
      <w:r w:rsidRPr="00DD3A5E">
        <w:rPr>
          <w:vertAlign w:val="subscript"/>
        </w:rPr>
        <w:t>3</w:t>
      </w:r>
      <w:r>
        <w:t xml:space="preserve">.  The total </w:t>
      </w:r>
      <w:r w:rsidRPr="00150E0D">
        <w:rPr>
          <w:szCs w:val="24"/>
        </w:rPr>
        <w:lastRenderedPageBreak/>
        <w:t>NO</w:t>
      </w:r>
      <w:r w:rsidRPr="00150E0D">
        <w:rPr>
          <w:szCs w:val="24"/>
          <w:vertAlign w:val="subscript"/>
        </w:rPr>
        <w:t>2</w:t>
      </w:r>
      <w:r>
        <w:t xml:space="preserve"> concentration is the concentration from direct </w:t>
      </w:r>
      <w:r w:rsidRPr="00150E0D">
        <w:rPr>
          <w:szCs w:val="24"/>
        </w:rPr>
        <w:t>NO</w:t>
      </w:r>
      <w:r w:rsidRPr="00150E0D">
        <w:rPr>
          <w:szCs w:val="24"/>
          <w:vertAlign w:val="subscript"/>
        </w:rPr>
        <w:t>2</w:t>
      </w:r>
      <w:r>
        <w:t xml:space="preserve"> emissions plus the concentration from the NO + </w:t>
      </w:r>
      <w:r w:rsidRPr="00DD3A5E">
        <w:t>O</w:t>
      </w:r>
      <w:r w:rsidRPr="00DD3A5E">
        <w:rPr>
          <w:vertAlign w:val="subscript"/>
        </w:rPr>
        <w:t>3</w:t>
      </w:r>
      <w:r>
        <w:t xml:space="preserve"> conversion. </w:t>
      </w:r>
    </w:p>
    <w:p w14:paraId="2C772CFC" w14:textId="77777777" w:rsidR="00A86D1E" w:rsidRDefault="009A01E5">
      <w:pPr>
        <w:pStyle w:val="Date"/>
      </w:pPr>
      <w:r>
        <w:t xml:space="preserve">The OLM </w:t>
      </w:r>
      <w:r w:rsidR="00AF5FE0">
        <w:t xml:space="preserve">and PVMRM </w:t>
      </w:r>
      <w:r w:rsidR="0099404F">
        <w:t>algorithm</w:t>
      </w:r>
      <w:r w:rsidR="00AF5FE0">
        <w:t xml:space="preserve">s use different approaches for estimating how much </w:t>
      </w:r>
      <w:r w:rsidR="00AF5FE0" w:rsidRPr="00DD3A5E">
        <w:t>O</w:t>
      </w:r>
      <w:r w:rsidR="00AF5FE0" w:rsidRPr="00DD3A5E">
        <w:rPr>
          <w:vertAlign w:val="subscript"/>
        </w:rPr>
        <w:t>3</w:t>
      </w:r>
      <w:r w:rsidR="00AF5FE0">
        <w:t xml:space="preserve"> is available for the NO to </w:t>
      </w:r>
      <w:r w:rsidR="00AF5FE0" w:rsidRPr="00150E0D">
        <w:rPr>
          <w:szCs w:val="24"/>
        </w:rPr>
        <w:t>NO</w:t>
      </w:r>
      <w:r w:rsidR="00AF5FE0" w:rsidRPr="00150E0D">
        <w:rPr>
          <w:szCs w:val="24"/>
          <w:vertAlign w:val="subscript"/>
        </w:rPr>
        <w:t>2</w:t>
      </w:r>
      <w:r w:rsidR="00AF5FE0">
        <w:t xml:space="preserve"> conversion.  Both approaches require </w:t>
      </w:r>
      <w:r w:rsidR="0048105D">
        <w:t xml:space="preserve">representative, hourly </w:t>
      </w:r>
      <w:r w:rsidR="00AF5FE0" w:rsidRPr="00DD3A5E">
        <w:t>O</w:t>
      </w:r>
      <w:r w:rsidR="00AF5FE0" w:rsidRPr="00DD3A5E">
        <w:rPr>
          <w:vertAlign w:val="subscript"/>
        </w:rPr>
        <w:t>3</w:t>
      </w:r>
      <w:r w:rsidR="00AF5FE0">
        <w:t xml:space="preserve"> data</w:t>
      </w:r>
      <w:r w:rsidR="0048105D">
        <w:t xml:space="preserve">, but the algorithms reflect different assumptions.  OLM essentially assumes the plume and surrounding air are instantaneously and continually mixed, whereby the ambient </w:t>
      </w:r>
      <w:r w:rsidR="0048105D" w:rsidRPr="00DD3A5E">
        <w:t>O</w:t>
      </w:r>
      <w:r w:rsidR="0048105D" w:rsidRPr="00DD3A5E">
        <w:rPr>
          <w:vertAlign w:val="subscript"/>
        </w:rPr>
        <w:t>3</w:t>
      </w:r>
      <w:r w:rsidR="0048105D">
        <w:t xml:space="preserve"> concentration is constantly available throughout the plume for converting the NO to </w:t>
      </w:r>
      <w:r w:rsidR="0048105D" w:rsidRPr="00150E0D">
        <w:rPr>
          <w:szCs w:val="24"/>
        </w:rPr>
        <w:t>NO</w:t>
      </w:r>
      <w:r w:rsidR="0048105D" w:rsidRPr="00150E0D">
        <w:rPr>
          <w:szCs w:val="24"/>
          <w:vertAlign w:val="subscript"/>
        </w:rPr>
        <w:t>2</w:t>
      </w:r>
      <w:r w:rsidR="0048105D">
        <w:t xml:space="preserve">.  PVMRM assumes instantaneous, but not continual mixing.  </w:t>
      </w:r>
      <w:r w:rsidR="009B5851">
        <w:t>PVMRM</w:t>
      </w:r>
      <w:r w:rsidR="0048105D">
        <w:t xml:space="preserve"> basically assumes that the volume of </w:t>
      </w:r>
      <w:r w:rsidR="009B5851">
        <w:t xml:space="preserve">the </w:t>
      </w:r>
      <w:proofErr w:type="gramStart"/>
      <w:r w:rsidR="009B5851">
        <w:t>atmospheric</w:t>
      </w:r>
      <w:proofErr w:type="gramEnd"/>
      <w:r w:rsidR="009B5851">
        <w:t xml:space="preserve"> that is mixed with the plume is limited to the volume of the plume at any given point.  </w:t>
      </w:r>
    </w:p>
    <w:p w14:paraId="7E3A9B9C" w14:textId="06B78C33" w:rsidR="00AF5FE0" w:rsidRDefault="00A86D1E">
      <w:pPr>
        <w:pStyle w:val="Date"/>
      </w:pPr>
      <w:r>
        <w:t xml:space="preserve">According to the </w:t>
      </w:r>
      <w:r w:rsidRPr="00C42099">
        <w:t>Guideline</w:t>
      </w:r>
      <w:r>
        <w:t xml:space="preserve">, “PVMRM works best for relatively isolated and elevated point source modeling while OLM works best for large groups of sources, area sources, and near-surface releases, including roadway sources.”  </w:t>
      </w:r>
      <w:r w:rsidR="009B5851">
        <w:t xml:space="preserve">Additional details regarding the incorporation and application of these techniques within AERMOD are provided below. </w:t>
      </w:r>
      <w:r w:rsidR="0048105D">
        <w:t xml:space="preserve">    </w:t>
      </w:r>
      <w:r w:rsidR="00AF5FE0">
        <w:t xml:space="preserve"> </w:t>
      </w:r>
    </w:p>
    <w:p w14:paraId="3C1FC360" w14:textId="263EC743" w:rsidR="009A01E5" w:rsidRDefault="00AF5FE0">
      <w:pPr>
        <w:pStyle w:val="Date"/>
      </w:pPr>
      <w:r>
        <w:t>The OLM algorithm</w:t>
      </w:r>
      <w:r w:rsidR="0099404F">
        <w:t xml:space="preserve"> </w:t>
      </w:r>
      <w:r w:rsidR="00CF57CE">
        <w:t xml:space="preserve">within AERMOD </w:t>
      </w:r>
      <w:r w:rsidR="009A01E5">
        <w:t>involves an initial comparison of the estimated modeled NOx concentration with the corresponding ambient O</w:t>
      </w:r>
      <w:r w:rsidR="009A01E5">
        <w:rPr>
          <w:vertAlign w:val="subscript"/>
        </w:rPr>
        <w:t>3</w:t>
      </w:r>
      <w:r w:rsidR="009A01E5">
        <w:t xml:space="preserve"> concentration to determine the limiting factor to NO</w:t>
      </w:r>
      <w:r w:rsidR="009A01E5">
        <w:rPr>
          <w:vertAlign w:val="subscript"/>
        </w:rPr>
        <w:t>2</w:t>
      </w:r>
      <w:r w:rsidR="0033092C">
        <w:t xml:space="preserve"> formation.  </w:t>
      </w:r>
      <w:r w:rsidR="008B3A08">
        <w:t xml:space="preserve">To use the OLM option, </w:t>
      </w:r>
      <w:r w:rsidR="0033092C">
        <w:t>AERMOD requires the user to specify the NO</w:t>
      </w:r>
      <w:r w:rsidR="0033092C" w:rsidRPr="0033092C">
        <w:rPr>
          <w:vertAlign w:val="subscript"/>
        </w:rPr>
        <w:t>2</w:t>
      </w:r>
      <w:r w:rsidR="005D65F9">
        <w:t>-to-</w:t>
      </w:r>
      <w:r w:rsidR="0033092C">
        <w:t>NO</w:t>
      </w:r>
      <w:r w:rsidR="00323211">
        <w:t>x</w:t>
      </w:r>
      <w:r w:rsidR="0033092C">
        <w:t xml:space="preserve"> in-stack ratio (ISR)</w:t>
      </w:r>
      <w:r w:rsidR="008B3A08">
        <w:t xml:space="preserve"> for each </w:t>
      </w:r>
      <w:r w:rsidR="00ED104E">
        <w:t>EU</w:t>
      </w:r>
      <w:r w:rsidR="008B3A08">
        <w:t xml:space="preserve"> (see the discussion below for PVMRM on specifying this ratio), </w:t>
      </w:r>
      <w:r w:rsidR="00803250">
        <w:t>which</w:t>
      </w:r>
      <w:r w:rsidR="008B3A08">
        <w:t xml:space="preserve"> must </w:t>
      </w:r>
      <w:r w:rsidR="00A211D5">
        <w:t>range</w:t>
      </w:r>
      <w:r w:rsidR="008B3A08">
        <w:t xml:space="preserve"> between 0.0 and 1.0, inclusive</w:t>
      </w:r>
      <w:r w:rsidR="0033092C">
        <w:t xml:space="preserve">.  </w:t>
      </w:r>
      <w:r w:rsidR="009A01E5">
        <w:t>If the O</w:t>
      </w:r>
      <w:r w:rsidR="009A01E5">
        <w:rPr>
          <w:vertAlign w:val="subscript"/>
        </w:rPr>
        <w:t>3</w:t>
      </w:r>
      <w:r w:rsidR="009A01E5">
        <w:t xml:space="preserve"> concentration is greater than</w:t>
      </w:r>
      <w:r w:rsidR="008B3A08">
        <w:t xml:space="preserve"> (1.0 – ISR)</w:t>
      </w:r>
      <w:r w:rsidR="009A01E5">
        <w:t xml:space="preserve"> of its corresponding modeled NOx concentration, total conversion is assumed (i.e. all NOx goes to NO</w:t>
      </w:r>
      <w:r w:rsidR="009A01E5">
        <w:rPr>
          <w:vertAlign w:val="subscript"/>
        </w:rPr>
        <w:t>2</w:t>
      </w:r>
      <w:r w:rsidR="009A01E5">
        <w:t>).  Otherwise, if the O</w:t>
      </w:r>
      <w:r w:rsidR="009A01E5">
        <w:rPr>
          <w:vertAlign w:val="subscript"/>
        </w:rPr>
        <w:t>3</w:t>
      </w:r>
      <w:r w:rsidR="009A01E5">
        <w:t xml:space="preserve"> concentration is less than or equal to </w:t>
      </w:r>
      <w:r w:rsidR="008B3A08">
        <w:t>(1.0 – ISR)</w:t>
      </w:r>
      <w:r w:rsidR="009A01E5">
        <w:t xml:space="preserve"> of its corresponding modeled NOx concentration, the formation of NO</w:t>
      </w:r>
      <w:r w:rsidR="009A01E5">
        <w:rPr>
          <w:vertAlign w:val="subscript"/>
        </w:rPr>
        <w:t>2</w:t>
      </w:r>
      <w:r w:rsidR="009A01E5">
        <w:t xml:space="preserve"> is limited by the ambient O</w:t>
      </w:r>
      <w:r w:rsidR="009A01E5">
        <w:rPr>
          <w:vertAlign w:val="subscript"/>
        </w:rPr>
        <w:t>3</w:t>
      </w:r>
      <w:r w:rsidR="009A01E5">
        <w:t xml:space="preserve"> concentration.  In this case, the NO</w:t>
      </w:r>
      <w:r w:rsidR="009A01E5">
        <w:rPr>
          <w:vertAlign w:val="subscript"/>
        </w:rPr>
        <w:t>2</w:t>
      </w:r>
      <w:r w:rsidR="009A01E5">
        <w:t xml:space="preserve"> concentration is set equal to the O</w:t>
      </w:r>
      <w:r w:rsidR="009A01E5">
        <w:rPr>
          <w:vertAlign w:val="subscript"/>
        </w:rPr>
        <w:t>3</w:t>
      </w:r>
      <w:r w:rsidR="009A01E5">
        <w:t xml:space="preserve"> concentration plus a correction factor, which accounts for in-stack and near-stack thermal conversion of NOx to NO</w:t>
      </w:r>
      <w:r w:rsidR="009A01E5">
        <w:rPr>
          <w:vertAlign w:val="subscript"/>
        </w:rPr>
        <w:t>2</w:t>
      </w:r>
      <w:r w:rsidR="009A01E5">
        <w:t>.</w:t>
      </w:r>
    </w:p>
    <w:p w14:paraId="5C5F2E5A" w14:textId="63A9FAA9" w:rsidR="00A86D1E" w:rsidRPr="00A86D1E" w:rsidRDefault="00A86D1E" w:rsidP="00676F63">
      <w:r>
        <w:t>The OLM option in AERMOD allows the user to specify which sources are to be modeled as “combined plumes” – i.e., where the NOx within the plumes competes for the available ambient ozone.</w:t>
      </w:r>
      <w:r w:rsidR="007B47F6">
        <w:t xml:space="preserve">  The selection is specified through the OLMGROUP keyword in the SO pathway.  EPA recommends using the “OLMGROUP ALL” option </w:t>
      </w:r>
      <w:r w:rsidR="00644A5F">
        <w:t>“</w:t>
      </w:r>
      <w:r w:rsidR="007B47F6">
        <w:t>be routinely applied and accepted for all approved applications of the OLM option in AERMOD.”</w:t>
      </w:r>
      <w:r w:rsidR="0076491E" w:rsidRPr="0076491E">
        <w:rPr>
          <w:rStyle w:val="FootnoteReference"/>
        </w:rPr>
        <w:t xml:space="preserve"> </w:t>
      </w:r>
      <w:r w:rsidR="0076491E">
        <w:rPr>
          <w:rStyle w:val="FootnoteReference"/>
        </w:rPr>
        <w:footnoteReference w:id="79"/>
      </w:r>
      <w:r w:rsidR="007B47F6">
        <w:t xml:space="preserve"> </w:t>
      </w:r>
    </w:p>
    <w:p w14:paraId="2996FF56" w14:textId="316E5310" w:rsidR="007802D0" w:rsidRDefault="0099404F">
      <w:r>
        <w:t xml:space="preserve">  </w:t>
      </w:r>
    </w:p>
    <w:p w14:paraId="20CE4855" w14:textId="5A66266F" w:rsidR="009A01E5" w:rsidRDefault="008B3A08">
      <w:r>
        <w:t>As with OLM, w</w:t>
      </w:r>
      <w:r w:rsidR="007802D0">
        <w:t xml:space="preserve">hen using PVMRM, </w:t>
      </w:r>
      <w:r w:rsidR="0093706F">
        <w:t xml:space="preserve">the user </w:t>
      </w:r>
      <w:r w:rsidR="007802D0">
        <w:t xml:space="preserve">must </w:t>
      </w:r>
      <w:r w:rsidR="0093706F">
        <w:t xml:space="preserve">specify the </w:t>
      </w:r>
      <w:r w:rsidR="007802D0">
        <w:t xml:space="preserve">ISR </w:t>
      </w:r>
      <w:r w:rsidR="0093706F">
        <w:t xml:space="preserve">for each </w:t>
      </w:r>
      <w:r w:rsidR="00ED104E">
        <w:t>EU</w:t>
      </w:r>
      <w:r w:rsidR="0093706F">
        <w:t xml:space="preserve">.  To specify this ratio for all </w:t>
      </w:r>
      <w:r w:rsidR="00ED104E">
        <w:t>EU</w:t>
      </w:r>
      <w:r w:rsidR="007802D0">
        <w:t>s</w:t>
      </w:r>
      <w:r w:rsidR="0093706F">
        <w:t>, use the keyword NO2STACK on the CO pathway.  To specify the ratio on a</w:t>
      </w:r>
      <w:r w:rsidR="007802D0">
        <w:t>n</w:t>
      </w:r>
      <w:r w:rsidR="0093706F">
        <w:t xml:space="preserve"> </w:t>
      </w:r>
      <w:r w:rsidR="00ED104E">
        <w:t>EU</w:t>
      </w:r>
      <w:r w:rsidR="0093706F">
        <w:t>-by-</w:t>
      </w:r>
      <w:r w:rsidR="00ED104E">
        <w:t>EU</w:t>
      </w:r>
      <w:r w:rsidR="0093706F">
        <w:t xml:space="preserve"> basis</w:t>
      </w:r>
      <w:r w:rsidR="00545C27">
        <w:t xml:space="preserve">, use the keyword NO2RATIO on the SO </w:t>
      </w:r>
      <w:r w:rsidR="00545C27">
        <w:lastRenderedPageBreak/>
        <w:t>pathway.</w:t>
      </w:r>
      <w:r w:rsidR="009D37F4">
        <w:t xml:space="preserve">  See the </w:t>
      </w:r>
      <w:hyperlink r:id="rId151" w:history="1">
        <w:r w:rsidR="00DD2C12" w:rsidRPr="00AC56F0">
          <w:rPr>
            <w:rStyle w:val="Hyperlink"/>
          </w:rPr>
          <w:t>AERMOD User’s Guide</w:t>
        </w:r>
      </w:hyperlink>
      <w:r w:rsidR="00DD2C12">
        <w:t xml:space="preserve"> </w:t>
      </w:r>
      <w:r w:rsidR="00211E69">
        <w:t>and</w:t>
      </w:r>
      <w:r w:rsidR="008C241A">
        <w:t xml:space="preserve"> Section</w:t>
      </w:r>
      <w:r w:rsidR="006B0A8B">
        <w:t> </w:t>
      </w:r>
      <w:r w:rsidR="000C0EF6">
        <w:fldChar w:fldCharType="begin"/>
      </w:r>
      <w:r w:rsidR="008C241A">
        <w:instrText xml:space="preserve"> REF _Ref358883057 \r \h </w:instrText>
      </w:r>
      <w:r w:rsidR="000C0EF6">
        <w:fldChar w:fldCharType="separate"/>
      </w:r>
      <w:r w:rsidR="00135FFD">
        <w:t>2.10.1.2</w:t>
      </w:r>
      <w:r w:rsidR="000C0EF6">
        <w:fldChar w:fldCharType="end"/>
      </w:r>
      <w:r w:rsidR="00211E69">
        <w:t xml:space="preserve"> </w:t>
      </w:r>
      <w:r w:rsidR="00627211">
        <w:t>(</w:t>
      </w:r>
      <w:r w:rsidR="00211E69">
        <w:t>NO</w:t>
      </w:r>
      <w:r w:rsidR="00211E69" w:rsidRPr="00211E69">
        <w:rPr>
          <w:vertAlign w:val="subscript"/>
        </w:rPr>
        <w:t>2</w:t>
      </w:r>
      <w:r w:rsidR="00211E69">
        <w:t>/NO</w:t>
      </w:r>
      <w:r w:rsidR="00211E69" w:rsidRPr="00211E69">
        <w:rPr>
          <w:vertAlign w:val="subscript"/>
        </w:rPr>
        <w:t>X</w:t>
      </w:r>
      <w:r w:rsidR="00211E69">
        <w:t xml:space="preserve"> In-stack Ratios</w:t>
      </w:r>
      <w:r w:rsidR="00627211">
        <w:t>)</w:t>
      </w:r>
      <w:r w:rsidR="00211E69">
        <w:t xml:space="preserve"> below</w:t>
      </w:r>
      <w:r w:rsidR="009D37F4">
        <w:t xml:space="preserve"> for additional information.</w:t>
      </w:r>
    </w:p>
    <w:p w14:paraId="4E6A7081" w14:textId="2D4A393C" w:rsidR="0023321C" w:rsidRDefault="009003F2">
      <w:pPr>
        <w:pStyle w:val="Heading4"/>
      </w:pPr>
      <w:bookmarkStart w:id="230" w:name="_Ref358883057"/>
      <w:bookmarkStart w:id="231" w:name="_Toc526778282"/>
      <w:r>
        <w:t xml:space="preserve">Additional Discussion re </w:t>
      </w:r>
      <w:r w:rsidR="00947803">
        <w:t>NO</w:t>
      </w:r>
      <w:r w:rsidR="00947803" w:rsidRPr="00170F02">
        <w:rPr>
          <w:vertAlign w:val="subscript"/>
        </w:rPr>
        <w:t>2</w:t>
      </w:r>
      <w:r w:rsidR="00947803">
        <w:t>/NO</w:t>
      </w:r>
      <w:bookmarkStart w:id="232" w:name="InStackRatio"/>
      <w:r w:rsidR="00323211">
        <w:t>x</w:t>
      </w:r>
      <w:r w:rsidR="00947803">
        <w:t xml:space="preserve"> </w:t>
      </w:r>
      <w:r w:rsidR="00CF47FA">
        <w:t xml:space="preserve">In-stack </w:t>
      </w:r>
      <w:r w:rsidR="00947803">
        <w:t>Ratios</w:t>
      </w:r>
      <w:bookmarkEnd w:id="230"/>
      <w:bookmarkEnd w:id="231"/>
      <w:bookmarkEnd w:id="232"/>
    </w:p>
    <w:p w14:paraId="646AD483" w14:textId="16A25539" w:rsidR="00FF0A2D" w:rsidRDefault="00AB6359" w:rsidP="005B2FE0">
      <w:r>
        <w:t xml:space="preserve">ISR data is becoming more </w:t>
      </w:r>
      <w:r w:rsidR="004A5D51">
        <w:t xml:space="preserve">readily </w:t>
      </w:r>
      <w:r>
        <w:t xml:space="preserve">available for use in </w:t>
      </w:r>
      <w:r w:rsidRPr="00150E0D">
        <w:t>NO</w:t>
      </w:r>
      <w:r w:rsidRPr="00150E0D">
        <w:rPr>
          <w:vertAlign w:val="subscript"/>
        </w:rPr>
        <w:t>2</w:t>
      </w:r>
      <w:r>
        <w:t xml:space="preserve"> modeling assessments. </w:t>
      </w:r>
      <w:r w:rsidR="00A0707A">
        <w:t xml:space="preserve"> </w:t>
      </w:r>
      <w:r w:rsidR="004A5D51">
        <w:t>While s</w:t>
      </w:r>
      <w:r w:rsidR="00A0707A">
        <w:t>ource test or vendor data should be used, if available</w:t>
      </w:r>
      <w:r w:rsidR="004A5D51">
        <w:t>, that</w:t>
      </w:r>
      <w:r w:rsidR="00605907">
        <w:t xml:space="preserve"> from </w:t>
      </w:r>
      <w:r w:rsidR="00A0707A">
        <w:t xml:space="preserve">similar EUs </w:t>
      </w:r>
      <w:r w:rsidR="00605907">
        <w:t xml:space="preserve">are </w:t>
      </w:r>
      <w:r w:rsidR="004A5D51">
        <w:t xml:space="preserve">potentially </w:t>
      </w:r>
      <w:r w:rsidR="00605907">
        <w:t>a</w:t>
      </w:r>
      <w:r w:rsidR="004A5D51">
        <w:t>nother</w:t>
      </w:r>
      <w:r w:rsidR="00605907">
        <w:t xml:space="preserve"> option.  </w:t>
      </w:r>
      <w:r w:rsidR="00947803">
        <w:t>A</w:t>
      </w:r>
      <w:r w:rsidR="00605907">
        <w:t>PP</w:t>
      </w:r>
      <w:r>
        <w:t xml:space="preserve"> has developed an ISR</w:t>
      </w:r>
      <w:r w:rsidR="00FF0A2D">
        <w:t xml:space="preserve"> spreadsheet </w:t>
      </w:r>
      <w:r w:rsidR="00947803">
        <w:t>for various combustion turbines, reciprocating engines, and heaters and boilers</w:t>
      </w:r>
      <w:r w:rsidR="00605907">
        <w:t xml:space="preserve">, which it has posted on the </w:t>
      </w:r>
      <w:r w:rsidR="008C604A">
        <w:t>modeling</w:t>
      </w:r>
      <w:r w:rsidR="00947803">
        <w:t xml:space="preserve"> </w:t>
      </w:r>
      <w:proofErr w:type="gramStart"/>
      <w:r w:rsidR="00947803">
        <w:t>web</w:t>
      </w:r>
      <w:r w:rsidR="00211E69">
        <w:t>-page</w:t>
      </w:r>
      <w:proofErr w:type="gramEnd"/>
      <w:r w:rsidR="0083580C">
        <w:t>.</w:t>
      </w:r>
      <w:r w:rsidR="00947803">
        <w:rPr>
          <w:rStyle w:val="FootnoteReference"/>
        </w:rPr>
        <w:footnoteReference w:id="80"/>
      </w:r>
      <w:r w:rsidR="00947803">
        <w:t xml:space="preserve">  These ratios are for specific </w:t>
      </w:r>
      <w:r w:rsidR="00ED104E">
        <w:t>EU</w:t>
      </w:r>
      <w:r w:rsidR="00F2263C">
        <w:t>s</w:t>
      </w:r>
      <w:r w:rsidR="00947803">
        <w:t xml:space="preserve">, but </w:t>
      </w:r>
      <w:r w:rsidR="00F2263C">
        <w:t xml:space="preserve">could be applicable for similar </w:t>
      </w:r>
      <w:r w:rsidR="00ED104E">
        <w:t>EU</w:t>
      </w:r>
      <w:r w:rsidR="00F2263C">
        <w:t>s</w:t>
      </w:r>
      <w:r w:rsidR="00947803">
        <w:t>.</w:t>
      </w:r>
    </w:p>
    <w:p w14:paraId="1366A234" w14:textId="26DE868F" w:rsidR="004A5D51" w:rsidRDefault="004A5D51" w:rsidP="004A5D51">
      <w:r>
        <w:t>EPA also has provided an NO</w:t>
      </w:r>
      <w:r w:rsidRPr="00E6113C">
        <w:rPr>
          <w:vertAlign w:val="subscript"/>
        </w:rPr>
        <w:t>2</w:t>
      </w:r>
      <w:r>
        <w:t>/NOx in-stack ratio database on their website.</w:t>
      </w:r>
      <w:r>
        <w:rPr>
          <w:rStyle w:val="FootnoteReference"/>
        </w:rPr>
        <w:footnoteReference w:id="81"/>
      </w:r>
      <w:r>
        <w:t xml:space="preserve">  A template for submitting new or updated values of the in-stack ratio is included on this site.  EPA expects to update the database monthly, although the frequency of updates will depend on the number of submissions.  For those rare situations where there is no data, EPA</w:t>
      </w:r>
      <w:r w:rsidR="009C02FB">
        <w:t>’s</w:t>
      </w:r>
      <w:r>
        <w:t xml:space="preserve"> </w:t>
      </w:r>
      <w:r w:rsidR="009C02FB">
        <w:t xml:space="preserve">March 2011 </w:t>
      </w:r>
      <w:r w:rsidR="009C02FB" w:rsidRPr="00150E0D">
        <w:t>NO</w:t>
      </w:r>
      <w:r w:rsidR="009C02FB" w:rsidRPr="00150E0D">
        <w:rPr>
          <w:vertAlign w:val="subscript"/>
        </w:rPr>
        <w:t>2</w:t>
      </w:r>
      <w:r w:rsidR="009C02FB">
        <w:t xml:space="preserve"> modeling guidance states </w:t>
      </w:r>
      <w:r>
        <w:t xml:space="preserve">that an ISR of 0.5 could be used, since “[t]his value appears to represent a reasonable upper bound based on the available in-stack data.” </w:t>
      </w:r>
      <w:r w:rsidR="0055015E" w:rsidRPr="0055015E">
        <w:rPr>
          <w:vertAlign w:val="superscript"/>
        </w:rPr>
        <w:fldChar w:fldCharType="begin"/>
      </w:r>
      <w:r w:rsidR="0055015E" w:rsidRPr="0055015E">
        <w:rPr>
          <w:vertAlign w:val="superscript"/>
        </w:rPr>
        <w:instrText xml:space="preserve"> NOTEREF _Ref524531641 \h </w:instrText>
      </w:r>
      <w:r w:rsidR="0055015E">
        <w:rPr>
          <w:vertAlign w:val="superscript"/>
        </w:rPr>
        <w:instrText xml:space="preserve"> \* MERGEFORMAT </w:instrText>
      </w:r>
      <w:r w:rsidR="0055015E" w:rsidRPr="0055015E">
        <w:rPr>
          <w:vertAlign w:val="superscript"/>
        </w:rPr>
      </w:r>
      <w:r w:rsidR="0055015E" w:rsidRPr="0055015E">
        <w:rPr>
          <w:vertAlign w:val="superscript"/>
        </w:rPr>
        <w:fldChar w:fldCharType="separate"/>
      </w:r>
      <w:r w:rsidR="00135FFD">
        <w:rPr>
          <w:vertAlign w:val="superscript"/>
        </w:rPr>
        <w:t>6</w:t>
      </w:r>
      <w:r w:rsidR="0055015E" w:rsidRPr="0055015E">
        <w:rPr>
          <w:vertAlign w:val="superscript"/>
        </w:rPr>
        <w:fldChar w:fldCharType="end"/>
      </w:r>
      <w:r>
        <w:t xml:space="preserve"> </w:t>
      </w:r>
    </w:p>
    <w:p w14:paraId="716782A6" w14:textId="45A1EDDC" w:rsidR="00947803" w:rsidRDefault="00947803" w:rsidP="005B2FE0">
      <w:r>
        <w:t>A</w:t>
      </w:r>
      <w:r w:rsidR="004A5D51">
        <w:t xml:space="preserve">DEC notes that </w:t>
      </w:r>
      <w:r>
        <w:t xml:space="preserve">Shell used </w:t>
      </w:r>
      <w:proofErr w:type="gramStart"/>
      <w:r w:rsidR="004A5D51">
        <w:t>a number of</w:t>
      </w:r>
      <w:proofErr w:type="gramEnd"/>
      <w:r w:rsidR="004A5D51">
        <w:t xml:space="preserve"> illustrative ISR</w:t>
      </w:r>
      <w:r>
        <w:t xml:space="preserve"> in their 2011 outer continental shelf (OCS) permits issued by EPA.  </w:t>
      </w:r>
      <w:r w:rsidR="004A5D51">
        <w:t xml:space="preserve">Here, </w:t>
      </w:r>
      <w:r>
        <w:t xml:space="preserve">Shell used a value of 0.176 to represent the ratio for reciprocating engines with catalyzed diesel particulate filters (CDPF) – including reciprocating engines with both CDPF and oxidation catalysts.  </w:t>
      </w:r>
      <w:r w:rsidR="004A5D51">
        <w:t>They used a</w:t>
      </w:r>
      <w:r>
        <w:t xml:space="preserve"> ratio of 0.066 for reciprocating engines </w:t>
      </w:r>
      <w:r w:rsidR="004E282E" w:rsidRPr="004E282E">
        <w:rPr>
          <w:u w:val="single"/>
        </w:rPr>
        <w:t>without</w:t>
      </w:r>
      <w:r>
        <w:t xml:space="preserve"> catalyzed diesel particulate filters</w:t>
      </w:r>
      <w:r w:rsidR="004A5D51">
        <w:t>,</w:t>
      </w:r>
      <w:r>
        <w:t xml:space="preserve"> 0.041 for heaters/boilers, and 0.023 for incinerators.</w:t>
      </w:r>
    </w:p>
    <w:p w14:paraId="0811999E" w14:textId="31F5E914" w:rsidR="006662A7" w:rsidRDefault="009003F2">
      <w:pPr>
        <w:pStyle w:val="Heading4"/>
      </w:pPr>
      <w:bookmarkStart w:id="233" w:name="_Ref439766781"/>
      <w:bookmarkStart w:id="234" w:name="_Toc526778283"/>
      <w:bookmarkStart w:id="235" w:name="OzoneData"/>
      <w:r>
        <w:t xml:space="preserve">Additional Comments </w:t>
      </w:r>
      <w:r w:rsidR="002C26F3">
        <w:t>re</w:t>
      </w:r>
      <w:r>
        <w:t xml:space="preserve"> </w:t>
      </w:r>
      <w:r w:rsidR="006662A7">
        <w:t>Ozone Data</w:t>
      </w:r>
      <w:bookmarkEnd w:id="233"/>
      <w:bookmarkEnd w:id="234"/>
    </w:p>
    <w:bookmarkEnd w:id="235"/>
    <w:p w14:paraId="47DCB4A4" w14:textId="2CF2144F" w:rsidR="00597BEC" w:rsidRPr="00BE386F" w:rsidRDefault="00597BEC" w:rsidP="00597BEC">
      <w:pPr>
        <w:pStyle w:val="Date"/>
      </w:pPr>
      <w:r>
        <w:t xml:space="preserve">The ambient </w:t>
      </w:r>
      <w:r w:rsidRPr="00DD3A5E">
        <w:t>O</w:t>
      </w:r>
      <w:r w:rsidRPr="00DD3A5E">
        <w:rPr>
          <w:vertAlign w:val="subscript"/>
        </w:rPr>
        <w:t>3</w:t>
      </w:r>
      <w:r>
        <w:t xml:space="preserve"> concentration in Alaska varies on a seasonal basis.  Applicants should therefore either use the highest representative hourly </w:t>
      </w:r>
      <w:r w:rsidRPr="00DD3A5E">
        <w:t>O</w:t>
      </w:r>
      <w:r w:rsidRPr="00DD3A5E">
        <w:rPr>
          <w:vertAlign w:val="subscript"/>
        </w:rPr>
        <w:t>3</w:t>
      </w:r>
      <w:r>
        <w:t xml:space="preserve"> concentration (</w:t>
      </w:r>
      <w:proofErr w:type="gramStart"/>
      <w:r>
        <w:t>in order to</w:t>
      </w:r>
      <w:proofErr w:type="gramEnd"/>
      <w:r>
        <w:t xml:space="preserve"> obtain an upper bound estimate of the </w:t>
      </w:r>
      <w:r w:rsidRPr="00150E0D">
        <w:rPr>
          <w:szCs w:val="24"/>
        </w:rPr>
        <w:t>NO</w:t>
      </w:r>
      <w:r w:rsidRPr="00150E0D">
        <w:rPr>
          <w:szCs w:val="24"/>
          <w:vertAlign w:val="subscript"/>
        </w:rPr>
        <w:t>2</w:t>
      </w:r>
      <w:r>
        <w:t xml:space="preserve"> concentration), or representative hourly </w:t>
      </w:r>
      <w:r w:rsidRPr="00DD3A5E">
        <w:t>O</w:t>
      </w:r>
      <w:r w:rsidRPr="00DD3A5E">
        <w:rPr>
          <w:vertAlign w:val="subscript"/>
        </w:rPr>
        <w:t>3</w:t>
      </w:r>
      <w:r>
        <w:t xml:space="preserve"> data that reflects the temporal variations.  Most applicants use hourly data. </w:t>
      </w:r>
    </w:p>
    <w:p w14:paraId="263F0157" w14:textId="25F7FCA2" w:rsidR="006662A7" w:rsidRDefault="002C26F3" w:rsidP="006662A7">
      <w:r>
        <w:rPr>
          <w:bCs/>
        </w:rPr>
        <w:t xml:space="preserve">The </w:t>
      </w:r>
      <w:r w:rsidR="00E43CB3" w:rsidRPr="00E43CB3">
        <w:rPr>
          <w:bCs/>
        </w:rPr>
        <w:t>O</w:t>
      </w:r>
      <w:r w:rsidR="00E43CB3" w:rsidRPr="00E43CB3">
        <w:rPr>
          <w:bCs/>
          <w:vertAlign w:val="subscript"/>
        </w:rPr>
        <w:t>3</w:t>
      </w:r>
      <w:r w:rsidR="00E43CB3">
        <w:rPr>
          <w:bCs/>
        </w:rPr>
        <w:t xml:space="preserve"> </w:t>
      </w:r>
      <w:r>
        <w:rPr>
          <w:bCs/>
        </w:rPr>
        <w:t>data used in a</w:t>
      </w:r>
      <w:r w:rsidR="00E43CB3">
        <w:rPr>
          <w:bCs/>
        </w:rPr>
        <w:t>n</w:t>
      </w:r>
      <w:r>
        <w:rPr>
          <w:bCs/>
        </w:rPr>
        <w:t xml:space="preserve"> OLM/PVMRM analysis must </w:t>
      </w:r>
      <w:r w:rsidR="00597BEC">
        <w:rPr>
          <w:bCs/>
        </w:rPr>
        <w:t xml:space="preserve">also </w:t>
      </w:r>
      <w:r>
        <w:rPr>
          <w:bCs/>
        </w:rPr>
        <w:t xml:space="preserve">represent the ambient </w:t>
      </w:r>
      <w:r w:rsidRPr="002C26F3">
        <w:rPr>
          <w:bCs/>
        </w:rPr>
        <w:t>O</w:t>
      </w:r>
      <w:r w:rsidRPr="002C26F3">
        <w:rPr>
          <w:bCs/>
          <w:vertAlign w:val="subscript"/>
        </w:rPr>
        <w:t>3</w:t>
      </w:r>
      <w:r>
        <w:rPr>
          <w:bCs/>
        </w:rPr>
        <w:t xml:space="preserve"> concentration</w:t>
      </w:r>
      <w:r w:rsidR="00E43CB3">
        <w:rPr>
          <w:bCs/>
        </w:rPr>
        <w:t>s</w:t>
      </w:r>
      <w:r>
        <w:rPr>
          <w:bCs/>
        </w:rPr>
        <w:t xml:space="preserve"> </w:t>
      </w:r>
      <w:r w:rsidR="00E43CB3">
        <w:rPr>
          <w:bCs/>
        </w:rPr>
        <w:t>prior to mixing with a NO</w:t>
      </w:r>
      <w:r w:rsidR="00597BEC">
        <w:rPr>
          <w:bCs/>
        </w:rPr>
        <w:t>x</w:t>
      </w:r>
      <w:r w:rsidR="00E43CB3">
        <w:rPr>
          <w:bCs/>
        </w:rPr>
        <w:t xml:space="preserve"> plume.  Once mixed, </w:t>
      </w:r>
      <w:r w:rsidR="006662A7" w:rsidRPr="006662A7">
        <w:rPr>
          <w:bCs/>
        </w:rPr>
        <w:t>NO</w:t>
      </w:r>
      <w:r w:rsidRPr="002C26F3">
        <w:rPr>
          <w:bCs/>
        </w:rPr>
        <w:t>x</w:t>
      </w:r>
      <w:r w:rsidR="006662A7" w:rsidRPr="006662A7">
        <w:rPr>
          <w:bCs/>
        </w:rPr>
        <w:t xml:space="preserve"> scavenging</w:t>
      </w:r>
      <w:r w:rsidR="006662A7">
        <w:t xml:space="preserve"> reduces the measured O</w:t>
      </w:r>
      <w:r w:rsidR="006662A7" w:rsidRPr="006662A7">
        <w:rPr>
          <w:vertAlign w:val="subscript"/>
        </w:rPr>
        <w:t>3</w:t>
      </w:r>
      <w:r w:rsidR="006662A7">
        <w:t xml:space="preserve"> concentrations.  </w:t>
      </w:r>
      <w:r w:rsidR="00E43CB3">
        <w:t xml:space="preserve">The </w:t>
      </w:r>
      <w:r w:rsidR="00E43CB3" w:rsidRPr="00DD3A5E">
        <w:t>O</w:t>
      </w:r>
      <w:r w:rsidR="00E43CB3" w:rsidRPr="00DD3A5E">
        <w:rPr>
          <w:vertAlign w:val="subscript"/>
        </w:rPr>
        <w:t>3</w:t>
      </w:r>
      <w:r w:rsidR="00E43CB3">
        <w:t xml:space="preserve"> </w:t>
      </w:r>
      <w:r w:rsidR="00AB446A">
        <w:t>dataset</w:t>
      </w:r>
      <w:r w:rsidR="00E43CB3">
        <w:t xml:space="preserve"> must therefore be carefully selected s</w:t>
      </w:r>
      <w:r w:rsidR="006662A7">
        <w:t>ince low O</w:t>
      </w:r>
      <w:r w:rsidR="006662A7" w:rsidRPr="006662A7">
        <w:rPr>
          <w:vertAlign w:val="subscript"/>
        </w:rPr>
        <w:t>3</w:t>
      </w:r>
      <w:r w:rsidR="006662A7">
        <w:t xml:space="preserve"> values can lead to less NO to NO</w:t>
      </w:r>
      <w:r w:rsidR="006662A7" w:rsidRPr="006662A7">
        <w:rPr>
          <w:vertAlign w:val="subscript"/>
        </w:rPr>
        <w:t>2</w:t>
      </w:r>
      <w:r w:rsidR="006662A7">
        <w:t> conversion than high O</w:t>
      </w:r>
      <w:r w:rsidR="006662A7" w:rsidRPr="006662A7">
        <w:rPr>
          <w:vertAlign w:val="subscript"/>
        </w:rPr>
        <w:t>3</w:t>
      </w:r>
      <w:r w:rsidR="006662A7">
        <w:t xml:space="preserve"> values</w:t>
      </w:r>
      <w:r w:rsidR="00E43CB3">
        <w:t xml:space="preserve"> – i.e.</w:t>
      </w:r>
      <w:r w:rsidR="006662A7">
        <w:t xml:space="preserve">, </w:t>
      </w:r>
      <w:r w:rsidR="00E43CB3">
        <w:t xml:space="preserve">NOx </w:t>
      </w:r>
      <w:r w:rsidR="006662A7">
        <w:t>scavenging can lead to underestimat</w:t>
      </w:r>
      <w:r w:rsidR="00E43CB3">
        <w:t>ed</w:t>
      </w:r>
      <w:r w:rsidR="006662A7">
        <w:t xml:space="preserve"> NO</w:t>
      </w:r>
      <w:r w:rsidR="006662A7" w:rsidRPr="006662A7">
        <w:rPr>
          <w:vertAlign w:val="subscript"/>
        </w:rPr>
        <w:t>2</w:t>
      </w:r>
      <w:r w:rsidR="006662A7">
        <w:t> concentration</w:t>
      </w:r>
      <w:r w:rsidR="00E43CB3">
        <w:t>s</w:t>
      </w:r>
      <w:r w:rsidR="006662A7">
        <w:t xml:space="preserve"> in a modeling analysis.</w:t>
      </w:r>
      <w:r w:rsidR="006B0A8B">
        <w:t xml:space="preserve"> </w:t>
      </w:r>
      <w:r w:rsidR="006662A7">
        <w:t xml:space="preserve"> Scavenging can be easily spotted by comparing traces of the measured NO</w:t>
      </w:r>
      <w:r w:rsidR="00323211">
        <w:t>x</w:t>
      </w:r>
      <w:r w:rsidR="006662A7">
        <w:t xml:space="preserve"> and O</w:t>
      </w:r>
      <w:r w:rsidR="006662A7" w:rsidRPr="006662A7">
        <w:rPr>
          <w:vertAlign w:val="subscript"/>
        </w:rPr>
        <w:t>3</w:t>
      </w:r>
      <w:r w:rsidR="006662A7">
        <w:t xml:space="preserve"> concentrations, as seen in </w:t>
      </w:r>
      <w:r w:rsidR="00E03700">
        <w:fldChar w:fldCharType="begin"/>
      </w:r>
      <w:r w:rsidR="00E03700">
        <w:instrText xml:space="preserve"> REF _Ref371088288 \h </w:instrText>
      </w:r>
      <w:r w:rsidR="00E03700">
        <w:fldChar w:fldCharType="separate"/>
      </w:r>
      <w:r w:rsidR="00135FFD">
        <w:t xml:space="preserve">Figure </w:t>
      </w:r>
      <w:r w:rsidR="00135FFD">
        <w:rPr>
          <w:noProof/>
        </w:rPr>
        <w:t>17</w:t>
      </w:r>
      <w:r w:rsidR="00E03700">
        <w:fldChar w:fldCharType="end"/>
      </w:r>
      <w:r w:rsidR="00E03700">
        <w:t>.</w:t>
      </w:r>
    </w:p>
    <w:p w14:paraId="5A233042" w14:textId="77777777" w:rsidR="00CA4E88" w:rsidRDefault="00CA4E88" w:rsidP="00CA4E88">
      <w:pPr>
        <w:keepNext/>
        <w:jc w:val="center"/>
      </w:pPr>
      <w:r>
        <w:rPr>
          <w:noProof/>
        </w:rPr>
        <w:lastRenderedPageBreak/>
        <w:drawing>
          <wp:inline distT="0" distB="0" distL="0" distR="0" wp14:anchorId="2B8EA282" wp14:editId="2675FBEB">
            <wp:extent cx="4534547" cy="2371725"/>
            <wp:effectExtent l="19050" t="19050" r="18403" b="28575"/>
            <wp:docPr id="21" name="Picture 21" descr="NO2 to O3 Scavenging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NO2 to O3 Scavenging Illustration"/>
                    <pic:cNvPicPr>
                      <a:picLocks noChangeAspect="1" noChangeArrowheads="1"/>
                    </pic:cNvPicPr>
                  </pic:nvPicPr>
                  <pic:blipFill>
                    <a:blip r:embed="rId152" cstate="print"/>
                    <a:srcRect/>
                    <a:stretch>
                      <a:fillRect/>
                    </a:stretch>
                  </pic:blipFill>
                  <pic:spPr bwMode="auto">
                    <a:xfrm>
                      <a:off x="0" y="0"/>
                      <a:ext cx="4543888" cy="2376611"/>
                    </a:xfrm>
                    <a:prstGeom prst="rect">
                      <a:avLst/>
                    </a:prstGeom>
                    <a:noFill/>
                    <a:ln w="9525">
                      <a:solidFill>
                        <a:schemeClr val="tx1"/>
                      </a:solidFill>
                      <a:miter lim="800000"/>
                      <a:headEnd/>
                      <a:tailEnd/>
                    </a:ln>
                  </pic:spPr>
                </pic:pic>
              </a:graphicData>
            </a:graphic>
          </wp:inline>
        </w:drawing>
      </w:r>
    </w:p>
    <w:p w14:paraId="12FF4306" w14:textId="4FF650A1" w:rsidR="006662A7" w:rsidRDefault="00CA4E88" w:rsidP="00C65073">
      <w:pPr>
        <w:pStyle w:val="Caption"/>
        <w:spacing w:after="240"/>
        <w:jc w:val="center"/>
      </w:pPr>
      <w:bookmarkStart w:id="236" w:name="_Ref371088288"/>
      <w:bookmarkStart w:id="237" w:name="_Ref359500362"/>
      <w:bookmarkStart w:id="238" w:name="_Toc360016198"/>
      <w:bookmarkStart w:id="239" w:name="_Toc526778360"/>
      <w:r>
        <w:t xml:space="preserve">Figure </w:t>
      </w:r>
      <w:r w:rsidR="00B560B0">
        <w:rPr>
          <w:noProof/>
        </w:rPr>
        <w:fldChar w:fldCharType="begin"/>
      </w:r>
      <w:r w:rsidR="00B560B0">
        <w:rPr>
          <w:noProof/>
        </w:rPr>
        <w:instrText xml:space="preserve"> SEQ Figure \* ARABIC </w:instrText>
      </w:r>
      <w:r w:rsidR="00B560B0">
        <w:rPr>
          <w:noProof/>
        </w:rPr>
        <w:fldChar w:fldCharType="separate"/>
      </w:r>
      <w:r w:rsidR="00135FFD">
        <w:rPr>
          <w:noProof/>
        </w:rPr>
        <w:t>17</w:t>
      </w:r>
      <w:r w:rsidR="00B560B0">
        <w:rPr>
          <w:noProof/>
        </w:rPr>
        <w:fldChar w:fldCharType="end"/>
      </w:r>
      <w:bookmarkEnd w:id="236"/>
      <w:r>
        <w:t>.  NO</w:t>
      </w:r>
      <w:r>
        <w:rPr>
          <w:vertAlign w:val="subscript"/>
        </w:rPr>
        <w:t>2</w:t>
      </w:r>
      <w:r>
        <w:t xml:space="preserve"> to O</w:t>
      </w:r>
      <w:r w:rsidRPr="00CA4E88">
        <w:rPr>
          <w:vertAlign w:val="subscript"/>
        </w:rPr>
        <w:t>3</w:t>
      </w:r>
      <w:r>
        <w:t xml:space="preserve"> Comparison to Detect NO</w:t>
      </w:r>
      <w:r w:rsidR="00323211">
        <w:t>x</w:t>
      </w:r>
      <w:r>
        <w:t xml:space="preserve"> Scavenging</w:t>
      </w:r>
      <w:bookmarkEnd w:id="237"/>
      <w:bookmarkEnd w:id="238"/>
      <w:bookmarkEnd w:id="239"/>
    </w:p>
    <w:p w14:paraId="65BAF7FF" w14:textId="0F323193" w:rsidR="006662A7" w:rsidRDefault="006662A7" w:rsidP="006662A7">
      <w:r w:rsidRPr="006662A7">
        <w:rPr>
          <w:bCs/>
        </w:rPr>
        <w:t xml:space="preserve">There are numerous ways to </w:t>
      </w:r>
      <w:r w:rsidR="00E43CB3">
        <w:rPr>
          <w:bCs/>
        </w:rPr>
        <w:t>counter the NOx scavenging effects</w:t>
      </w:r>
      <w:r w:rsidRPr="006662A7">
        <w:rPr>
          <w:bCs/>
        </w:rPr>
        <w:t>.</w:t>
      </w:r>
      <w:r w:rsidR="006B0A8B">
        <w:rPr>
          <w:bCs/>
        </w:rPr>
        <w:t xml:space="preserve"> </w:t>
      </w:r>
      <w:r w:rsidRPr="006662A7">
        <w:rPr>
          <w:bCs/>
        </w:rPr>
        <w:t xml:space="preserve"> Possibilities include: 1) substitute scavenged values with a monthly max</w:t>
      </w:r>
      <w:r w:rsidR="00CA4E88">
        <w:rPr>
          <w:bCs/>
        </w:rPr>
        <w:t>imum</w:t>
      </w:r>
      <w:r w:rsidRPr="006662A7">
        <w:rPr>
          <w:bCs/>
        </w:rPr>
        <w:t xml:space="preserve"> value; 2) create an upper bound of what the true ambient O</w:t>
      </w:r>
      <w:r w:rsidRPr="00CA4E88">
        <w:rPr>
          <w:bCs/>
          <w:vertAlign w:val="subscript"/>
        </w:rPr>
        <w:t>3</w:t>
      </w:r>
      <w:r w:rsidRPr="006662A7">
        <w:rPr>
          <w:bCs/>
        </w:rPr>
        <w:t xml:space="preserve"> concentration could have been by adding the measured NO</w:t>
      </w:r>
      <w:r w:rsidR="006B0A8B">
        <w:rPr>
          <w:bCs/>
        </w:rPr>
        <w:t>x</w:t>
      </w:r>
      <w:r w:rsidRPr="006662A7">
        <w:rPr>
          <w:bCs/>
        </w:rPr>
        <w:t xml:space="preserve"> concentration to the O</w:t>
      </w:r>
      <w:r w:rsidRPr="00C27EF3">
        <w:rPr>
          <w:bCs/>
          <w:vertAlign w:val="subscript"/>
        </w:rPr>
        <w:t>3</w:t>
      </w:r>
      <w:r w:rsidRPr="006662A7">
        <w:rPr>
          <w:bCs/>
        </w:rPr>
        <w:t xml:space="preserve"> concentration during the periods of concern (after making the appropriate adjustments for </w:t>
      </w:r>
      <w:r w:rsidR="00C27EF3">
        <w:rPr>
          <w:bCs/>
        </w:rPr>
        <w:t>molecular weight</w:t>
      </w:r>
      <w:r w:rsidRPr="006662A7">
        <w:rPr>
          <w:bCs/>
        </w:rPr>
        <w:t xml:space="preserve"> if the data is recorded by mass); 3) if scavenging is infrequent and there is a multi-year dataset, create a worst-case dataset by selecting the highest O</w:t>
      </w:r>
      <w:r w:rsidRPr="00C27EF3">
        <w:rPr>
          <w:bCs/>
          <w:vertAlign w:val="subscript"/>
        </w:rPr>
        <w:t>3</w:t>
      </w:r>
      <w:r w:rsidRPr="006662A7">
        <w:rPr>
          <w:bCs/>
        </w:rPr>
        <w:t xml:space="preserve"> concentration measured during a Julian day/hour.</w:t>
      </w:r>
      <w:r w:rsidR="006B0A8B">
        <w:rPr>
          <w:bCs/>
        </w:rPr>
        <w:t xml:space="preserve"> </w:t>
      </w:r>
      <w:r w:rsidRPr="006662A7">
        <w:rPr>
          <w:bCs/>
        </w:rPr>
        <w:t xml:space="preserve"> (</w:t>
      </w:r>
      <w:r w:rsidRPr="008F5F84">
        <w:rPr>
          <w:bCs/>
          <w:u w:val="single"/>
        </w:rPr>
        <w:t>Note</w:t>
      </w:r>
      <w:r w:rsidRPr="006662A7">
        <w:rPr>
          <w:bCs/>
        </w:rPr>
        <w:t xml:space="preserve">: </w:t>
      </w:r>
      <w:r w:rsidR="00C27EF3">
        <w:rPr>
          <w:bCs/>
        </w:rPr>
        <w:t>ADEC</w:t>
      </w:r>
      <w:r w:rsidRPr="006662A7">
        <w:rPr>
          <w:bCs/>
        </w:rPr>
        <w:t xml:space="preserve"> do</w:t>
      </w:r>
      <w:r w:rsidR="00C27EF3">
        <w:rPr>
          <w:bCs/>
        </w:rPr>
        <w:t>es not</w:t>
      </w:r>
      <w:r w:rsidRPr="006662A7">
        <w:rPr>
          <w:bCs/>
        </w:rPr>
        <w:t xml:space="preserve"> require concurrent O</w:t>
      </w:r>
      <w:r w:rsidRPr="00C27EF3">
        <w:rPr>
          <w:bCs/>
          <w:vertAlign w:val="subscript"/>
        </w:rPr>
        <w:t>3</w:t>
      </w:r>
      <w:r w:rsidRPr="006662A7">
        <w:rPr>
          <w:bCs/>
        </w:rPr>
        <w:t xml:space="preserve"> and met</w:t>
      </w:r>
      <w:r w:rsidR="00C27EF3">
        <w:rPr>
          <w:bCs/>
        </w:rPr>
        <w:t>eorological</w:t>
      </w:r>
      <w:r w:rsidRPr="006662A7">
        <w:rPr>
          <w:bCs/>
        </w:rPr>
        <w:t xml:space="preserve"> data</w:t>
      </w:r>
      <w:r w:rsidR="00C27EF3">
        <w:rPr>
          <w:bCs/>
        </w:rPr>
        <w:t>, but both</w:t>
      </w:r>
      <w:r w:rsidRPr="006662A7">
        <w:rPr>
          <w:bCs/>
        </w:rPr>
        <w:t xml:space="preserve"> need to be representative.)</w:t>
      </w:r>
    </w:p>
    <w:p w14:paraId="50C8E207" w14:textId="6527D141" w:rsidR="006662A7" w:rsidRDefault="006662A7" w:rsidP="002016E8">
      <w:pPr>
        <w:ind w:left="360" w:right="270"/>
      </w:pPr>
      <w:r w:rsidRPr="00A96859">
        <w:rPr>
          <w:u w:val="single"/>
        </w:rPr>
        <w:t>Note</w:t>
      </w:r>
      <w:proofErr w:type="gramStart"/>
      <w:r w:rsidR="00893D59">
        <w:t>:</w:t>
      </w:r>
      <w:r w:rsidR="00A96859">
        <w:t xml:space="preserve"> </w:t>
      </w:r>
      <w:r w:rsidR="00893D59">
        <w:t xml:space="preserve"> </w:t>
      </w:r>
      <w:r w:rsidR="00893D59" w:rsidRPr="002016E8">
        <w:rPr>
          <w:i/>
        </w:rPr>
        <w:t>A</w:t>
      </w:r>
      <w:r w:rsidRPr="002016E8">
        <w:rPr>
          <w:i/>
        </w:rPr>
        <w:t>mbient</w:t>
      </w:r>
      <w:proofErr w:type="gramEnd"/>
      <w:r w:rsidRPr="002016E8">
        <w:rPr>
          <w:i/>
        </w:rPr>
        <w:t xml:space="preserve"> O</w:t>
      </w:r>
      <w:r w:rsidRPr="002016E8">
        <w:rPr>
          <w:i/>
          <w:vertAlign w:val="subscript"/>
        </w:rPr>
        <w:t>3</w:t>
      </w:r>
      <w:r w:rsidRPr="002016E8">
        <w:rPr>
          <w:i/>
        </w:rPr>
        <w:t xml:space="preserve"> </w:t>
      </w:r>
      <w:r w:rsidR="00893D59" w:rsidRPr="002016E8">
        <w:rPr>
          <w:i/>
        </w:rPr>
        <w:t>concentrations are</w:t>
      </w:r>
      <w:r w:rsidRPr="002016E8">
        <w:rPr>
          <w:i/>
        </w:rPr>
        <w:t xml:space="preserve"> </w:t>
      </w:r>
      <w:proofErr w:type="gramStart"/>
      <w:r w:rsidRPr="002016E8">
        <w:rPr>
          <w:i/>
        </w:rPr>
        <w:t>fairly consistent</w:t>
      </w:r>
      <w:proofErr w:type="gramEnd"/>
      <w:r w:rsidRPr="002016E8">
        <w:rPr>
          <w:i/>
        </w:rPr>
        <w:t xml:space="preserve"> across the North Slope.</w:t>
      </w:r>
      <w:r w:rsidR="006B0A8B" w:rsidRPr="002016E8">
        <w:rPr>
          <w:i/>
        </w:rPr>
        <w:t xml:space="preserve"> </w:t>
      </w:r>
      <w:r w:rsidRPr="002016E8">
        <w:rPr>
          <w:i/>
        </w:rPr>
        <w:t xml:space="preserve"> Therefore, </w:t>
      </w:r>
      <w:r w:rsidR="00893D59" w:rsidRPr="002016E8">
        <w:rPr>
          <w:i/>
        </w:rPr>
        <w:t>regional O</w:t>
      </w:r>
      <w:r w:rsidR="00893D59" w:rsidRPr="002016E8">
        <w:rPr>
          <w:i/>
          <w:vertAlign w:val="subscript"/>
        </w:rPr>
        <w:t>3</w:t>
      </w:r>
      <w:r w:rsidR="00893D59" w:rsidRPr="002016E8">
        <w:rPr>
          <w:i/>
        </w:rPr>
        <w:t xml:space="preserve"> </w:t>
      </w:r>
      <w:r w:rsidRPr="002016E8">
        <w:rPr>
          <w:i/>
        </w:rPr>
        <w:t xml:space="preserve">data </w:t>
      </w:r>
      <w:r w:rsidR="00893D59" w:rsidRPr="002016E8">
        <w:rPr>
          <w:i/>
        </w:rPr>
        <w:t>may be used in a</w:t>
      </w:r>
      <w:r w:rsidRPr="002016E8">
        <w:rPr>
          <w:i/>
        </w:rPr>
        <w:t xml:space="preserve"> North Slope NO</w:t>
      </w:r>
      <w:r w:rsidRPr="002016E8">
        <w:rPr>
          <w:i/>
          <w:vertAlign w:val="subscript"/>
        </w:rPr>
        <w:t>2</w:t>
      </w:r>
      <w:r w:rsidR="006B0A8B" w:rsidRPr="002016E8">
        <w:rPr>
          <w:i/>
        </w:rPr>
        <w:t xml:space="preserve"> </w:t>
      </w:r>
      <w:r w:rsidRPr="002016E8">
        <w:rPr>
          <w:i/>
        </w:rPr>
        <w:t>analysis</w:t>
      </w:r>
      <w:r w:rsidR="00893D59" w:rsidRPr="002016E8">
        <w:rPr>
          <w:i/>
        </w:rPr>
        <w:t xml:space="preserve"> rather than “local” O</w:t>
      </w:r>
      <w:r w:rsidR="00893D59" w:rsidRPr="002016E8">
        <w:rPr>
          <w:i/>
          <w:vertAlign w:val="subscript"/>
        </w:rPr>
        <w:t>3</w:t>
      </w:r>
      <w:r w:rsidR="00893D59" w:rsidRPr="002016E8">
        <w:rPr>
          <w:i/>
        </w:rPr>
        <w:t xml:space="preserve"> data</w:t>
      </w:r>
      <w:r w:rsidRPr="002016E8">
        <w:rPr>
          <w:i/>
        </w:rPr>
        <w:t>.</w:t>
      </w:r>
      <w:r w:rsidR="009003F2" w:rsidRPr="002016E8">
        <w:rPr>
          <w:i/>
        </w:rPr>
        <w:t xml:space="preserve">  A </w:t>
      </w:r>
      <w:r w:rsidR="00F70320" w:rsidRPr="002016E8">
        <w:rPr>
          <w:i/>
        </w:rPr>
        <w:t>worst-case compilation of three years of hourly ozone data from Prudhoe Bay A-Pad that has frequently been used in past NO</w:t>
      </w:r>
      <w:r w:rsidR="00F70320" w:rsidRPr="002016E8">
        <w:rPr>
          <w:i/>
          <w:vertAlign w:val="subscript"/>
        </w:rPr>
        <w:t>2</w:t>
      </w:r>
      <w:r w:rsidR="00F70320" w:rsidRPr="002016E8">
        <w:rPr>
          <w:i/>
        </w:rPr>
        <w:t xml:space="preserve"> modeling assessments of sources located in the greater Prudhoe Bay area may be found on the Juneau network at: </w:t>
      </w:r>
      <w:hyperlink r:id="rId153" w:history="1">
        <w:r w:rsidR="00F70320" w:rsidRPr="002016E8">
          <w:rPr>
            <w:rStyle w:val="Hyperlink"/>
            <w:i/>
          </w:rPr>
          <w:t>G:\AQ\PERMITS\Modeling\Approved Ozone data</w:t>
        </w:r>
      </w:hyperlink>
      <w:r w:rsidR="00F70320">
        <w:t xml:space="preserve">. </w:t>
      </w:r>
    </w:p>
    <w:p w14:paraId="09D62DD7" w14:textId="0876E2D0" w:rsidR="004140A4" w:rsidRDefault="004140A4" w:rsidP="004140A4">
      <w:pPr>
        <w:pStyle w:val="Heading3"/>
      </w:pPr>
      <w:r>
        <w:tab/>
      </w:r>
      <w:bookmarkStart w:id="240" w:name="_Ref451953313"/>
      <w:bookmarkStart w:id="241" w:name="_Toc526778284"/>
      <w:r>
        <w:t>PM-10</w:t>
      </w:r>
      <w:bookmarkEnd w:id="240"/>
      <w:bookmarkEnd w:id="241"/>
    </w:p>
    <w:p w14:paraId="1647A8C8" w14:textId="3A78B0BA" w:rsidR="00594885" w:rsidRDefault="00594885" w:rsidP="004140A4">
      <w:r w:rsidRPr="00594885">
        <w:t>Applicants may compare the</w:t>
      </w:r>
      <w:r>
        <w:t xml:space="preserve"> High-N+1-High value over N years of meteorological data to the </w:t>
      </w:r>
      <w:r w:rsidRPr="00594885">
        <w:t>24-hour PM-10 AAAQS</w:t>
      </w:r>
      <w:r>
        <w:t xml:space="preserve">.  For example, when using five years of </w:t>
      </w:r>
      <w:r w:rsidR="00691562">
        <w:t xml:space="preserve">concatenated </w:t>
      </w:r>
      <w:r>
        <w:t xml:space="preserve">meteorological data, applicants may use the modeled </w:t>
      </w:r>
      <w:r w:rsidRPr="00594885">
        <w:t>high</w:t>
      </w:r>
      <w:r w:rsidR="00691562">
        <w:t xml:space="preserve"> </w:t>
      </w:r>
      <w:r w:rsidRPr="00594885">
        <w:t>sixth-high (</w:t>
      </w:r>
      <w:r w:rsidR="000F77B4">
        <w:t>H</w:t>
      </w:r>
      <w:r w:rsidRPr="00594885">
        <w:t>6</w:t>
      </w:r>
      <w:r w:rsidR="000F77B4">
        <w:t>H</w:t>
      </w:r>
      <w:r w:rsidRPr="00594885">
        <w:t xml:space="preserve">) concentration.  </w:t>
      </w:r>
      <w:r>
        <w:t xml:space="preserve">EPA’s </w:t>
      </w:r>
      <w:hyperlink r:id="rId154" w:history="1">
        <w:r w:rsidRPr="00AC56F0">
          <w:rPr>
            <w:rStyle w:val="Hyperlink"/>
          </w:rPr>
          <w:t>AERMOD User’s Guide</w:t>
        </w:r>
      </w:hyperlink>
      <w:r>
        <w:t xml:space="preserve"> provides additional information as to how this provision can </w:t>
      </w:r>
      <w:r w:rsidR="00AC56F0">
        <w:t xml:space="preserve">be </w:t>
      </w:r>
      <w:r>
        <w:t xml:space="preserve">implemented when using AERMOD. </w:t>
      </w:r>
    </w:p>
    <w:p w14:paraId="78A951B1" w14:textId="2885E5D4" w:rsidR="004140A4" w:rsidRDefault="00594885" w:rsidP="004140A4">
      <w:r>
        <w:t xml:space="preserve">The above provision may </w:t>
      </w:r>
      <w:r w:rsidRPr="00186DEE">
        <w:rPr>
          <w:u w:val="single"/>
        </w:rPr>
        <w:t>not</w:t>
      </w:r>
      <w:r>
        <w:t xml:space="preserve"> be used </w:t>
      </w:r>
      <w:r w:rsidR="004F4E22">
        <w:t xml:space="preserve">to </w:t>
      </w:r>
      <w:r>
        <w:t xml:space="preserve">demonstrate compliance with the 24-hour PM-10 increment.  </w:t>
      </w:r>
      <w:r w:rsidR="00186DEE">
        <w:t xml:space="preserve">The PM-10 increments are “deterministic” rather than “statistical.”  Therefore, the highest of the </w:t>
      </w:r>
      <w:r w:rsidR="000F77B4">
        <w:t>H</w:t>
      </w:r>
      <w:r w:rsidR="00186DEE">
        <w:t>2</w:t>
      </w:r>
      <w:r w:rsidR="000F77B4">
        <w:t>H</w:t>
      </w:r>
      <w:r w:rsidR="00186DEE">
        <w:t xml:space="preserve"> concentrations should be compared to the increment when using multiple years of meteorological data.  A copy of EPA’s guidance regarding this issue may be found on ADEC’s modeling page (see </w:t>
      </w:r>
      <w:hyperlink r:id="rId155" w:history="1">
        <w:r w:rsidR="000D4228">
          <w:rPr>
            <w:rStyle w:val="Hyperlink"/>
          </w:rPr>
          <w:t>http://dec.alaska.gov/air/air-permit/dispersion-modeling/</w:t>
        </w:r>
      </w:hyperlink>
      <w:r w:rsidR="00186DEE">
        <w:t xml:space="preserve">).   </w:t>
      </w:r>
    </w:p>
    <w:p w14:paraId="320A220A" w14:textId="23A65D8E" w:rsidR="00D856C3" w:rsidRDefault="00D856C3" w:rsidP="004140A4">
      <w:r>
        <w:lastRenderedPageBreak/>
        <w:t xml:space="preserve">The effects of gravitational settling and deposition may be included in a PM-10 analysis per Section 7.2.1.3 of the </w:t>
      </w:r>
      <w:hyperlink r:id="rId156" w:history="1">
        <w:r w:rsidRPr="00C42099">
          <w:rPr>
            <w:rStyle w:val="Hyperlink"/>
          </w:rPr>
          <w:t>Guideline</w:t>
        </w:r>
      </w:hyperlink>
      <w:r>
        <w:t xml:space="preserve">.  AERMOD will even automatically include these effects when provided with the necessary data, unless the user specifies the NODRYDPLT and/or NOWETDPLT options in the CO pathway.  </w:t>
      </w:r>
      <w:r w:rsidR="00020F49">
        <w:t xml:space="preserve">See Section </w:t>
      </w:r>
      <w:r w:rsidR="00020F49">
        <w:fldChar w:fldCharType="begin"/>
      </w:r>
      <w:r w:rsidR="00020F49">
        <w:instrText xml:space="preserve"> REF _Ref482013731 \w \h </w:instrText>
      </w:r>
      <w:r w:rsidR="00020F49">
        <w:fldChar w:fldCharType="separate"/>
      </w:r>
      <w:r w:rsidR="00135FFD">
        <w:t>2.10.6</w:t>
      </w:r>
      <w:r w:rsidR="00020F49">
        <w:fldChar w:fldCharType="end"/>
      </w:r>
      <w:r w:rsidR="00020F49">
        <w:t xml:space="preserve"> of this manual for additional details.  </w:t>
      </w:r>
      <w:r>
        <w:t>The offshore counterpart to AERMOD, OCD, does not treat settling and deposit</w:t>
      </w:r>
      <w:r w:rsidR="00020F49">
        <w:t>i</w:t>
      </w:r>
      <w:r>
        <w:t xml:space="preserve">on. </w:t>
      </w:r>
    </w:p>
    <w:p w14:paraId="45941211" w14:textId="77777777" w:rsidR="0023321C" w:rsidRDefault="00AD5C0A" w:rsidP="00177BD0">
      <w:pPr>
        <w:pStyle w:val="Heading3"/>
      </w:pPr>
      <w:bookmarkStart w:id="242" w:name="PM25Modeling"/>
      <w:r>
        <w:tab/>
      </w:r>
      <w:bookmarkStart w:id="243" w:name="_Ref524528029"/>
      <w:bookmarkStart w:id="244" w:name="_Toc526778285"/>
      <w:r w:rsidR="0070012E">
        <w:t>PM-2.5</w:t>
      </w:r>
      <w:bookmarkEnd w:id="243"/>
      <w:bookmarkEnd w:id="244"/>
    </w:p>
    <w:bookmarkEnd w:id="242"/>
    <w:p w14:paraId="646426AE" w14:textId="77777777" w:rsidR="005D33CE" w:rsidRDefault="0075391B" w:rsidP="0075391B">
      <w:r>
        <w:t xml:space="preserve">PM-2.5 is either directly </w:t>
      </w:r>
      <w:r w:rsidR="000E4221">
        <w:t xml:space="preserve">emitted </w:t>
      </w:r>
      <w:r>
        <w:t>from a source or formed through chemical reactions in the atmosphere</w:t>
      </w:r>
      <w:r w:rsidR="000E4221">
        <w:t xml:space="preserve"> (</w:t>
      </w:r>
      <w:r>
        <w:t>secondary formation</w:t>
      </w:r>
      <w:r w:rsidR="000E4221">
        <w:t xml:space="preserve">) from other pollutants (NOx and </w:t>
      </w:r>
      <w:r w:rsidR="000E4221" w:rsidRPr="00E91523">
        <w:t>SO</w:t>
      </w:r>
      <w:r w:rsidR="000E4221" w:rsidRPr="00E91523">
        <w:rPr>
          <w:vertAlign w:val="subscript"/>
        </w:rPr>
        <w:t>2</w:t>
      </w:r>
      <w:r w:rsidR="000E4221">
        <w:t>)</w:t>
      </w:r>
      <w:r>
        <w:t>.</w:t>
      </w:r>
      <w:r w:rsidR="000E4221" w:rsidRPr="00712174">
        <w:rPr>
          <w:rStyle w:val="FootnoteReference"/>
        </w:rPr>
        <w:footnoteReference w:id="82"/>
      </w:r>
      <w:r>
        <w:t xml:space="preserve">  AERMOD and OCD are acceptable models for performing near-field analyses of the </w:t>
      </w:r>
      <w:r w:rsidR="000E4221">
        <w:t xml:space="preserve">direct </w:t>
      </w:r>
      <w:r>
        <w:t xml:space="preserve">emissions, but EPA has not yet developed a near-field model that includes the necessary chemistry algorithms for estimating secondary impacts.  </w:t>
      </w:r>
    </w:p>
    <w:p w14:paraId="1758D205" w14:textId="5A34F8C6" w:rsidR="002555DD" w:rsidRDefault="00AF1667">
      <w:r>
        <w:t xml:space="preserve">EPA </w:t>
      </w:r>
      <w:r w:rsidR="0090257F">
        <w:t>describes the</w:t>
      </w:r>
      <w:r>
        <w:t xml:space="preserve"> various options within AERMOD for modeling </w:t>
      </w:r>
      <w:r w:rsidRPr="00640C3C">
        <w:rPr>
          <w:i/>
        </w:rPr>
        <w:t>direct</w:t>
      </w:r>
      <w:r>
        <w:t xml:space="preserve"> PM-2.5 impacts in the </w:t>
      </w:r>
      <w:hyperlink r:id="rId157" w:history="1">
        <w:r w:rsidRPr="00AC56F0">
          <w:rPr>
            <w:rStyle w:val="Hyperlink"/>
          </w:rPr>
          <w:t>AERMOD User’s Guide</w:t>
        </w:r>
      </w:hyperlink>
      <w:r>
        <w:t xml:space="preserve">.  </w:t>
      </w:r>
      <w:r w:rsidR="00966F10">
        <w:t xml:space="preserve">For </w:t>
      </w:r>
      <w:r>
        <w:t xml:space="preserve">example, </w:t>
      </w:r>
      <w:proofErr w:type="gramStart"/>
      <w:r>
        <w:t>in order for</w:t>
      </w:r>
      <w:proofErr w:type="gramEnd"/>
      <w:r>
        <w:t xml:space="preserve"> </w:t>
      </w:r>
      <w:r w:rsidR="00966F10">
        <w:t xml:space="preserve">AERMOD to correctly </w:t>
      </w:r>
      <w:r w:rsidR="00B10B3A">
        <w:t>calculate</w:t>
      </w:r>
      <w:r w:rsidR="00966F10">
        <w:t xml:space="preserve"> the 24-hr impact </w:t>
      </w:r>
      <w:r>
        <w:t xml:space="preserve">within the form of </w:t>
      </w:r>
      <w:r w:rsidR="00966F10">
        <w:t xml:space="preserve">the standard, the pollutant must be identified as </w:t>
      </w:r>
      <w:r w:rsidR="000A2AE1">
        <w:t>“</w:t>
      </w:r>
      <w:r w:rsidR="00966F10">
        <w:t>PM25</w:t>
      </w:r>
      <w:r w:rsidR="000A2AE1">
        <w:t>”</w:t>
      </w:r>
      <w:r w:rsidR="007519A4">
        <w:t>, “PM-2.5”, “PM2.5” or “PM-25”</w:t>
      </w:r>
      <w:r w:rsidR="000A2AE1">
        <w:t xml:space="preserve"> (without the quotes)</w:t>
      </w:r>
      <w:r w:rsidR="00966F10">
        <w:t xml:space="preserve"> on</w:t>
      </w:r>
      <w:r w:rsidR="00B10B3A">
        <w:t xml:space="preserve"> the POLLUTID keyword.</w:t>
      </w:r>
      <w:r w:rsidR="00966F10">
        <w:t xml:space="preserve"> </w:t>
      </w:r>
      <w:r w:rsidR="007519A4">
        <w:t xml:space="preserve"> This approach should not be used, however, for modeling the direct 24-hour PM-2.5 increment concentration</w:t>
      </w:r>
      <w:r w:rsidR="00C424B9">
        <w:t xml:space="preserve"> (see Section</w:t>
      </w:r>
      <w:r w:rsidR="003D3B49" w:rsidRPr="008E3429">
        <w:t> </w:t>
      </w:r>
      <w:r w:rsidR="00C424B9">
        <w:fldChar w:fldCharType="begin"/>
      </w:r>
      <w:r w:rsidR="00C424B9">
        <w:instrText xml:space="preserve"> REF _Ref446497289 \r \h </w:instrText>
      </w:r>
      <w:r w:rsidR="00C424B9">
        <w:fldChar w:fldCharType="separate"/>
      </w:r>
      <w:r w:rsidR="00135FFD">
        <w:t>2.1.4.4</w:t>
      </w:r>
      <w:r w:rsidR="00C424B9">
        <w:fldChar w:fldCharType="end"/>
      </w:r>
      <w:r w:rsidR="00C424B9">
        <w:t>)</w:t>
      </w:r>
      <w:r w:rsidR="007519A4">
        <w:t xml:space="preserve">.  </w:t>
      </w:r>
      <w:r w:rsidR="00B10B3A">
        <w:t xml:space="preserve">Condensable PM-2.5 emissions should </w:t>
      </w:r>
      <w:r w:rsidR="0090257F">
        <w:t xml:space="preserve">also </w:t>
      </w:r>
      <w:r w:rsidR="00B10B3A">
        <w:t xml:space="preserve">be included in all </w:t>
      </w:r>
      <w:r w:rsidR="00F447BD">
        <w:t xml:space="preserve">PM-2.5 emission estimates submitted </w:t>
      </w:r>
      <w:r w:rsidR="00B10B3A">
        <w:t>after January</w:t>
      </w:r>
      <w:r w:rsidR="000822A9" w:rsidRPr="008E3429">
        <w:t> </w:t>
      </w:r>
      <w:r w:rsidR="00B10B3A">
        <w:t xml:space="preserve">2, 2011 (per EPA’s May 2008 </w:t>
      </w:r>
      <w:r w:rsidR="00F447BD">
        <w:t xml:space="preserve">PM-2.5 </w:t>
      </w:r>
      <w:r w:rsidR="00B10B3A">
        <w:t>Rulemaking).</w:t>
      </w:r>
      <w:r w:rsidR="000564D6">
        <w:rPr>
          <w:rStyle w:val="FootnoteReference"/>
        </w:rPr>
        <w:footnoteReference w:id="83"/>
      </w:r>
    </w:p>
    <w:p w14:paraId="7E105E61" w14:textId="62E1F27A" w:rsidR="00CC1D15" w:rsidRDefault="0090257F">
      <w:r>
        <w:t xml:space="preserve">EPA’s recommended approach for assessing the </w:t>
      </w:r>
      <w:r w:rsidRPr="00640C3C">
        <w:rPr>
          <w:i/>
        </w:rPr>
        <w:t>secondary</w:t>
      </w:r>
      <w:r>
        <w:t xml:space="preserve"> PM-2.5 impacts from a proposed source/modification </w:t>
      </w:r>
      <w:r w:rsidR="00E82861">
        <w:t xml:space="preserve">has evolved </w:t>
      </w:r>
      <w:r w:rsidR="00CC1D15">
        <w:t>over time</w:t>
      </w:r>
      <w:r w:rsidR="00E82861">
        <w:t xml:space="preserve">.  </w:t>
      </w:r>
      <w:r w:rsidR="00CC1D15">
        <w:t>They also developed new language in Section 5.4.2 of the 2016 version of the Guideline to address the issue. As summarized in a</w:t>
      </w:r>
      <w:r w:rsidR="005A381C">
        <w:t xml:space="preserve"> subsequent</w:t>
      </w:r>
      <w:r w:rsidR="00CC1D15">
        <w:t xml:space="preserve"> August 4, </w:t>
      </w:r>
      <w:proofErr w:type="gramStart"/>
      <w:r w:rsidR="00CC1D15">
        <w:t>2017</w:t>
      </w:r>
      <w:proofErr w:type="gramEnd"/>
      <w:r w:rsidR="00CC1D15">
        <w:t xml:space="preserve"> EPA memorandum</w:t>
      </w:r>
      <w:r w:rsidR="005A381C">
        <w:t xml:space="preserve"> regarding secondary formation</w:t>
      </w:r>
      <w:r w:rsidR="00224D59">
        <w:t>:</w:t>
      </w:r>
      <w:r w:rsidR="00375997">
        <w:rPr>
          <w:rStyle w:val="FootnoteReference"/>
        </w:rPr>
        <w:footnoteReference w:id="84"/>
      </w:r>
      <w:r w:rsidR="00CC1D15">
        <w:t xml:space="preserve"> </w:t>
      </w:r>
    </w:p>
    <w:p w14:paraId="3A250836" w14:textId="71EA0CF2" w:rsidR="00CC1D15" w:rsidRDefault="00CC1D15" w:rsidP="00CC1D15">
      <w:pPr>
        <w:ind w:left="360" w:right="360"/>
      </w:pPr>
      <w:r>
        <w:t xml:space="preserve">The EPA recently revised the </w:t>
      </w:r>
      <w:r w:rsidRPr="00CC1D15">
        <w:rPr>
          <w:i/>
        </w:rPr>
        <w:t>Guideline on Air Quality Modeling</w:t>
      </w:r>
      <w:r>
        <w:t xml:space="preserve"> [sic], also referred to as Appendix W or the </w:t>
      </w:r>
      <w:r w:rsidRPr="00CC1D15">
        <w:rPr>
          <w:i/>
        </w:rPr>
        <w:t>Guideline</w:t>
      </w:r>
      <w:r>
        <w:t xml:space="preserve">, to recommend a </w:t>
      </w:r>
      <w:proofErr w:type="gramStart"/>
      <w:r>
        <w:t>two tiered</w:t>
      </w:r>
      <w:proofErr w:type="gramEnd"/>
      <w:r>
        <w:t xml:space="preserve"> screening approach for </w:t>
      </w:r>
      <w:proofErr w:type="gramStart"/>
      <w:r>
        <w:t>permit related</w:t>
      </w:r>
      <w:proofErr w:type="gramEnd"/>
      <w:r>
        <w:t xml:space="preserve"> program demonstrations rather than establishing a single preferred model [reference]. As detailed in Section 5 of the Guideline, </w:t>
      </w:r>
      <w:proofErr w:type="gramStart"/>
      <w:r>
        <w:t>both of these</w:t>
      </w:r>
      <w:proofErr w:type="gramEnd"/>
      <w:r>
        <w:t xml:space="preserve"> tiers </w:t>
      </w:r>
      <w:proofErr w:type="gramStart"/>
      <w:r>
        <w:t>involves</w:t>
      </w:r>
      <w:proofErr w:type="gramEnd"/>
      <w:r>
        <w:t xml:space="preserve"> the use of chemical transport models (e.g., photochemical grid models). The recommended approach for Tier I demonstrations would utilize such models to provide sensitivity estimates (either through existing modeling work or new projects) of responsiveness to precursor emissions in developing screening tools or methods [reference]. The recommended approach for Tier 2 demonstrations would directly utilize such models to estimate the impacts of the new or modifying sources [reference].</w:t>
      </w:r>
    </w:p>
    <w:p w14:paraId="53A766A0" w14:textId="4D10135C" w:rsidR="0090257F" w:rsidRDefault="00E74B1F">
      <w:r>
        <w:lastRenderedPageBreak/>
        <w:t xml:space="preserve">EPA is also developing guidance on how States can develop </w:t>
      </w:r>
      <w:r w:rsidRPr="00FC5BE9">
        <w:t>Modeled Emission Rates for Precursors</w:t>
      </w:r>
      <w:r>
        <w:t xml:space="preserve"> (MERPs) from existing data (e.g., results from existing photochemical grid modeling).  The MERPs would essentially provide a ton per year threshold for determining when a Tier </w:t>
      </w:r>
      <w:r w:rsidR="00FE2DEB">
        <w:t>2 analysis may be warranted.  They could conversely be used to estimate the secondary impact by prorating the MERP value with the applicant’s potential emissions.  EPA released a draft of the MERP guidance in December 2016,</w:t>
      </w:r>
      <w:r w:rsidR="00FE2DEB">
        <w:rPr>
          <w:rStyle w:val="FootnoteReference"/>
        </w:rPr>
        <w:footnoteReference w:id="85"/>
      </w:r>
      <w:r w:rsidR="00FE2DEB">
        <w:t xml:space="preserve"> but the finalized version is </w:t>
      </w:r>
      <w:r w:rsidR="002617E3">
        <w:t xml:space="preserve">still </w:t>
      </w:r>
      <w:r w:rsidR="00FE2DEB">
        <w:t xml:space="preserve">pending as of </w:t>
      </w:r>
      <w:r w:rsidR="00640C3C">
        <w:t>October</w:t>
      </w:r>
      <w:r w:rsidR="00FE2DEB">
        <w:t xml:space="preserve"> </w:t>
      </w:r>
      <w:r w:rsidR="00FD70AB">
        <w:t>8</w:t>
      </w:r>
      <w:r w:rsidR="00FE2DEB">
        <w:t xml:space="preserve">, 2018. </w:t>
      </w:r>
    </w:p>
    <w:p w14:paraId="6807DA74" w14:textId="1A9C967A" w:rsidR="00977601" w:rsidRDefault="00964AA8">
      <w:r>
        <w:t xml:space="preserve">EPA’s secondary formation guidance presumes that States already have existing photochemical modeling analyses and supporting datasets that could readily be used for developing MERPS and/or for assessing a source-specific impact. </w:t>
      </w:r>
      <w:r w:rsidR="00DE6F69">
        <w:t xml:space="preserve"> </w:t>
      </w:r>
      <w:r>
        <w:t xml:space="preserve">That’s not the case </w:t>
      </w:r>
      <w:proofErr w:type="gramStart"/>
      <w:r>
        <w:t>within</w:t>
      </w:r>
      <w:proofErr w:type="gramEnd"/>
      <w:r>
        <w:t xml:space="preserve"> Alaska</w:t>
      </w:r>
      <w:r w:rsidR="007C68CD">
        <w:t xml:space="preserve">.  </w:t>
      </w:r>
      <w:r w:rsidR="00B27FF9">
        <w:t>Therefore, the effort needed to develop a photochemical analysis could “create an undue and unnecessary burden on many of our [NSR] permit applicants,” as expressed in ADEC’s comments on EPA’s draft MERP guidance.</w:t>
      </w:r>
      <w:bookmarkStart w:id="245" w:name="_Ref524530034"/>
      <w:r w:rsidR="00B27FF9">
        <w:rPr>
          <w:rStyle w:val="FootnoteReference"/>
        </w:rPr>
        <w:footnoteReference w:id="86"/>
      </w:r>
      <w:bookmarkEnd w:id="245"/>
      <w:r w:rsidR="00B27FF9">
        <w:t xml:space="preserve">  </w:t>
      </w:r>
      <w:r w:rsidR="007C68CD">
        <w:t xml:space="preserve">Many of our stationary sources are also located in isolated areas (i.e., hundreds of kilometers from both the nearest metropolitan area and nearest PSD major stationary source) whereby the lack of competing sources minimizes the potential for adverse secondary formation.  </w:t>
      </w:r>
    </w:p>
    <w:p w14:paraId="2CD14C95" w14:textId="6F5AAD58" w:rsidR="00977601" w:rsidRDefault="00977601">
      <w:r w:rsidRPr="008E3429">
        <w:t xml:space="preserve">EPA noted </w:t>
      </w:r>
      <w:r>
        <w:t xml:space="preserve">in their </w:t>
      </w:r>
      <w:r w:rsidR="0072432D">
        <w:t>2014</w:t>
      </w:r>
      <w:r>
        <w:t xml:space="preserve"> PM-2.5 modeling guidance</w:t>
      </w:r>
      <w:bookmarkStart w:id="246" w:name="_Ref524522322"/>
      <w:r w:rsidR="0072432D">
        <w:rPr>
          <w:rStyle w:val="FootnoteReference"/>
        </w:rPr>
        <w:footnoteReference w:id="87"/>
      </w:r>
      <w:bookmarkEnd w:id="246"/>
      <w:r>
        <w:t xml:space="preserve"> </w:t>
      </w:r>
      <w:r w:rsidRPr="008E3429">
        <w:t xml:space="preserve">that the </w:t>
      </w:r>
      <w:r>
        <w:t>maximum direct</w:t>
      </w:r>
      <w:r w:rsidRPr="008E3429">
        <w:t xml:space="preserve"> impacts and the </w:t>
      </w:r>
      <w:r>
        <w:t>maximum</w:t>
      </w:r>
      <w:r w:rsidRPr="008E3429">
        <w:t xml:space="preserve"> secondary impacts from </w:t>
      </w:r>
      <w:r>
        <w:t>a</w:t>
      </w:r>
      <w:r w:rsidRPr="008E3429">
        <w:t xml:space="preserve"> </w:t>
      </w:r>
      <w:r>
        <w:t xml:space="preserve">stationary </w:t>
      </w:r>
      <w:r w:rsidRPr="008E3429">
        <w:t>source “</w:t>
      </w:r>
      <w:r w:rsidRPr="00C13D28">
        <w:rPr>
          <w:i/>
        </w:rPr>
        <w:t xml:space="preserve">…are not likely well-correlated in </w:t>
      </w:r>
      <w:r>
        <w:rPr>
          <w:i/>
        </w:rPr>
        <w:t>time</w:t>
      </w:r>
      <w:r w:rsidRPr="00C13D28">
        <w:rPr>
          <w:i/>
        </w:rPr>
        <w:t xml:space="preserve"> or </w:t>
      </w:r>
      <w:r>
        <w:rPr>
          <w:i/>
        </w:rPr>
        <w:t>space</w:t>
      </w:r>
      <w:r w:rsidRPr="008E3429">
        <w:t>”</w:t>
      </w:r>
      <w:r>
        <w:t>,</w:t>
      </w:r>
      <w:r w:rsidRPr="008E3429">
        <w:t xml:space="preserve"> i.e., they will likely occur in different locations and at different times. </w:t>
      </w:r>
      <w:r w:rsidR="0072432D">
        <w:t xml:space="preserve"> </w:t>
      </w:r>
      <w:r w:rsidRPr="008E3429">
        <w:t xml:space="preserve">This </w:t>
      </w:r>
      <w:r>
        <w:t>difference occurs</w:t>
      </w:r>
      <w:r w:rsidRPr="008E3429">
        <w:t xml:space="preserve"> because secondary PM-2.5 formation is a complex photochemical reaction that requires a mix of precursor pollutants in sufficient quantities for significant formation to occur. </w:t>
      </w:r>
      <w:r w:rsidR="0072432D">
        <w:t xml:space="preserve"> </w:t>
      </w:r>
      <w:r>
        <w:t>As such, i</w:t>
      </w:r>
      <w:r w:rsidRPr="008E3429">
        <w:t xml:space="preserve">t is highly unlikely that there is sufficient time for the reaction to substantively occur within the immediate </w:t>
      </w:r>
      <w:proofErr w:type="gramStart"/>
      <w:r w:rsidRPr="000D2FC0">
        <w:t>near-field</w:t>
      </w:r>
      <w:proofErr w:type="gramEnd"/>
      <w:r>
        <w:t xml:space="preserve">, which is where the maximum direct impacts from </w:t>
      </w:r>
      <w:r w:rsidR="0072432D">
        <w:t xml:space="preserve">project </w:t>
      </w:r>
      <w:r>
        <w:t xml:space="preserve">EUs </w:t>
      </w:r>
      <w:r w:rsidR="0072432D">
        <w:t xml:space="preserve">generally </w:t>
      </w:r>
      <w:r>
        <w:t>occur</w:t>
      </w:r>
      <w:r w:rsidR="0072432D">
        <w:t>.</w:t>
      </w:r>
    </w:p>
    <w:p w14:paraId="301DFCBF" w14:textId="77777777" w:rsidR="000416E2" w:rsidRDefault="007C68CD">
      <w:r>
        <w:t xml:space="preserve">In </w:t>
      </w:r>
      <w:r w:rsidR="000416E2">
        <w:t xml:space="preserve">an email discussion with </w:t>
      </w:r>
      <w:r>
        <w:t>R10</w:t>
      </w:r>
      <w:r w:rsidR="000416E2">
        <w:t xml:space="preserve"> regarding the secondary formation issue, R10 replied:</w:t>
      </w:r>
      <w:bookmarkStart w:id="247" w:name="_Ref524604596"/>
      <w:r>
        <w:rPr>
          <w:rStyle w:val="FootnoteReference"/>
        </w:rPr>
        <w:footnoteReference w:id="88"/>
      </w:r>
      <w:bookmarkEnd w:id="247"/>
      <w:r>
        <w:t xml:space="preserve"> </w:t>
      </w:r>
    </w:p>
    <w:p w14:paraId="0DADEB06" w14:textId="0E79CB35" w:rsidR="000416E2" w:rsidRDefault="000416E2" w:rsidP="000416E2">
      <w:pPr>
        <w:ind w:left="360"/>
      </w:pPr>
      <w:r>
        <w:t xml:space="preserve">The EPA continues to emphasize photochemical modeling for Tier 1 and Tier 2 demonstrations for secondary pollutants are </w:t>
      </w:r>
      <w:r w:rsidRPr="00225FB2">
        <w:rPr>
          <w:b/>
        </w:rPr>
        <w:t>not required</w:t>
      </w:r>
      <w:r>
        <w:t xml:space="preserve"> under Appendix W </w:t>
      </w:r>
      <w:r w:rsidRPr="00225FB2">
        <w:rPr>
          <w:b/>
          <w:i/>
        </w:rPr>
        <w:t>but recommended</w:t>
      </w:r>
      <w:r>
        <w:t xml:space="preserve">, as emphasized in the past correspondence highlighted in [ADEC’s] email… </w:t>
      </w:r>
      <w:proofErr w:type="gramStart"/>
      <w:r>
        <w:t>Therefore</w:t>
      </w:r>
      <w:proofErr w:type="gramEnd"/>
      <w:r>
        <w:t xml:space="preserve"> has been a lot of concern and confusion in the modeling community regarding this issue, and OAQPS has been attempting to </w:t>
      </w:r>
      <w:proofErr w:type="gramStart"/>
      <w:r>
        <w:t>emphasize</w:t>
      </w:r>
      <w:proofErr w:type="gramEnd"/>
      <w:r>
        <w:t xml:space="preserve"> photochemical modeling is recommended and not required for these demonstrations.  (Emphasis added by ADEC)</w:t>
      </w:r>
    </w:p>
    <w:p w14:paraId="61DD700C" w14:textId="5A31916D" w:rsidR="00A53128" w:rsidRDefault="005035B1">
      <w:r>
        <w:t xml:space="preserve">R10’s response clarifies that EPA does not routinely expect a photochemical modeling analysis from NSR applicants.  However, applicants that trigger a PM-2.5 modeling </w:t>
      </w:r>
      <w:r>
        <w:lastRenderedPageBreak/>
        <w:t xml:space="preserve">analysis will still need to address the secondary formation aspect.  Key considerations in reviewing </w:t>
      </w:r>
      <w:r w:rsidR="00A53128">
        <w:t xml:space="preserve">non-Tier 2 </w:t>
      </w:r>
      <w:r>
        <w:t xml:space="preserve">assessments are: </w:t>
      </w:r>
    </w:p>
    <w:p w14:paraId="1C479F27" w14:textId="77777777" w:rsidR="00A53128" w:rsidRDefault="005035B1" w:rsidP="00A53128">
      <w:pPr>
        <w:ind w:left="360"/>
      </w:pPr>
      <w:r>
        <w:t>1) the potential for adverse impact from secondary formation is dependent “on the magnitude of emissions</w:t>
      </w:r>
      <w:r w:rsidR="00A53128">
        <w:t>,</w:t>
      </w:r>
      <w:r>
        <w:t>”</w:t>
      </w:r>
      <w:r w:rsidR="00A53128">
        <w:t xml:space="preserve"> as indicated in Section 5.4.2(a) of the Guideline; and </w:t>
      </w:r>
    </w:p>
    <w:p w14:paraId="3AA4FAB5" w14:textId="77777777" w:rsidR="00A53128" w:rsidRDefault="00A53128" w:rsidP="00A53128">
      <w:pPr>
        <w:ind w:left="360"/>
      </w:pPr>
      <w:r>
        <w:t xml:space="preserve">2) the applicant should base their assessment on what “existing technical information is available,” as suggested by Section 5.4.2(b) of the Guideline. </w:t>
      </w:r>
    </w:p>
    <w:p w14:paraId="67B0C535" w14:textId="65903275" w:rsidR="00A53128" w:rsidRDefault="00A53128" w:rsidP="00DB7226">
      <w:r>
        <w:t>EPA previously addressed the magnitude aspect in a two-by-two matrix where the direct emissions and precursor emissions are either above or below the PSD significant emission rate (SER) for those pollutants.</w:t>
      </w:r>
      <w:r w:rsidR="00DB7226" w:rsidRPr="00DB7226">
        <w:rPr>
          <w:vertAlign w:val="superscript"/>
        </w:rPr>
        <w:fldChar w:fldCharType="begin"/>
      </w:r>
      <w:r w:rsidR="00DB7226" w:rsidRPr="00DB7226">
        <w:rPr>
          <w:vertAlign w:val="superscript"/>
        </w:rPr>
        <w:instrText xml:space="preserve"> NOTEREF _Ref524522322 \h </w:instrText>
      </w:r>
      <w:r w:rsidR="00DB7226">
        <w:rPr>
          <w:vertAlign w:val="superscript"/>
        </w:rPr>
        <w:instrText xml:space="preserve"> \* MERGEFORMAT </w:instrText>
      </w:r>
      <w:r w:rsidR="00DB7226" w:rsidRPr="00DB7226">
        <w:rPr>
          <w:vertAlign w:val="superscript"/>
        </w:rPr>
      </w:r>
      <w:r w:rsidR="00DB7226" w:rsidRPr="00DB7226">
        <w:rPr>
          <w:vertAlign w:val="superscript"/>
        </w:rPr>
        <w:fldChar w:fldCharType="separate"/>
      </w:r>
      <w:r w:rsidR="00135FFD">
        <w:rPr>
          <w:vertAlign w:val="superscript"/>
        </w:rPr>
        <w:t>87</w:t>
      </w:r>
      <w:r w:rsidR="00DB7226" w:rsidRPr="00DB7226">
        <w:rPr>
          <w:vertAlign w:val="superscript"/>
        </w:rPr>
        <w:fldChar w:fldCharType="end"/>
      </w:r>
      <w:r>
        <w:t xml:space="preserve">  They then provided their suggested approach, or range of approaches, for each cell of the matrix.  While this guidance has been superseded by the 2016 revision to the Guideline, it may nevertheless provide ideas for addressing the magnitude issue. </w:t>
      </w:r>
      <w:r w:rsidR="00DB7226">
        <w:t xml:space="preserve"> </w:t>
      </w:r>
      <w:r>
        <w:t xml:space="preserve">For example, </w:t>
      </w:r>
      <w:r w:rsidR="00DB7226">
        <w:t xml:space="preserve">emissions that are less than a SER for a given pollutant are probably not a concern since they would not otherwise trigger review under the PSD program. </w:t>
      </w:r>
    </w:p>
    <w:p w14:paraId="64AFE042" w14:textId="388362C4" w:rsidR="00DB7226" w:rsidRDefault="00DB7226" w:rsidP="00DB7226">
      <w:r>
        <w:t xml:space="preserve">The existing margin of compliance with the PM-2.5 AAAQS could also be a consideration </w:t>
      </w:r>
      <w:r w:rsidRPr="00DB7226">
        <w:rPr>
          <w:i/>
        </w:rPr>
        <w:t>in some cases</w:t>
      </w:r>
      <w:r>
        <w:t xml:space="preserve">.  This could be especially true if the existing precursor emissions within the airshed greatly </w:t>
      </w:r>
      <w:proofErr w:type="gramStart"/>
      <w:r>
        <w:t>exceed</w:t>
      </w:r>
      <w:proofErr w:type="gramEnd"/>
      <w:r>
        <w:t xml:space="preserve"> the proposed precursor emissions.  Representative </w:t>
      </w:r>
      <w:proofErr w:type="gramStart"/>
      <w:r>
        <w:t>ambient</w:t>
      </w:r>
      <w:proofErr w:type="gramEnd"/>
      <w:r>
        <w:t xml:space="preserve"> monitoring data could also likely be used to address the secondary formation that occurs from existing sources in the ambient standard demonstration. </w:t>
      </w:r>
    </w:p>
    <w:p w14:paraId="58F96C56" w14:textId="70217C3A" w:rsidR="00DB7226" w:rsidRDefault="00DB7226" w:rsidP="00DB7226">
      <w:r>
        <w:t xml:space="preserve">You will need to check for subsequent guidance and past approaches in your review of an applicant’s assessment of </w:t>
      </w:r>
      <w:r w:rsidR="004113FB">
        <w:t xml:space="preserve">the potential impacts from </w:t>
      </w:r>
      <w:r>
        <w:t xml:space="preserve">secondary </w:t>
      </w:r>
      <w:r w:rsidR="00B17875">
        <w:t xml:space="preserve">PM-2.5 </w:t>
      </w:r>
      <w:r>
        <w:t xml:space="preserve">formation. </w:t>
      </w:r>
      <w:r w:rsidR="00B17875">
        <w:t xml:space="preserve"> This manual can only provide background information that may or may not be applicable for a given situation</w:t>
      </w:r>
      <w:proofErr w:type="gramStart"/>
      <w:r w:rsidR="004113FB">
        <w:t>:  it</w:t>
      </w:r>
      <w:proofErr w:type="gramEnd"/>
      <w:r w:rsidR="00B17875">
        <w:t xml:space="preserve"> cannot develop new or additional guidance (as stated in the Notice section).  It’s also being written at a time whe</w:t>
      </w:r>
      <w:r w:rsidR="004113FB">
        <w:t>n</w:t>
      </w:r>
      <w:r w:rsidR="00B17875">
        <w:t xml:space="preserve"> the 2016 version of the Guideline is still relatively </w:t>
      </w:r>
      <w:proofErr w:type="gramStart"/>
      <w:r w:rsidR="00B17875">
        <w:t>new</w:t>
      </w:r>
      <w:proofErr w:type="gramEnd"/>
      <w:r w:rsidR="00B17875">
        <w:t xml:space="preserve"> and the subsequent EPA guidance is still be developed and refined.  </w:t>
      </w:r>
    </w:p>
    <w:p w14:paraId="5A89F5A6" w14:textId="77777777" w:rsidR="00102176" w:rsidRPr="00230FCD" w:rsidRDefault="00AD5C0A" w:rsidP="00D97715">
      <w:pPr>
        <w:pStyle w:val="Heading3"/>
      </w:pPr>
      <w:r>
        <w:tab/>
      </w:r>
      <w:bookmarkStart w:id="248" w:name="_Toc526778286"/>
      <w:r w:rsidR="00102176" w:rsidRPr="00230FCD">
        <w:t>SO</w:t>
      </w:r>
      <w:r w:rsidR="00102176" w:rsidRPr="007122E2">
        <w:rPr>
          <w:vertAlign w:val="subscript"/>
        </w:rPr>
        <w:t>2</w:t>
      </w:r>
      <w:bookmarkEnd w:id="248"/>
    </w:p>
    <w:p w14:paraId="79A1D644" w14:textId="165E6A3D" w:rsidR="009A01E5" w:rsidRDefault="009A01E5">
      <w:r>
        <w:t>Some pollutants can decay in the atmosphere, such as sulfur dioxide</w:t>
      </w:r>
      <w:r w:rsidR="00DB2F69">
        <w:t xml:space="preserve"> (SO</w:t>
      </w:r>
      <w:r w:rsidR="00DB2F69">
        <w:rPr>
          <w:vertAlign w:val="subscript"/>
        </w:rPr>
        <w:t>2</w:t>
      </w:r>
      <w:r w:rsidR="00DB2F69">
        <w:t>)</w:t>
      </w:r>
      <w:r>
        <w:t>.  The rate of decay may be a function of the concentration of other oxidants in the atmosphere.  In urban environments, SO</w:t>
      </w:r>
      <w:r>
        <w:rPr>
          <w:vertAlign w:val="subscript"/>
        </w:rPr>
        <w:t>2</w:t>
      </w:r>
      <w:r>
        <w:t xml:space="preserve"> can decay at a significantly faster rate than in rural environments. </w:t>
      </w:r>
      <w:r w:rsidR="00227ED6">
        <w:t xml:space="preserve"> AERMOD</w:t>
      </w:r>
      <w:r>
        <w:t xml:space="preserve"> can account for this by specifying the pollutant name </w:t>
      </w:r>
      <w:r w:rsidR="00102176">
        <w:t>- SO</w:t>
      </w:r>
      <w:r w:rsidR="00102176" w:rsidRPr="007E6D44">
        <w:rPr>
          <w:vertAlign w:val="subscript"/>
        </w:rPr>
        <w:t>2</w:t>
      </w:r>
      <w:r w:rsidR="00102176">
        <w:t xml:space="preserve"> - </w:t>
      </w:r>
      <w:r>
        <w:t xml:space="preserve">and invoking the </w:t>
      </w:r>
      <w:r w:rsidR="005547AC">
        <w:t xml:space="preserve">URBANOPT </w:t>
      </w:r>
      <w:r>
        <w:t xml:space="preserve">option, simultaneously. </w:t>
      </w:r>
      <w:r w:rsidR="00A96859">
        <w:t xml:space="preserve"> </w:t>
      </w:r>
      <w:r>
        <w:t xml:space="preserve">Although this feature </w:t>
      </w:r>
      <w:r w:rsidR="009D37F4">
        <w:t xml:space="preserve">was </w:t>
      </w:r>
      <w:r>
        <w:t>available in ISCST3</w:t>
      </w:r>
      <w:r w:rsidR="009D37F4">
        <w:t xml:space="preserve"> (AERMOD’s predecessor)</w:t>
      </w:r>
      <w:r>
        <w:t xml:space="preserve">, it </w:t>
      </w:r>
      <w:r w:rsidR="009D37F4">
        <w:t xml:space="preserve">was </w:t>
      </w:r>
      <w:r w:rsidR="00102176">
        <w:t>never</w:t>
      </w:r>
      <w:r>
        <w:t xml:space="preserve"> used </w:t>
      </w:r>
      <w:r w:rsidR="0071694C">
        <w:t xml:space="preserve">in support of a construction permit application </w:t>
      </w:r>
      <w:r>
        <w:t>in Alaska.</w:t>
      </w:r>
    </w:p>
    <w:p w14:paraId="50A5DD4C" w14:textId="77777777" w:rsidR="00102176" w:rsidRPr="00102176" w:rsidRDefault="00AD5C0A" w:rsidP="00D97715">
      <w:pPr>
        <w:pStyle w:val="Heading3"/>
      </w:pPr>
      <w:r>
        <w:tab/>
      </w:r>
      <w:bookmarkStart w:id="249" w:name="_Toc526778287"/>
      <w:r w:rsidR="00102176" w:rsidRPr="00102176">
        <w:t>Ozone</w:t>
      </w:r>
      <w:bookmarkEnd w:id="249"/>
    </w:p>
    <w:p w14:paraId="0CCA22A0" w14:textId="656BD3B3" w:rsidR="00F6741B" w:rsidRDefault="009A01E5">
      <w:r>
        <w:t>Tropospher</w:t>
      </w:r>
      <w:r w:rsidR="00584460">
        <w:t>ic</w:t>
      </w:r>
      <w:r>
        <w:t xml:space="preserve"> </w:t>
      </w:r>
      <w:r w:rsidR="00AF576A" w:rsidRPr="00DD3A5E">
        <w:t>O</w:t>
      </w:r>
      <w:r w:rsidR="00AF576A" w:rsidRPr="00DD3A5E">
        <w:rPr>
          <w:vertAlign w:val="subscript"/>
        </w:rPr>
        <w:t>3</w:t>
      </w:r>
      <w:r w:rsidR="00AF576A">
        <w:t xml:space="preserve"> </w:t>
      </w:r>
      <w:r>
        <w:t xml:space="preserve">(as opposed to stratospheric </w:t>
      </w:r>
      <w:r w:rsidR="00AC57CB" w:rsidRPr="00DD3A5E">
        <w:t>O</w:t>
      </w:r>
      <w:r w:rsidR="00AC57CB" w:rsidRPr="00DD3A5E">
        <w:rPr>
          <w:vertAlign w:val="subscript"/>
        </w:rPr>
        <w:t>3</w:t>
      </w:r>
      <w:r>
        <w:t>) is a PSD regulated pollutant</w:t>
      </w:r>
      <w:r w:rsidR="00750652">
        <w:t xml:space="preserve">.  </w:t>
      </w:r>
      <w:r w:rsidR="00AC57CB">
        <w:t xml:space="preserve">However, it is not usually emitted directly into the air.  It is instead created in the atmosphere through chemical reactions </w:t>
      </w:r>
      <w:r w:rsidR="006575FF">
        <w:t xml:space="preserve">between NOx and VOC in the presence of sunlight. </w:t>
      </w:r>
      <w:r w:rsidR="00AC57CB">
        <w:t xml:space="preserve"> It is inherently a regional pollutant, the result of chemical reactions between emissions from many NOx and VOC sources over a period of hours or days, and over a large area.  </w:t>
      </w:r>
    </w:p>
    <w:p w14:paraId="1235693B" w14:textId="623134AE" w:rsidR="00310D71" w:rsidRDefault="00224D59">
      <w:r>
        <w:lastRenderedPageBreak/>
        <w:t xml:space="preserve">EPA developed new language in Section 5.3.2 of the 2016 version of the Guideline regarding possible approaches for assessing the potential </w:t>
      </w:r>
      <w:r w:rsidRPr="00DD3A5E">
        <w:t>O</w:t>
      </w:r>
      <w:r w:rsidRPr="00DD3A5E">
        <w:rPr>
          <w:vertAlign w:val="subscript"/>
        </w:rPr>
        <w:t>3</w:t>
      </w:r>
      <w:r>
        <w:t xml:space="preserve"> impacts from a stationary source.  </w:t>
      </w:r>
      <w:r w:rsidR="00F6741B">
        <w:t xml:space="preserve">The </w:t>
      </w:r>
      <w:r>
        <w:t xml:space="preserve">wording and approach </w:t>
      </w:r>
      <w:proofErr w:type="gramStart"/>
      <w:r>
        <w:t>is</w:t>
      </w:r>
      <w:proofErr w:type="gramEnd"/>
      <w:r>
        <w:t xml:space="preserve"> analogous to the wording and approach previously discussed in Section </w:t>
      </w:r>
      <w:r>
        <w:fldChar w:fldCharType="begin"/>
      </w:r>
      <w:r>
        <w:instrText xml:space="preserve"> REF _Ref524528029 \w \h </w:instrText>
      </w:r>
      <w:r>
        <w:fldChar w:fldCharType="separate"/>
      </w:r>
      <w:r w:rsidR="00135FFD">
        <w:t>2.10.3</w:t>
      </w:r>
      <w:r>
        <w:fldChar w:fldCharType="end"/>
      </w:r>
      <w:r>
        <w:t xml:space="preserve"> (PM-2.5)</w:t>
      </w:r>
      <w:r w:rsidR="007E2760">
        <w:t xml:space="preserve"> of this manual</w:t>
      </w:r>
      <w:r>
        <w:t xml:space="preserve">.  EPA once again </w:t>
      </w:r>
      <w:r w:rsidRPr="00310D71">
        <w:rPr>
          <w:i/>
        </w:rPr>
        <w:t>recommends</w:t>
      </w:r>
      <w:r>
        <w:t xml:space="preserve"> a two-tiered approach for assessing the potential impacts. </w:t>
      </w:r>
      <w:r w:rsidR="00310D71">
        <w:t xml:space="preserve"> The pending MERP guidance</w:t>
      </w:r>
      <w:r w:rsidR="007420D7">
        <w:t xml:space="preserve"> discussed in Section </w:t>
      </w:r>
      <w:r w:rsidR="007420D7">
        <w:fldChar w:fldCharType="begin"/>
      </w:r>
      <w:r w:rsidR="007420D7">
        <w:instrText xml:space="preserve"> REF _Ref524528029 \w \h </w:instrText>
      </w:r>
      <w:r w:rsidR="007420D7">
        <w:fldChar w:fldCharType="separate"/>
      </w:r>
      <w:r w:rsidR="00135FFD">
        <w:t>2.10.3</w:t>
      </w:r>
      <w:r w:rsidR="007420D7">
        <w:fldChar w:fldCharType="end"/>
      </w:r>
      <w:r w:rsidR="00310D71">
        <w:t xml:space="preserve"> </w:t>
      </w:r>
      <w:r w:rsidR="007420D7">
        <w:t xml:space="preserve">of this manual </w:t>
      </w:r>
      <w:r w:rsidR="00310D71">
        <w:t xml:space="preserve">would also </w:t>
      </w:r>
      <w:r w:rsidR="007E2760">
        <w:t xml:space="preserve">be applicable for </w:t>
      </w:r>
      <w:r w:rsidR="00310D71">
        <w:t xml:space="preserve">Tier 1 </w:t>
      </w:r>
      <w:r w:rsidR="00310D71" w:rsidRPr="00DD3A5E">
        <w:t>O</w:t>
      </w:r>
      <w:r w:rsidR="00310D71" w:rsidRPr="00DD3A5E">
        <w:rPr>
          <w:vertAlign w:val="subscript"/>
        </w:rPr>
        <w:t>3</w:t>
      </w:r>
      <w:r w:rsidR="00310D71">
        <w:t xml:space="preserve"> assessments.</w:t>
      </w:r>
    </w:p>
    <w:p w14:paraId="0EFDC892" w14:textId="11DFD881" w:rsidR="0034070F" w:rsidRDefault="00887CB1">
      <w:r>
        <w:t>T</w:t>
      </w:r>
      <w:r w:rsidR="000673EF">
        <w:t xml:space="preserve">he opening sentence of Section 5.3.2(a) of the Guideline </w:t>
      </w:r>
      <w:r>
        <w:t>states</w:t>
      </w:r>
      <w:r w:rsidR="000673EF">
        <w:t xml:space="preserve"> the </w:t>
      </w:r>
      <w:r w:rsidR="000673EF" w:rsidRPr="00DD3A5E">
        <w:t>O</w:t>
      </w:r>
      <w:r w:rsidR="000673EF" w:rsidRPr="00DD3A5E">
        <w:rPr>
          <w:vertAlign w:val="subscript"/>
        </w:rPr>
        <w:t>3</w:t>
      </w:r>
      <w:r w:rsidR="000673EF">
        <w:t xml:space="preserve"> assessment is dependent on “the magnitude of emissions.”  </w:t>
      </w:r>
      <w:r>
        <w:t xml:space="preserve">The discussion sets the stage for subsequent guidance or </w:t>
      </w:r>
      <w:proofErr w:type="gramStart"/>
      <w:r>
        <w:t>regionally-specific</w:t>
      </w:r>
      <w:proofErr w:type="gramEnd"/>
      <w:r>
        <w:t xml:space="preserve"> findings whereby emission thresholds could be set.  </w:t>
      </w:r>
      <w:r w:rsidR="0034070F">
        <w:t>Alaska does not currently have set emissions thresholds</w:t>
      </w:r>
      <w:r w:rsidR="00CA278F">
        <w:t xml:space="preserve"> for ambient </w:t>
      </w:r>
      <w:r w:rsidR="00CA278F" w:rsidRPr="00DD3A5E">
        <w:t>O</w:t>
      </w:r>
      <w:r w:rsidR="00CA278F" w:rsidRPr="00DD3A5E">
        <w:rPr>
          <w:vertAlign w:val="subscript"/>
        </w:rPr>
        <w:t>3</w:t>
      </w:r>
      <w:r w:rsidR="00CA278F">
        <w:t xml:space="preserve"> demonstrations</w:t>
      </w:r>
      <w:r w:rsidR="0034070F">
        <w:t xml:space="preserve">.  </w:t>
      </w:r>
      <w:r w:rsidR="000673EF">
        <w:t xml:space="preserve">However, </w:t>
      </w:r>
      <w:r w:rsidR="003D3B49">
        <w:t xml:space="preserve">the PSD rules include a </w:t>
      </w:r>
      <w:r w:rsidR="000673EF">
        <w:t>note to 40</w:t>
      </w:r>
      <w:r w:rsidR="003D3B49" w:rsidRPr="008E3429">
        <w:t> </w:t>
      </w:r>
      <w:r w:rsidR="000673EF">
        <w:t>CFR</w:t>
      </w:r>
      <w:r w:rsidR="003D3B49" w:rsidRPr="008E3429">
        <w:t> </w:t>
      </w:r>
      <w:r w:rsidR="000673EF">
        <w:t>52.21(i)(5)(i)(</w:t>
      </w:r>
      <w:r w:rsidR="000673EF" w:rsidRPr="000673EF">
        <w:rPr>
          <w:i/>
        </w:rPr>
        <w:t>f</w:t>
      </w:r>
      <w:r w:rsidR="000673EF">
        <w:t>) that</w:t>
      </w:r>
      <w:r w:rsidR="0034070F">
        <w:t xml:space="preserve"> essentially sets </w:t>
      </w:r>
      <w:r w:rsidR="00D45C5E">
        <w:t xml:space="preserve">100 </w:t>
      </w:r>
      <w:proofErr w:type="spellStart"/>
      <w:r w:rsidR="00D45C5E">
        <w:t>tpy</w:t>
      </w:r>
      <w:proofErr w:type="spellEnd"/>
      <w:r w:rsidR="00D45C5E">
        <w:t xml:space="preserve"> of NOx/VOC as </w:t>
      </w:r>
      <w:r w:rsidR="0034070F">
        <w:t xml:space="preserve">the lower bound for when an ambient </w:t>
      </w:r>
      <w:r w:rsidR="0034070F" w:rsidRPr="00DD3A5E">
        <w:t>O</w:t>
      </w:r>
      <w:r w:rsidR="0034070F" w:rsidRPr="00DD3A5E">
        <w:rPr>
          <w:vertAlign w:val="subscript"/>
        </w:rPr>
        <w:t>3</w:t>
      </w:r>
      <w:r w:rsidR="0034070F">
        <w:t xml:space="preserve"> demonstration would be required.  The note states</w:t>
      </w:r>
      <w:r w:rsidR="00CA278F">
        <w:t>,</w:t>
      </w:r>
      <w:r w:rsidR="0034070F">
        <w:t xml:space="preserve"> in reference to the significant monitoring concentrations established in 40</w:t>
      </w:r>
      <w:r w:rsidR="0034070F" w:rsidRPr="008E3429">
        <w:t> </w:t>
      </w:r>
      <w:r w:rsidR="0034070F">
        <w:t>CFR</w:t>
      </w:r>
      <w:r w:rsidR="0034070F" w:rsidRPr="008E3429">
        <w:t> </w:t>
      </w:r>
      <w:r w:rsidR="0034070F">
        <w:t xml:space="preserve">52.21(i)(5)(i):  </w:t>
      </w:r>
    </w:p>
    <w:p w14:paraId="72C9032A" w14:textId="4F863B07" w:rsidR="0034070F" w:rsidRDefault="00D45C5E" w:rsidP="0034070F">
      <w:pPr>
        <w:ind w:left="360" w:right="360"/>
      </w:pPr>
      <w:proofErr w:type="gramStart"/>
      <w:r>
        <w:t>No</w:t>
      </w:r>
      <w:proofErr w:type="gramEnd"/>
      <w:r>
        <w:t xml:space="preserve"> </w:t>
      </w:r>
      <w:r w:rsidRPr="00D45C5E">
        <w:rPr>
          <w:i/>
        </w:rPr>
        <w:t>de minimis</w:t>
      </w:r>
      <w:r>
        <w:t xml:space="preserve"> air quality level is provided for ozone.  However, any net emissions increase of 100 tons per year or more of volatile organic compounds or nitrogen oxides subject to PSD would be required to perform an ambient impact analysis, including the gathering of ambient air quality data. </w:t>
      </w:r>
    </w:p>
    <w:p w14:paraId="3ACBF7EF" w14:textId="7484FF0B" w:rsidR="000673EF" w:rsidRDefault="00A4235D">
      <w:r>
        <w:t>ADEC encouraged EPA to develop even higher emission floors</w:t>
      </w:r>
      <w:r w:rsidR="00304B26">
        <w:t xml:space="preserve"> in its comments on EPA’s draft MERP guidance</w:t>
      </w:r>
      <w:r>
        <w:t>,</w:t>
      </w:r>
      <w:r w:rsidRPr="00A4235D">
        <w:rPr>
          <w:vertAlign w:val="superscript"/>
        </w:rPr>
        <w:fldChar w:fldCharType="begin"/>
      </w:r>
      <w:r w:rsidRPr="00A4235D">
        <w:rPr>
          <w:vertAlign w:val="superscript"/>
        </w:rPr>
        <w:instrText xml:space="preserve"> NOTEREF _Ref524530034 \h </w:instrText>
      </w:r>
      <w:r>
        <w:rPr>
          <w:vertAlign w:val="superscript"/>
        </w:rPr>
        <w:instrText xml:space="preserve"> \* MERGEFORMAT </w:instrText>
      </w:r>
      <w:r w:rsidRPr="00A4235D">
        <w:rPr>
          <w:vertAlign w:val="superscript"/>
        </w:rPr>
      </w:r>
      <w:r w:rsidRPr="00A4235D">
        <w:rPr>
          <w:vertAlign w:val="superscript"/>
        </w:rPr>
        <w:fldChar w:fldCharType="separate"/>
      </w:r>
      <w:r w:rsidR="00135FFD">
        <w:rPr>
          <w:vertAlign w:val="superscript"/>
        </w:rPr>
        <w:t>86</w:t>
      </w:r>
      <w:r w:rsidRPr="00A4235D">
        <w:rPr>
          <w:vertAlign w:val="superscript"/>
        </w:rPr>
        <w:fldChar w:fldCharType="end"/>
      </w:r>
      <w:r>
        <w:t xml:space="preserve"> but </w:t>
      </w:r>
      <w:r w:rsidR="00304B26">
        <w:t xml:space="preserve">EPA has not done so </w:t>
      </w:r>
      <w:r>
        <w:t xml:space="preserve">as of </w:t>
      </w:r>
      <w:r w:rsidR="00225FB2">
        <w:t>October</w:t>
      </w:r>
      <w:r>
        <w:t xml:space="preserve"> </w:t>
      </w:r>
      <w:r w:rsidR="00FD70AB">
        <w:t>8</w:t>
      </w:r>
      <w:r>
        <w:t xml:space="preserve">, 2018. </w:t>
      </w:r>
    </w:p>
    <w:p w14:paraId="75CA3326" w14:textId="160D9878" w:rsidR="00237207" w:rsidRDefault="00237207" w:rsidP="00237207">
      <w:r>
        <w:t>R10 clarified that EPA does not routinely expect a photochemical modeling analysis from NSR applicants.</w:t>
      </w:r>
      <w:r w:rsidRPr="00237207">
        <w:rPr>
          <w:vertAlign w:val="superscript"/>
        </w:rPr>
        <w:fldChar w:fldCharType="begin"/>
      </w:r>
      <w:r w:rsidRPr="00237207">
        <w:rPr>
          <w:vertAlign w:val="superscript"/>
        </w:rPr>
        <w:instrText xml:space="preserve"> NOTEREF _Ref524604596 \h </w:instrText>
      </w:r>
      <w:r>
        <w:rPr>
          <w:vertAlign w:val="superscript"/>
        </w:rPr>
        <w:instrText xml:space="preserve"> \* MERGEFORMAT </w:instrText>
      </w:r>
      <w:r w:rsidRPr="00237207">
        <w:rPr>
          <w:vertAlign w:val="superscript"/>
        </w:rPr>
      </w:r>
      <w:r w:rsidRPr="00237207">
        <w:rPr>
          <w:vertAlign w:val="superscript"/>
        </w:rPr>
        <w:fldChar w:fldCharType="separate"/>
      </w:r>
      <w:r w:rsidR="00135FFD">
        <w:rPr>
          <w:vertAlign w:val="superscript"/>
        </w:rPr>
        <w:t>88</w:t>
      </w:r>
      <w:r w:rsidRPr="00237207">
        <w:rPr>
          <w:vertAlign w:val="superscript"/>
        </w:rPr>
        <w:fldChar w:fldCharType="end"/>
      </w:r>
      <w:r>
        <w:t xml:space="preserve">  However, applicants that trigger PSD for </w:t>
      </w:r>
      <w:r w:rsidRPr="00DD3A5E">
        <w:t>O</w:t>
      </w:r>
      <w:r w:rsidRPr="00DD3A5E">
        <w:rPr>
          <w:vertAlign w:val="subscript"/>
        </w:rPr>
        <w:t>3</w:t>
      </w:r>
      <w:r>
        <w:t xml:space="preserve"> will still need to provide an ambient demonstration if the NOx and VOC emissions exceed 100 </w:t>
      </w:r>
      <w:proofErr w:type="spellStart"/>
      <w:r>
        <w:t>tpy</w:t>
      </w:r>
      <w:proofErr w:type="spellEnd"/>
      <w:r>
        <w:t xml:space="preserve">. </w:t>
      </w:r>
      <w:r w:rsidR="00DE0E7D">
        <w:t xml:space="preserve"> </w:t>
      </w:r>
      <w:r>
        <w:t xml:space="preserve">Key considerations in reviewing non-Tier 2 assessments are: </w:t>
      </w:r>
    </w:p>
    <w:p w14:paraId="691921C7" w14:textId="45780AAF" w:rsidR="00237207" w:rsidRDefault="00237207" w:rsidP="00237207">
      <w:pPr>
        <w:ind w:left="360"/>
      </w:pPr>
      <w:r>
        <w:t>1) the potential for adverse impact from secondary formation is dependent “on the magnitude of emissions,” as indicated in Section 5.</w:t>
      </w:r>
      <w:r w:rsidR="00DE0E7D">
        <w:t>3</w:t>
      </w:r>
      <w:r>
        <w:t xml:space="preserve">.2(a) of the Guideline; and </w:t>
      </w:r>
    </w:p>
    <w:p w14:paraId="0431BB91" w14:textId="6712C60C" w:rsidR="00237207" w:rsidRDefault="00237207" w:rsidP="00237207">
      <w:pPr>
        <w:ind w:left="360"/>
      </w:pPr>
      <w:r>
        <w:t>2) the applicant should base their assessment on what “existing technical information is available,” as suggested by Section 5.</w:t>
      </w:r>
      <w:r w:rsidR="00DE0E7D">
        <w:t>3</w:t>
      </w:r>
      <w:r>
        <w:t xml:space="preserve">.2(b) of the Guideline. </w:t>
      </w:r>
    </w:p>
    <w:p w14:paraId="3D73990F" w14:textId="0838C6E4" w:rsidR="00237207" w:rsidRDefault="00237207" w:rsidP="00237207">
      <w:r>
        <w:t xml:space="preserve">The existing margin of compliance with the </w:t>
      </w:r>
      <w:r w:rsidR="00DE0E7D" w:rsidRPr="00DD3A5E">
        <w:t>O</w:t>
      </w:r>
      <w:r w:rsidR="00DE0E7D" w:rsidRPr="00DD3A5E">
        <w:rPr>
          <w:vertAlign w:val="subscript"/>
        </w:rPr>
        <w:t>3</w:t>
      </w:r>
      <w:r w:rsidR="00DE0E7D">
        <w:t xml:space="preserve"> </w:t>
      </w:r>
      <w:r>
        <w:t xml:space="preserve">AAAQS could </w:t>
      </w:r>
      <w:proofErr w:type="gramStart"/>
      <w:r>
        <w:t>be a consideration</w:t>
      </w:r>
      <w:proofErr w:type="gramEnd"/>
      <w:r>
        <w:t xml:space="preserve"> </w:t>
      </w:r>
      <w:r w:rsidRPr="00DB7226">
        <w:rPr>
          <w:i/>
        </w:rPr>
        <w:t>in some cases</w:t>
      </w:r>
      <w:r>
        <w:t xml:space="preserve">.  This could be especially true if the existing precursor emissions within the airshed greatly </w:t>
      </w:r>
      <w:proofErr w:type="gramStart"/>
      <w:r>
        <w:t>exceed</w:t>
      </w:r>
      <w:proofErr w:type="gramEnd"/>
      <w:r>
        <w:t xml:space="preserve"> the proposed precursor emissions.  </w:t>
      </w:r>
      <w:r w:rsidR="00DE0E7D">
        <w:t xml:space="preserve">It may also be important to note that since </w:t>
      </w:r>
      <w:r w:rsidR="00DE0E7D" w:rsidRPr="00DD3A5E">
        <w:t>O</w:t>
      </w:r>
      <w:r w:rsidR="00DE0E7D" w:rsidRPr="00DD3A5E">
        <w:rPr>
          <w:vertAlign w:val="subscript"/>
        </w:rPr>
        <w:t>3</w:t>
      </w:r>
      <w:r w:rsidR="00DE0E7D">
        <w:t xml:space="preserve"> is a regional pollutant, the ambient </w:t>
      </w:r>
      <w:r w:rsidR="00DE0E7D" w:rsidRPr="00DD3A5E">
        <w:t>O</w:t>
      </w:r>
      <w:r w:rsidR="00DE0E7D" w:rsidRPr="00DD3A5E">
        <w:rPr>
          <w:vertAlign w:val="subscript"/>
        </w:rPr>
        <w:t>3</w:t>
      </w:r>
      <w:r w:rsidR="00DE0E7D">
        <w:t xml:space="preserve"> concentrations are </w:t>
      </w:r>
      <w:proofErr w:type="gramStart"/>
      <w:r w:rsidR="00DE0E7D">
        <w:t>fairly consistent</w:t>
      </w:r>
      <w:proofErr w:type="gramEnd"/>
      <w:r w:rsidR="00DE0E7D">
        <w:t xml:space="preserve"> throughout the airshed – i.e., they do not rapidly increase near the NOx or VOC source of emissions.  </w:t>
      </w:r>
    </w:p>
    <w:p w14:paraId="280393F2" w14:textId="0C0E9929" w:rsidR="00237207" w:rsidRDefault="00237207" w:rsidP="00237207">
      <w:r>
        <w:t xml:space="preserve">You will need to check for subsequent guidance and past approaches in your review of an applicant’s assessment of the potential </w:t>
      </w:r>
      <w:r w:rsidR="00DE0E7D" w:rsidRPr="00DD3A5E">
        <w:t>O</w:t>
      </w:r>
      <w:r w:rsidR="00DE0E7D" w:rsidRPr="00DD3A5E">
        <w:rPr>
          <w:vertAlign w:val="subscript"/>
        </w:rPr>
        <w:t>3</w:t>
      </w:r>
      <w:r w:rsidR="00DE0E7D">
        <w:t xml:space="preserve"> </w:t>
      </w:r>
      <w:r>
        <w:t>impacts.  This manual can only provide background information that may or may not be applicable for a given situation</w:t>
      </w:r>
      <w:proofErr w:type="gramStart"/>
      <w:r>
        <w:t>:  it</w:t>
      </w:r>
      <w:proofErr w:type="gramEnd"/>
      <w:r>
        <w:t xml:space="preserve"> cannot develop new or additional guidance (as stated in the Notice section).  It’s also </w:t>
      </w:r>
      <w:r>
        <w:lastRenderedPageBreak/>
        <w:t xml:space="preserve">being written at a time when the 2016 version of the Guideline is still relatively </w:t>
      </w:r>
      <w:proofErr w:type="gramStart"/>
      <w:r>
        <w:t>new</w:t>
      </w:r>
      <w:proofErr w:type="gramEnd"/>
      <w:r>
        <w:t xml:space="preserve"> and the subsequent EPA guidance is still be developed and refined.  </w:t>
      </w:r>
    </w:p>
    <w:p w14:paraId="3645FE64" w14:textId="4FE7C863" w:rsidR="009A01E5" w:rsidRPr="00CE405F" w:rsidRDefault="00AD5C0A" w:rsidP="000C2E60">
      <w:pPr>
        <w:pStyle w:val="Heading3"/>
        <w:rPr>
          <w:snapToGrid w:val="0"/>
        </w:rPr>
      </w:pPr>
      <w:r>
        <w:tab/>
      </w:r>
      <w:bookmarkStart w:id="250" w:name="_Toc43521204"/>
      <w:bookmarkStart w:id="251" w:name="_Ref482013731"/>
      <w:bookmarkStart w:id="252" w:name="_Toc526778288"/>
      <w:r w:rsidR="009A01E5" w:rsidRPr="00CE405F">
        <w:rPr>
          <w:snapToGrid w:val="0"/>
        </w:rPr>
        <w:t>Deposition</w:t>
      </w:r>
      <w:bookmarkEnd w:id="250"/>
      <w:bookmarkEnd w:id="251"/>
      <w:bookmarkEnd w:id="252"/>
    </w:p>
    <w:p w14:paraId="363D16C6" w14:textId="3E37BC09" w:rsidR="009A01E5" w:rsidRDefault="009A01E5">
      <w:pPr>
        <w:rPr>
          <w:snapToGrid w:val="0"/>
        </w:rPr>
      </w:pPr>
      <w:r>
        <w:rPr>
          <w:snapToGrid w:val="0"/>
        </w:rPr>
        <w:t xml:space="preserve">Deposition of gases and particulates can occur due to gravitational settling, plume-ground interactions, and scavenging by rain or snow.  This level of detail is not needed in most applications.  However, it may be </w:t>
      </w:r>
      <w:r w:rsidR="00116302">
        <w:rPr>
          <w:snapToGrid w:val="0"/>
        </w:rPr>
        <w:t xml:space="preserve">worth the effort </w:t>
      </w:r>
      <w:r>
        <w:rPr>
          <w:snapToGrid w:val="0"/>
        </w:rPr>
        <w:t>when modeling stationary sources with large amounts of fugitive dust (e.g., mines)</w:t>
      </w:r>
      <w:r w:rsidR="00116302">
        <w:rPr>
          <w:snapToGrid w:val="0"/>
        </w:rPr>
        <w:t xml:space="preserve">.  </w:t>
      </w:r>
      <w:r w:rsidR="006E5086">
        <w:rPr>
          <w:snapToGrid w:val="0"/>
        </w:rPr>
        <w:t xml:space="preserve">It </w:t>
      </w:r>
      <w:r>
        <w:rPr>
          <w:snapToGrid w:val="0"/>
        </w:rPr>
        <w:t xml:space="preserve">is </w:t>
      </w:r>
      <w:r w:rsidR="006E5086">
        <w:rPr>
          <w:snapToGrid w:val="0"/>
        </w:rPr>
        <w:t xml:space="preserve">also </w:t>
      </w:r>
      <w:r>
        <w:rPr>
          <w:snapToGrid w:val="0"/>
        </w:rPr>
        <w:t xml:space="preserve">required in AQRV assessments of acid-deposition.  </w:t>
      </w:r>
    </w:p>
    <w:p w14:paraId="76C66DA4" w14:textId="719D0CBE" w:rsidR="00DF784A" w:rsidRDefault="009A01E5">
      <w:pPr>
        <w:rPr>
          <w:snapToGrid w:val="0"/>
        </w:rPr>
      </w:pPr>
      <w:r>
        <w:rPr>
          <w:snapToGrid w:val="0"/>
        </w:rPr>
        <w:t xml:space="preserve">Deposition can be calculated </w:t>
      </w:r>
      <w:proofErr w:type="gramStart"/>
      <w:r>
        <w:rPr>
          <w:snapToGrid w:val="0"/>
        </w:rPr>
        <w:t>directly, or</w:t>
      </w:r>
      <w:proofErr w:type="gramEnd"/>
      <w:r>
        <w:rPr>
          <w:snapToGrid w:val="0"/>
        </w:rPr>
        <w:t xml:space="preserve"> included as a physical process which depletes mass from a plume, thereby lowering ambient concentrations (i.e., plume depletion).  </w:t>
      </w:r>
      <w:r w:rsidR="00DF784A">
        <w:rPr>
          <w:snapToGrid w:val="0"/>
        </w:rPr>
        <w:t xml:space="preserve">Within Alaska, the most frequent use of deposition is in an AERMOD PM-10/PM-2.5 analysis.  The rest of this discussion will therefore focus on that context. </w:t>
      </w:r>
    </w:p>
    <w:p w14:paraId="609F789A" w14:textId="585DF6AC" w:rsidR="009A01E5" w:rsidRDefault="00EA06EF">
      <w:pPr>
        <w:rPr>
          <w:snapToGrid w:val="0"/>
        </w:rPr>
      </w:pPr>
      <w:r>
        <w:rPr>
          <w:snapToGrid w:val="0"/>
        </w:rPr>
        <w:t>Section 4.2.</w:t>
      </w:r>
      <w:proofErr w:type="gramStart"/>
      <w:r>
        <w:rPr>
          <w:snapToGrid w:val="0"/>
        </w:rPr>
        <w:t>2.1</w:t>
      </w:r>
      <w:proofErr w:type="gramEnd"/>
      <w:r w:rsidR="008F461C">
        <w:rPr>
          <w:snapToGrid w:val="0"/>
        </w:rPr>
        <w:t>(</w:t>
      </w:r>
      <w:r>
        <w:rPr>
          <w:snapToGrid w:val="0"/>
        </w:rPr>
        <w:t>e</w:t>
      </w:r>
      <w:r w:rsidR="008F461C">
        <w:rPr>
          <w:snapToGrid w:val="0"/>
        </w:rPr>
        <w:t>)</w:t>
      </w:r>
      <w:r>
        <w:rPr>
          <w:snapToGrid w:val="0"/>
        </w:rPr>
        <w:t xml:space="preserve"> </w:t>
      </w:r>
      <w:r w:rsidR="009A01E5">
        <w:rPr>
          <w:snapToGrid w:val="0"/>
        </w:rPr>
        <w:t xml:space="preserve">the </w:t>
      </w:r>
      <w:r w:rsidR="00C41206" w:rsidRPr="00C42099">
        <w:rPr>
          <w:snapToGrid w:val="0"/>
        </w:rPr>
        <w:t>Guideline</w:t>
      </w:r>
      <w:r w:rsidR="00DF784A">
        <w:rPr>
          <w:snapToGrid w:val="0"/>
        </w:rPr>
        <w:t xml:space="preserve"> notes that</w:t>
      </w:r>
      <w:r w:rsidR="009A01E5">
        <w:rPr>
          <w:snapToGrid w:val="0"/>
        </w:rPr>
        <w:t xml:space="preserve"> the state-of-the-science for modeling deposition is evolving.  </w:t>
      </w:r>
      <w:r w:rsidR="00256374">
        <w:rPr>
          <w:snapToGrid w:val="0"/>
        </w:rPr>
        <w:t xml:space="preserve">You </w:t>
      </w:r>
      <w:r w:rsidR="00BB33F0">
        <w:rPr>
          <w:snapToGrid w:val="0"/>
        </w:rPr>
        <w:t>should</w:t>
      </w:r>
      <w:r w:rsidR="00256374">
        <w:rPr>
          <w:snapToGrid w:val="0"/>
        </w:rPr>
        <w:t xml:space="preserve"> therefore check </w:t>
      </w:r>
      <w:hyperlink r:id="rId158" w:history="1">
        <w:r w:rsidR="00256374" w:rsidRPr="00256374">
          <w:rPr>
            <w:rStyle w:val="Hyperlink"/>
            <w:snapToGrid w:val="0"/>
          </w:rPr>
          <w:t>SCRAM</w:t>
        </w:r>
      </w:hyperlink>
      <w:r w:rsidR="00256374">
        <w:rPr>
          <w:snapToGrid w:val="0"/>
        </w:rPr>
        <w:t xml:space="preserve"> to see if EPA has provided </w:t>
      </w:r>
      <w:r w:rsidR="00C37053">
        <w:rPr>
          <w:snapToGrid w:val="0"/>
        </w:rPr>
        <w:t xml:space="preserve">any </w:t>
      </w:r>
      <w:r w:rsidR="00256374">
        <w:rPr>
          <w:snapToGrid w:val="0"/>
        </w:rPr>
        <w:t>updated guidance</w:t>
      </w:r>
      <w:r w:rsidR="00C37053">
        <w:rPr>
          <w:snapToGrid w:val="0"/>
        </w:rPr>
        <w:t xml:space="preserve"> prior to reviewing an applicant’s deposition parameters</w:t>
      </w:r>
      <w:r w:rsidR="009A01E5">
        <w:rPr>
          <w:snapToGrid w:val="0"/>
        </w:rPr>
        <w:t xml:space="preserve">.  </w:t>
      </w:r>
    </w:p>
    <w:p w14:paraId="4431083C" w14:textId="057E9162" w:rsidR="00D87E38" w:rsidRDefault="002F6084" w:rsidP="00523A75">
      <w:pPr>
        <w:rPr>
          <w:snapToGrid w:val="0"/>
        </w:rPr>
      </w:pPr>
      <w:r>
        <w:rPr>
          <w:snapToGrid w:val="0"/>
        </w:rPr>
        <w:t xml:space="preserve">Section 3.3.4 of the </w:t>
      </w:r>
      <w:r w:rsidR="00DC08A7">
        <w:rPr>
          <w:snapToGrid w:val="0"/>
        </w:rPr>
        <w:t>April 2018</w:t>
      </w:r>
      <w:r>
        <w:rPr>
          <w:snapToGrid w:val="0"/>
        </w:rPr>
        <w:t xml:space="preserve"> </w:t>
      </w:r>
      <w:hyperlink r:id="rId159" w:history="1">
        <w:r w:rsidRPr="00541912">
          <w:rPr>
            <w:rStyle w:val="Hyperlink"/>
            <w:i/>
            <w:snapToGrid w:val="0"/>
          </w:rPr>
          <w:t>AERMOD User’s Guide</w:t>
        </w:r>
      </w:hyperlink>
      <w:r>
        <w:rPr>
          <w:snapToGrid w:val="0"/>
        </w:rPr>
        <w:t xml:space="preserve"> describes t</w:t>
      </w:r>
      <w:r w:rsidR="00D87E38">
        <w:rPr>
          <w:snapToGrid w:val="0"/>
        </w:rPr>
        <w:t xml:space="preserve">wo methods for </w:t>
      </w:r>
      <w:r>
        <w:rPr>
          <w:snapToGrid w:val="0"/>
        </w:rPr>
        <w:t xml:space="preserve">handling </w:t>
      </w:r>
      <w:r w:rsidR="00602F60">
        <w:rPr>
          <w:snapToGrid w:val="0"/>
        </w:rPr>
        <w:t>dry and</w:t>
      </w:r>
      <w:r>
        <w:rPr>
          <w:snapToGrid w:val="0"/>
        </w:rPr>
        <w:t>/or</w:t>
      </w:r>
      <w:r w:rsidR="00602F60">
        <w:rPr>
          <w:snapToGrid w:val="0"/>
        </w:rPr>
        <w:t xml:space="preserve"> wet </w:t>
      </w:r>
      <w:r w:rsidR="00D87E38">
        <w:rPr>
          <w:snapToGrid w:val="0"/>
        </w:rPr>
        <w:t>deposition</w:t>
      </w:r>
      <w:r w:rsidR="00B85BE8">
        <w:rPr>
          <w:snapToGrid w:val="0"/>
        </w:rPr>
        <w:t xml:space="preserve"> of particulate emissions</w:t>
      </w:r>
      <w:r w:rsidR="00D87E38">
        <w:rPr>
          <w:snapToGrid w:val="0"/>
        </w:rPr>
        <w:t>.  “Method 1” can be applied under the regulatory option and requires the user to define a particle size distribution</w:t>
      </w:r>
      <w:r w:rsidR="00602F60">
        <w:rPr>
          <w:snapToGrid w:val="0"/>
        </w:rPr>
        <w:t xml:space="preserve"> and </w:t>
      </w:r>
      <w:r w:rsidR="00D87E38">
        <w:rPr>
          <w:snapToGrid w:val="0"/>
        </w:rPr>
        <w:t>a mass fraction and particle density</w:t>
      </w:r>
      <w:r w:rsidR="00602F60">
        <w:rPr>
          <w:snapToGrid w:val="0"/>
        </w:rPr>
        <w:t xml:space="preserve"> for each particle size category</w:t>
      </w:r>
      <w:r w:rsidR="00D87E38">
        <w:rPr>
          <w:snapToGrid w:val="0"/>
        </w:rPr>
        <w:t>.</w:t>
      </w:r>
      <w:r w:rsidR="00B85BE8">
        <w:rPr>
          <w:snapToGrid w:val="0"/>
        </w:rPr>
        <w:t xml:space="preserve">  The particle size distribution must be</w:t>
      </w:r>
      <w:r w:rsidR="00BC5326">
        <w:rPr>
          <w:snapToGrid w:val="0"/>
        </w:rPr>
        <w:t xml:space="preserve"> known</w:t>
      </w:r>
      <w:r w:rsidR="00B85BE8">
        <w:rPr>
          <w:snapToGrid w:val="0"/>
        </w:rPr>
        <w:t xml:space="preserve"> reasonably</w:t>
      </w:r>
      <w:r w:rsidR="00BC5326">
        <w:rPr>
          <w:snapToGrid w:val="0"/>
        </w:rPr>
        <w:t xml:space="preserve"> well to use Method 1.</w:t>
      </w:r>
      <w:r w:rsidR="00D87E38">
        <w:rPr>
          <w:snapToGrid w:val="0"/>
        </w:rPr>
        <w:t xml:space="preserve">  </w:t>
      </w:r>
      <w:r w:rsidR="00602F60">
        <w:rPr>
          <w:snapToGrid w:val="0"/>
        </w:rPr>
        <w:t xml:space="preserve">For surface coal mining operations and similar emission processes, this information </w:t>
      </w:r>
      <w:r w:rsidR="00EB6041">
        <w:rPr>
          <w:snapToGrid w:val="0"/>
        </w:rPr>
        <w:t xml:space="preserve">could potentially </w:t>
      </w:r>
      <w:r w:rsidR="00602F60">
        <w:rPr>
          <w:snapToGrid w:val="0"/>
        </w:rPr>
        <w:t xml:space="preserve">be obtained from </w:t>
      </w:r>
      <w:r w:rsidR="000F4E77">
        <w:rPr>
          <w:snapToGrid w:val="0"/>
        </w:rPr>
        <w:t xml:space="preserve">EPA’s </w:t>
      </w:r>
      <w:r w:rsidR="00602F60" w:rsidRPr="008D0CDE">
        <w:rPr>
          <w:i/>
          <w:snapToGrid w:val="0"/>
        </w:rPr>
        <w:t>Modeling Fugitive Dust Impacts from Surface Coal Mining Operations – Phase II Model Evaluation Protocol</w:t>
      </w:r>
      <w:r w:rsidR="00523A75">
        <w:rPr>
          <w:snapToGrid w:val="0"/>
        </w:rPr>
        <w:t>.</w:t>
      </w:r>
      <w:r w:rsidR="00602F60">
        <w:rPr>
          <w:rStyle w:val="FootnoteReference"/>
          <w:snapToGrid w:val="0"/>
        </w:rPr>
        <w:footnoteReference w:id="89"/>
      </w:r>
      <w:r w:rsidR="00602F60">
        <w:rPr>
          <w:snapToGrid w:val="0"/>
        </w:rPr>
        <w:t xml:space="preserve">  </w:t>
      </w:r>
    </w:p>
    <w:p w14:paraId="2815CBA0" w14:textId="77777777" w:rsidR="00BC5326" w:rsidRDefault="00BC5326" w:rsidP="00BC5326">
      <w:pPr>
        <w:rPr>
          <w:snapToGrid w:val="0"/>
        </w:rPr>
      </w:pPr>
      <w:r>
        <w:rPr>
          <w:snapToGrid w:val="0"/>
        </w:rPr>
        <w:t xml:space="preserve">Method 2 is considered non-DFAULT in AERMOD.  This method may be used if the particle distribution is not well known or less </w:t>
      </w:r>
      <w:proofErr w:type="gramStart"/>
      <w:r>
        <w:rPr>
          <w:snapToGrid w:val="0"/>
        </w:rPr>
        <w:t>than about</w:t>
      </w:r>
      <w:proofErr w:type="gramEnd"/>
      <w:r>
        <w:rPr>
          <w:snapToGrid w:val="0"/>
        </w:rPr>
        <w:t xml:space="preserve"> 10 percent of the mass is in particles with an aerodynamic diameter of 10 microns or larger.  To use this method, t</w:t>
      </w:r>
      <w:r w:rsidRPr="00BC5326">
        <w:rPr>
          <w:snapToGrid w:val="0"/>
        </w:rPr>
        <w:t>he user define</w:t>
      </w:r>
      <w:r>
        <w:rPr>
          <w:snapToGrid w:val="0"/>
        </w:rPr>
        <w:t>s</w:t>
      </w:r>
      <w:r w:rsidRPr="00BC5326">
        <w:rPr>
          <w:snapToGrid w:val="0"/>
        </w:rPr>
        <w:t xml:space="preserve"> the fraction of the particle mass in the fine</w:t>
      </w:r>
      <w:r>
        <w:rPr>
          <w:snapToGrid w:val="0"/>
        </w:rPr>
        <w:t xml:space="preserve"> </w:t>
      </w:r>
      <w:r w:rsidRPr="00BC5326">
        <w:rPr>
          <w:snapToGrid w:val="0"/>
        </w:rPr>
        <w:t>particle category (less than 2.5 microns) and a representative mass mean diameter for the</w:t>
      </w:r>
      <w:r>
        <w:rPr>
          <w:snapToGrid w:val="0"/>
        </w:rPr>
        <w:t xml:space="preserve"> </w:t>
      </w:r>
      <w:r w:rsidRPr="00BC5326">
        <w:rPr>
          <w:snapToGrid w:val="0"/>
        </w:rPr>
        <w:t>particles</w:t>
      </w:r>
      <w:r>
        <w:rPr>
          <w:snapToGrid w:val="0"/>
        </w:rPr>
        <w:t>.  This information can be found</w:t>
      </w:r>
      <w:r w:rsidRPr="00BC5326">
        <w:rPr>
          <w:snapToGrid w:val="0"/>
        </w:rPr>
        <w:t xml:space="preserve"> for selected pollutants in Appendix B of the Argonne</w:t>
      </w:r>
      <w:r>
        <w:rPr>
          <w:snapToGrid w:val="0"/>
        </w:rPr>
        <w:t xml:space="preserve"> </w:t>
      </w:r>
      <w:r w:rsidRPr="00BC5326">
        <w:rPr>
          <w:snapToGrid w:val="0"/>
        </w:rPr>
        <w:t>National Laboratory (ANL) report</w:t>
      </w:r>
      <w:r w:rsidR="00523A75">
        <w:rPr>
          <w:snapToGrid w:val="0"/>
        </w:rPr>
        <w:t>.</w:t>
      </w:r>
      <w:r w:rsidR="00523A75">
        <w:rPr>
          <w:rStyle w:val="FootnoteReference"/>
          <w:snapToGrid w:val="0"/>
        </w:rPr>
        <w:footnoteReference w:id="90"/>
      </w:r>
      <w:r w:rsidR="00523A75">
        <w:rPr>
          <w:snapToGrid w:val="0"/>
        </w:rPr>
        <w:t xml:space="preserve"> </w:t>
      </w:r>
    </w:p>
    <w:p w14:paraId="749DFCE9" w14:textId="651A33C9" w:rsidR="002264DF" w:rsidRDefault="00EB6041" w:rsidP="00053E29">
      <w:pPr>
        <w:rPr>
          <w:snapToGrid w:val="0"/>
        </w:rPr>
      </w:pPr>
      <w:r w:rsidDel="00EB6041">
        <w:rPr>
          <w:snapToGrid w:val="0"/>
        </w:rPr>
        <w:t xml:space="preserve"> </w:t>
      </w:r>
      <w:r w:rsidR="00E669B3">
        <w:rPr>
          <w:snapToGrid w:val="0"/>
        </w:rPr>
        <w:t xml:space="preserve">Most Alaskan applicants use the Method 1 approach. </w:t>
      </w:r>
      <w:r w:rsidR="00951C15">
        <w:rPr>
          <w:snapToGrid w:val="0"/>
        </w:rPr>
        <w:t xml:space="preserve"> </w:t>
      </w:r>
      <w:r w:rsidR="002264DF">
        <w:rPr>
          <w:snapToGrid w:val="0"/>
        </w:rPr>
        <w:t>Either way, you will need to carefully check their deposition parameters since t</w:t>
      </w:r>
      <w:r w:rsidR="002264DF">
        <w:t>he PM-10/2.5 concentration can be substantially underestimated i</w:t>
      </w:r>
      <w:r w:rsidR="002264DF" w:rsidDel="0000382D">
        <w:t xml:space="preserve">f </w:t>
      </w:r>
      <w:r w:rsidR="002264DF">
        <w:t xml:space="preserve">inappropriate values are used (e.g., </w:t>
      </w:r>
      <w:r w:rsidR="002264DF" w:rsidDel="0000382D">
        <w:t xml:space="preserve">the mass </w:t>
      </w:r>
      <w:r w:rsidR="002264DF">
        <w:t xml:space="preserve">fraction </w:t>
      </w:r>
      <w:r w:rsidR="002264DF" w:rsidDel="0000382D">
        <w:t xml:space="preserve">is </w:t>
      </w:r>
      <w:r w:rsidR="002264DF" w:rsidDel="0000382D">
        <w:lastRenderedPageBreak/>
        <w:t xml:space="preserve">weighted more heavily toward the larger particle sizes than </w:t>
      </w:r>
      <w:r w:rsidR="002264DF">
        <w:t>what the underlying data supports).</w:t>
      </w:r>
      <w:r w:rsidR="002264DF">
        <w:rPr>
          <w:snapToGrid w:val="0"/>
        </w:rPr>
        <w:t xml:space="preserve">  If the applicant used Method 1: </w:t>
      </w:r>
    </w:p>
    <w:p w14:paraId="4AE22C64" w14:textId="1D9B3792" w:rsidR="00ED6E9F" w:rsidRDefault="002264DF" w:rsidP="002264DF">
      <w:pPr>
        <w:pStyle w:val="CheckReminder"/>
      </w:pPr>
      <w:r>
        <w:t>C</w:t>
      </w:r>
      <w:r w:rsidR="00ED6E9F" w:rsidDel="0000382D">
        <w:t xml:space="preserve">heck the particle size distribution against the </w:t>
      </w:r>
      <w:r w:rsidR="00766D49">
        <w:t xml:space="preserve">supporting data provided by the applicant, the </w:t>
      </w:r>
      <w:r w:rsidR="00ED6E9F" w:rsidDel="0000382D">
        <w:t xml:space="preserve">above referenced study (surface coal mining operations), </w:t>
      </w:r>
      <w:r w:rsidR="00766D49">
        <w:t xml:space="preserve">the </w:t>
      </w:r>
      <w:r w:rsidR="00ED6E9F" w:rsidDel="0000382D">
        <w:t>AP-42 size distribution data, or stack test size distribution data</w:t>
      </w:r>
      <w:r w:rsidR="00766D49">
        <w:t xml:space="preserve"> (as applicable),</w:t>
      </w:r>
      <w:r w:rsidR="00ED6E9F" w:rsidDel="0000382D">
        <w:t xml:space="preserve"> to ensure the</w:t>
      </w:r>
      <w:r w:rsidR="00766D49">
        <w:t xml:space="preserve"> distribution is</w:t>
      </w:r>
      <w:r w:rsidR="00ED6E9F" w:rsidDel="0000382D">
        <w:t xml:space="preserve"> reasonable.  </w:t>
      </w:r>
      <w:r w:rsidR="00AA69A5">
        <w:t xml:space="preserve">The applicant should not include data </w:t>
      </w:r>
      <w:r>
        <w:t xml:space="preserve">regarding </w:t>
      </w:r>
      <w:r w:rsidR="00AA69A5">
        <w:t xml:space="preserve">particulates that are larger than </w:t>
      </w:r>
      <w:r>
        <w:t xml:space="preserve">the particulate that they’re modeling (e.g., they should not include data that represents particulates that are larger than 10 microns in diameter in a PM-10 analysis).  </w:t>
      </w:r>
      <w:r w:rsidR="00C81D7F">
        <w:t xml:space="preserve">The sum of the mass fractions for each EU should also equal 1.0.  </w:t>
      </w:r>
    </w:p>
    <w:p w14:paraId="18E2A1FE" w14:textId="73F7968F" w:rsidR="00ED6E9F" w:rsidRDefault="00ED6E9F" w:rsidP="00ED6E9F">
      <w:pPr>
        <w:pStyle w:val="CheckReminder"/>
      </w:pPr>
      <w:r>
        <w:t xml:space="preserve">Check the </w:t>
      </w:r>
      <w:r w:rsidR="00E669B3">
        <w:t xml:space="preserve">particle </w:t>
      </w:r>
      <w:r w:rsidR="00935887">
        <w:t xml:space="preserve">diameter and </w:t>
      </w:r>
      <w:r w:rsidR="00E669B3">
        <w:t>density</w:t>
      </w:r>
      <w:r>
        <w:t xml:space="preserve"> </w:t>
      </w:r>
      <w:r w:rsidR="00935887">
        <w:t xml:space="preserve">values </w:t>
      </w:r>
      <w:r>
        <w:t xml:space="preserve">as well.  Comparing the applicant’s </w:t>
      </w:r>
      <w:r w:rsidR="003A3645">
        <w:t>values</w:t>
      </w:r>
      <w:r>
        <w:t xml:space="preserve"> to the values that we previously accepted for a similar source can be a good starting place. </w:t>
      </w:r>
      <w:r w:rsidR="003A3645">
        <w:t xml:space="preserve"> However, just be aware that values are case-specific and that deviations could be very appropriate. </w:t>
      </w:r>
    </w:p>
    <w:p w14:paraId="2DC3D93E" w14:textId="4C88D62A" w:rsidR="00AA69A5" w:rsidDel="0000382D" w:rsidRDefault="00AA69A5" w:rsidP="00ED6E9F">
      <w:pPr>
        <w:pStyle w:val="CheckReminder"/>
      </w:pPr>
      <w:r>
        <w:t xml:space="preserve">If the applicant is incorporating deposition in both their PM-10 and PM-2.5 analysis, make sure that they used the appropriate values for the given pollutant.  They should not be using </w:t>
      </w:r>
      <w:r w:rsidR="006E49D9">
        <w:t>identical</w:t>
      </w:r>
      <w:r w:rsidR="002264DF">
        <w:t xml:space="preserve"> parameters</w:t>
      </w:r>
      <w:r>
        <w:t xml:space="preserve"> for both sets of PM runs since the PM-2.5 </w:t>
      </w:r>
      <w:r w:rsidR="006E49D9">
        <w:t>analysis</w:t>
      </w:r>
      <w:r>
        <w:t xml:space="preserve"> should not include values for </w:t>
      </w:r>
      <w:r w:rsidR="006E49D9">
        <w:t xml:space="preserve">particulates </w:t>
      </w:r>
      <w:r>
        <w:t xml:space="preserve">that </w:t>
      </w:r>
      <w:r w:rsidR="006E49D9">
        <w:t>are</w:t>
      </w:r>
      <w:r>
        <w:t xml:space="preserve"> larger than 2.5 microns in diameter.  The applicant will instead need to </w:t>
      </w:r>
      <w:r w:rsidR="006E49D9">
        <w:t>select</w:t>
      </w:r>
      <w:r>
        <w:t xml:space="preserve"> </w:t>
      </w:r>
      <w:r w:rsidR="006E49D9">
        <w:t xml:space="preserve">the subset that applies to </w:t>
      </w:r>
      <w:r>
        <w:t>particulates that are less than or equal to 2.5 microns</w:t>
      </w:r>
      <w:r w:rsidR="006E49D9">
        <w:t xml:space="preserve"> in </w:t>
      </w:r>
      <w:proofErr w:type="gramStart"/>
      <w:r w:rsidR="006E49D9">
        <w:t>diameter, and</w:t>
      </w:r>
      <w:proofErr w:type="gramEnd"/>
      <w:r w:rsidR="006E49D9">
        <w:t xml:space="preserve"> then </w:t>
      </w:r>
      <w:r>
        <w:t xml:space="preserve">recalculate the mass fractions so that the total still equals 1.0. </w:t>
      </w:r>
    </w:p>
    <w:p w14:paraId="55EDE3F0" w14:textId="4098E309" w:rsidR="009A01E5" w:rsidDel="0000382D" w:rsidRDefault="00EB6041">
      <w:pPr>
        <w:rPr>
          <w:snapToGrid w:val="0"/>
        </w:rPr>
      </w:pPr>
      <w:r>
        <w:rPr>
          <w:snapToGrid w:val="0"/>
        </w:rPr>
        <w:t xml:space="preserve">AERMOD also needs select </w:t>
      </w:r>
      <w:r w:rsidR="00DD40BE" w:rsidRPr="00DD40BE">
        <w:rPr>
          <w:snapToGrid w:val="0"/>
        </w:rPr>
        <w:t>meteorological</w:t>
      </w:r>
      <w:r w:rsidR="00DD40BE">
        <w:rPr>
          <w:snapToGrid w:val="0"/>
        </w:rPr>
        <w:t xml:space="preserve"> </w:t>
      </w:r>
      <w:r w:rsidR="00DD40BE" w:rsidRPr="00DD40BE">
        <w:rPr>
          <w:snapToGrid w:val="0"/>
        </w:rPr>
        <w:t xml:space="preserve">parameters in the surface </w:t>
      </w:r>
      <w:r w:rsidR="00053E29">
        <w:rPr>
          <w:snapToGrid w:val="0"/>
        </w:rPr>
        <w:t xml:space="preserve">meteorological data </w:t>
      </w:r>
      <w:r w:rsidR="00DD40BE" w:rsidRPr="00DD40BE">
        <w:rPr>
          <w:snapToGrid w:val="0"/>
        </w:rPr>
        <w:t xml:space="preserve">file </w:t>
      </w:r>
      <w:proofErr w:type="gramStart"/>
      <w:r w:rsidR="00053E29">
        <w:rPr>
          <w:snapToGrid w:val="0"/>
        </w:rPr>
        <w:t>in order</w:t>
      </w:r>
      <w:r w:rsidR="00DD40BE" w:rsidRPr="00DD40BE">
        <w:rPr>
          <w:snapToGrid w:val="0"/>
        </w:rPr>
        <w:t xml:space="preserve"> to</w:t>
      </w:r>
      <w:proofErr w:type="gramEnd"/>
      <w:r w:rsidR="00DD40BE" w:rsidRPr="00DD40BE">
        <w:rPr>
          <w:snapToGrid w:val="0"/>
        </w:rPr>
        <w:t xml:space="preserve"> </w:t>
      </w:r>
      <w:r w:rsidR="00053E29">
        <w:rPr>
          <w:snapToGrid w:val="0"/>
        </w:rPr>
        <w:t>run</w:t>
      </w:r>
      <w:r w:rsidR="00DD40BE" w:rsidRPr="00DD40BE">
        <w:rPr>
          <w:snapToGrid w:val="0"/>
        </w:rPr>
        <w:t xml:space="preserve"> the deposition algorithms</w:t>
      </w:r>
      <w:r w:rsidR="00DD40BE">
        <w:rPr>
          <w:snapToGrid w:val="0"/>
        </w:rPr>
        <w:t xml:space="preserve"> </w:t>
      </w:r>
      <w:r w:rsidR="00DD40BE" w:rsidRPr="00DD40BE">
        <w:rPr>
          <w:snapToGrid w:val="0"/>
        </w:rPr>
        <w:t xml:space="preserve">in AERMOD. </w:t>
      </w:r>
      <w:r w:rsidR="00DD40BE">
        <w:rPr>
          <w:snapToGrid w:val="0"/>
        </w:rPr>
        <w:t xml:space="preserve"> </w:t>
      </w:r>
      <w:r w:rsidR="00DD40BE" w:rsidRPr="00DD40BE">
        <w:rPr>
          <w:snapToGrid w:val="0"/>
        </w:rPr>
        <w:t>The additional variables include the precipitation code, precipitation rate, relative</w:t>
      </w:r>
      <w:r w:rsidR="00DD40BE">
        <w:rPr>
          <w:snapToGrid w:val="0"/>
        </w:rPr>
        <w:t xml:space="preserve"> </w:t>
      </w:r>
      <w:r w:rsidR="00DD40BE" w:rsidRPr="00DD40BE">
        <w:rPr>
          <w:snapToGrid w:val="0"/>
        </w:rPr>
        <w:t xml:space="preserve">humidity, surface pressure, and cloud cover. </w:t>
      </w:r>
      <w:r w:rsidR="00DD40BE">
        <w:rPr>
          <w:snapToGrid w:val="0"/>
        </w:rPr>
        <w:t xml:space="preserve"> </w:t>
      </w:r>
      <w:r w:rsidR="00DD40BE" w:rsidRPr="00DD40BE">
        <w:rPr>
          <w:snapToGrid w:val="0"/>
        </w:rPr>
        <w:t xml:space="preserve">These additional variables </w:t>
      </w:r>
      <w:r w:rsidR="00DD40BE">
        <w:rPr>
          <w:snapToGrid w:val="0"/>
        </w:rPr>
        <w:t>appear</w:t>
      </w:r>
      <w:r w:rsidR="00DD40BE" w:rsidRPr="00DD40BE">
        <w:rPr>
          <w:snapToGrid w:val="0"/>
        </w:rPr>
        <w:t xml:space="preserve"> after the s</w:t>
      </w:r>
      <w:r w:rsidR="00DD40BE">
        <w:rPr>
          <w:snapToGrid w:val="0"/>
        </w:rPr>
        <w:t>tandard variables for each hour.</w:t>
      </w:r>
      <w:r w:rsidR="009A01E5">
        <w:rPr>
          <w:snapToGrid w:val="0"/>
        </w:rPr>
        <w:t xml:space="preserve">  </w:t>
      </w:r>
      <w:r w:rsidR="00053E29">
        <w:rPr>
          <w:snapToGrid w:val="0"/>
        </w:rPr>
        <w:t>You should review t</w:t>
      </w:r>
      <w:r w:rsidR="009A01E5">
        <w:rPr>
          <w:snapToGrid w:val="0"/>
        </w:rPr>
        <w:t xml:space="preserve">he </w:t>
      </w:r>
      <w:r w:rsidR="00053E29">
        <w:rPr>
          <w:snapToGrid w:val="0"/>
        </w:rPr>
        <w:t xml:space="preserve">source of the </w:t>
      </w:r>
      <w:r w:rsidR="009A01E5">
        <w:rPr>
          <w:snapToGrid w:val="0"/>
        </w:rPr>
        <w:t xml:space="preserve">precipitation data to ensure it is representative of the project location.  </w:t>
      </w:r>
      <w:r w:rsidR="00655E5F">
        <w:rPr>
          <w:snapToGrid w:val="0"/>
        </w:rPr>
        <w:t>NWS</w:t>
      </w:r>
      <w:r w:rsidR="009A01E5">
        <w:rPr>
          <w:snapToGrid w:val="0"/>
        </w:rPr>
        <w:t xml:space="preserve"> </w:t>
      </w:r>
      <w:r w:rsidR="00053E29">
        <w:rPr>
          <w:snapToGrid w:val="0"/>
        </w:rPr>
        <w:t>or</w:t>
      </w:r>
      <w:r w:rsidR="009A01E5">
        <w:rPr>
          <w:snapToGrid w:val="0"/>
        </w:rPr>
        <w:t xml:space="preserve"> site-specific data </w:t>
      </w:r>
      <w:r w:rsidR="00053E29">
        <w:rPr>
          <w:snapToGrid w:val="0"/>
        </w:rPr>
        <w:t>are viable options</w:t>
      </w:r>
      <w:r w:rsidR="009A01E5">
        <w:rPr>
          <w:snapToGrid w:val="0"/>
        </w:rPr>
        <w:t xml:space="preserve">, </w:t>
      </w:r>
      <w:proofErr w:type="gramStart"/>
      <w:r w:rsidR="00053E29">
        <w:rPr>
          <w:snapToGrid w:val="0"/>
        </w:rPr>
        <w:t>as long as</w:t>
      </w:r>
      <w:proofErr w:type="gramEnd"/>
      <w:r w:rsidR="00053E29">
        <w:rPr>
          <w:snapToGrid w:val="0"/>
        </w:rPr>
        <w:t xml:space="preserve"> they are representative</w:t>
      </w:r>
      <w:r w:rsidR="009A01E5">
        <w:rPr>
          <w:snapToGrid w:val="0"/>
        </w:rPr>
        <w:t xml:space="preserve">.  </w:t>
      </w:r>
      <w:r w:rsidR="0000382D">
        <w:rPr>
          <w:snapToGrid w:val="0"/>
        </w:rPr>
        <w:t xml:space="preserve">You may discuss the applicant’s precipitation data with the AM&amp;QA meteorologist if you need assistance in determining whether the data are adequately representative.  </w:t>
      </w:r>
      <w:r w:rsidR="009A01E5">
        <w:rPr>
          <w:snapToGrid w:val="0"/>
        </w:rPr>
        <w:t xml:space="preserve">Refer to </w:t>
      </w:r>
      <w:hyperlink w:anchor="_Meteorological_Data" w:history="1">
        <w:r w:rsidR="009A01E5" w:rsidRPr="000215ED">
          <w:rPr>
            <w:rStyle w:val="Hyperlink"/>
            <w:snapToGrid w:val="0"/>
          </w:rPr>
          <w:t xml:space="preserve">Section </w:t>
        </w:r>
        <w:r w:rsidR="00305A97" w:rsidRPr="000215ED">
          <w:rPr>
            <w:rStyle w:val="Hyperlink"/>
            <w:snapToGrid w:val="0"/>
          </w:rPr>
          <w:t>2.</w:t>
        </w:r>
        <w:r w:rsidR="000215ED" w:rsidRPr="000215ED">
          <w:rPr>
            <w:rStyle w:val="Hyperlink"/>
            <w:snapToGrid w:val="0"/>
          </w:rPr>
          <w:t>6</w:t>
        </w:r>
      </w:hyperlink>
      <w:r w:rsidR="009A01E5">
        <w:rPr>
          <w:snapToGrid w:val="0"/>
        </w:rPr>
        <w:t xml:space="preserve"> of this manual to ensure the meteorological data is processed correctly. </w:t>
      </w:r>
    </w:p>
    <w:p w14:paraId="4AFBF3F4" w14:textId="77777777" w:rsidR="00104535" w:rsidRDefault="00ED6E9F" w:rsidP="002016E8">
      <w:pPr>
        <w:ind w:left="360" w:right="360"/>
        <w:rPr>
          <w:snapToGrid w:val="0"/>
        </w:rPr>
      </w:pPr>
      <w:r w:rsidRPr="00ED6E9F">
        <w:rPr>
          <w:snapToGrid w:val="0"/>
          <w:u w:val="single"/>
        </w:rPr>
        <w:t>Note</w:t>
      </w:r>
      <w:proofErr w:type="gramStart"/>
      <w:r>
        <w:rPr>
          <w:snapToGrid w:val="0"/>
        </w:rPr>
        <w:t xml:space="preserve">:  </w:t>
      </w:r>
      <w:r w:rsidR="00BA2763" w:rsidRPr="00E368E8">
        <w:rPr>
          <w:i/>
          <w:snapToGrid w:val="0"/>
        </w:rPr>
        <w:t>Depletion</w:t>
      </w:r>
      <w:proofErr w:type="gramEnd"/>
      <w:r w:rsidR="00BA2763" w:rsidRPr="00E368E8">
        <w:rPr>
          <w:i/>
          <w:snapToGrid w:val="0"/>
        </w:rPr>
        <w:t xml:space="preserve"> can significantly increase </w:t>
      </w:r>
      <w:proofErr w:type="gramStart"/>
      <w:r w:rsidR="00BA2763" w:rsidRPr="00E368E8">
        <w:rPr>
          <w:i/>
          <w:snapToGrid w:val="0"/>
        </w:rPr>
        <w:t>the modeling</w:t>
      </w:r>
      <w:proofErr w:type="gramEnd"/>
      <w:r w:rsidR="00BA2763" w:rsidRPr="00E368E8">
        <w:rPr>
          <w:i/>
          <w:snapToGrid w:val="0"/>
        </w:rPr>
        <w:t xml:space="preserve"> time and should be used with caution for runs with many sources and large modeling domains</w:t>
      </w:r>
      <w:r w:rsidR="00BA2763">
        <w:rPr>
          <w:snapToGrid w:val="0"/>
        </w:rPr>
        <w:t>.</w:t>
      </w:r>
      <w:r w:rsidR="00BE2608">
        <w:rPr>
          <w:rStyle w:val="FootnoteReference"/>
          <w:snapToGrid w:val="0"/>
        </w:rPr>
        <w:footnoteReference w:id="91"/>
      </w:r>
      <w:r w:rsidDel="00ED6E9F">
        <w:rPr>
          <w:snapToGrid w:val="0"/>
        </w:rPr>
        <w:t xml:space="preserve"> </w:t>
      </w:r>
      <w:bookmarkStart w:id="253" w:name="_Toc43521216"/>
    </w:p>
    <w:bookmarkEnd w:id="253"/>
    <w:p w14:paraId="1E2DAE2B" w14:textId="77777777" w:rsidR="009975B9" w:rsidRDefault="009975B9" w:rsidP="009975B9">
      <w:pPr>
        <w:spacing w:after="0"/>
      </w:pPr>
      <w:r>
        <w:br w:type="page"/>
      </w:r>
    </w:p>
    <w:p w14:paraId="14247197" w14:textId="77777777" w:rsidR="00346D29" w:rsidRDefault="009E7738" w:rsidP="00AD5C0A">
      <w:pPr>
        <w:pStyle w:val="Heading2"/>
        <w:tabs>
          <w:tab w:val="left" w:pos="810"/>
        </w:tabs>
        <w:rPr>
          <w:snapToGrid w:val="0"/>
        </w:rPr>
      </w:pPr>
      <w:r>
        <w:rPr>
          <w:snapToGrid w:val="0"/>
        </w:rPr>
        <w:lastRenderedPageBreak/>
        <w:tab/>
      </w:r>
      <w:r w:rsidR="00AD5C0A">
        <w:rPr>
          <w:snapToGrid w:val="0"/>
        </w:rPr>
        <w:tab/>
      </w:r>
      <w:bookmarkStart w:id="254" w:name="_Ref447802188"/>
      <w:bookmarkStart w:id="255" w:name="_Toc526778289"/>
      <w:r w:rsidR="00346D29" w:rsidRPr="00962D96">
        <w:rPr>
          <w:snapToGrid w:val="0"/>
        </w:rPr>
        <w:t xml:space="preserve">Ambient </w:t>
      </w:r>
      <w:r w:rsidR="00346D29">
        <w:rPr>
          <w:snapToGrid w:val="0"/>
        </w:rPr>
        <w:t xml:space="preserve">Air </w:t>
      </w:r>
      <w:r w:rsidR="00346D29" w:rsidRPr="00962D96">
        <w:rPr>
          <w:snapToGrid w:val="0"/>
        </w:rPr>
        <w:t>Boundary</w:t>
      </w:r>
      <w:r w:rsidR="00EF6223">
        <w:rPr>
          <w:snapToGrid w:val="0"/>
        </w:rPr>
        <w:t xml:space="preserve"> and Worker H</w:t>
      </w:r>
      <w:r w:rsidR="00346D29">
        <w:rPr>
          <w:snapToGrid w:val="0"/>
        </w:rPr>
        <w:t>ousing</w:t>
      </w:r>
      <w:bookmarkEnd w:id="254"/>
      <w:bookmarkEnd w:id="255"/>
    </w:p>
    <w:p w14:paraId="55267B55" w14:textId="77777777" w:rsidR="00346D29" w:rsidRDefault="00AD5C0A" w:rsidP="00346D29">
      <w:pPr>
        <w:pStyle w:val="Heading3"/>
      </w:pPr>
      <w:bookmarkStart w:id="256" w:name="AmbientAirBoundary"/>
      <w:r>
        <w:tab/>
      </w:r>
      <w:bookmarkStart w:id="257" w:name="_Toc526778290"/>
      <w:r w:rsidR="00346D29">
        <w:t>Ambient Air Boundary</w:t>
      </w:r>
      <w:bookmarkEnd w:id="257"/>
    </w:p>
    <w:bookmarkEnd w:id="256"/>
    <w:p w14:paraId="4722DA57" w14:textId="4411BDE5" w:rsidR="00D83DB5" w:rsidRDefault="00E0344C" w:rsidP="00346D29">
      <w:r>
        <w:t xml:space="preserve">As discussed in Section </w:t>
      </w:r>
      <w:r>
        <w:fldChar w:fldCharType="begin"/>
      </w:r>
      <w:r>
        <w:instrText xml:space="preserve"> REF _Ref447802349 \w \h </w:instrText>
      </w:r>
      <w:r>
        <w:fldChar w:fldCharType="separate"/>
      </w:r>
      <w:r w:rsidR="00135FFD">
        <w:t>2.3.3</w:t>
      </w:r>
      <w:r>
        <w:fldChar w:fldCharType="end"/>
      </w:r>
      <w:r>
        <w:t>, a</w:t>
      </w:r>
      <w:r w:rsidR="00346D29">
        <w:t>mbient air is defined as “that portion of the atmosphere, external to buildings, to which the general public has access” (</w:t>
      </w:r>
      <w:hyperlink r:id="rId160" w:history="1">
        <w:r w:rsidR="00346D29" w:rsidRPr="009E7738">
          <w:rPr>
            <w:rStyle w:val="Hyperlink"/>
          </w:rPr>
          <w:t>40 CFR 50.1</w:t>
        </w:r>
      </w:hyperlink>
      <w:r w:rsidR="00346D29">
        <w:t xml:space="preserve">(e), adopted by reference in </w:t>
      </w:r>
      <w:hyperlink r:id="rId161" w:history="1">
        <w:r w:rsidR="00346D29" w:rsidRPr="009E7738">
          <w:rPr>
            <w:rStyle w:val="Hyperlink"/>
          </w:rPr>
          <w:t>AS</w:t>
        </w:r>
        <w:r w:rsidR="00DE6D19" w:rsidRPr="009E7738">
          <w:rPr>
            <w:rStyle w:val="Hyperlink"/>
          </w:rPr>
          <w:t> </w:t>
        </w:r>
        <w:r w:rsidR="00346D29" w:rsidRPr="009E7738">
          <w:rPr>
            <w:rStyle w:val="Hyperlink"/>
          </w:rPr>
          <w:t>46.14.990</w:t>
        </w:r>
      </w:hyperlink>
      <w:r w:rsidR="00346D29">
        <w:t xml:space="preserve">(2)).  </w:t>
      </w:r>
      <w:r w:rsidR="00B40D22">
        <w:t>Onshore a</w:t>
      </w:r>
      <w:r w:rsidR="00D83DB5">
        <w:rPr>
          <w:snapToGrid w:val="0"/>
        </w:rPr>
        <w:t xml:space="preserve">pplicants may, therefore, exclude areas that they own or lease from their modeling analysis if public access is precluded by </w:t>
      </w:r>
      <w:r w:rsidR="00D83DB5" w:rsidRPr="00CF6802">
        <w:rPr>
          <w:snapToGrid w:val="0"/>
        </w:rPr>
        <w:t xml:space="preserve">a fence or other </w:t>
      </w:r>
      <w:r w:rsidR="00D83DB5">
        <w:rPr>
          <w:snapToGrid w:val="0"/>
        </w:rPr>
        <w:t xml:space="preserve">physical </w:t>
      </w:r>
      <w:r w:rsidR="00D83DB5" w:rsidRPr="00CF6802">
        <w:rPr>
          <w:snapToGrid w:val="0"/>
        </w:rPr>
        <w:t>ba</w:t>
      </w:r>
      <w:r w:rsidR="00D83DB5">
        <w:rPr>
          <w:snapToGrid w:val="0"/>
        </w:rPr>
        <w:t>rrier.</w:t>
      </w:r>
      <w:r w:rsidR="00D83DB5">
        <w:rPr>
          <w:rStyle w:val="FootnoteReference"/>
          <w:snapToGrid w:val="0"/>
        </w:rPr>
        <w:footnoteReference w:id="92"/>
      </w:r>
      <w:r w:rsidR="00D83DB5">
        <w:rPr>
          <w:snapToGrid w:val="0"/>
        </w:rPr>
        <w:t xml:space="preserve"> Conversely, they will need to model that portion of their property/lease that has no such restriction.  </w:t>
      </w:r>
      <w:r w:rsidR="00D83DB5" w:rsidRPr="00E0344C">
        <w:rPr>
          <w:snapToGrid w:val="0"/>
        </w:rPr>
        <w:t xml:space="preserve">Natural features, such as dense vegetation or topographical features, can provide adequate barriers, although the adequacy of the given features must be evaluated on a case-specific basis.  On the North Slope, the edge of the </w:t>
      </w:r>
      <w:proofErr w:type="gramStart"/>
      <w:r w:rsidR="00D83DB5" w:rsidRPr="00E0344C">
        <w:rPr>
          <w:snapToGrid w:val="0"/>
        </w:rPr>
        <w:t>5-foot high</w:t>
      </w:r>
      <w:proofErr w:type="gramEnd"/>
      <w:r w:rsidR="00D83DB5" w:rsidRPr="00E0344C">
        <w:rPr>
          <w:snapToGrid w:val="0"/>
        </w:rPr>
        <w:t xml:space="preserve"> gravel pad is routinely used as the ambient air boundary.  </w:t>
      </w:r>
    </w:p>
    <w:p w14:paraId="40563EAD" w14:textId="246D1280" w:rsidR="00346D29" w:rsidRDefault="00293765" w:rsidP="00346D29">
      <w:r>
        <w:t>The a</w:t>
      </w:r>
      <w:r w:rsidR="00346D29">
        <w:t>mbient air boundary may differ from the stationary source</w:t>
      </w:r>
      <w:r>
        <w:t>’s</w:t>
      </w:r>
      <w:r w:rsidR="00346D29">
        <w:t xml:space="preserve"> property boundary.  For example, </w:t>
      </w:r>
      <w:r w:rsidR="003625B5">
        <w:t xml:space="preserve">a </w:t>
      </w:r>
      <w:proofErr w:type="gramStart"/>
      <w:r w:rsidR="003625B5">
        <w:t>publicly-assessable</w:t>
      </w:r>
      <w:proofErr w:type="gramEnd"/>
      <w:r w:rsidR="003625B5">
        <w:t xml:space="preserve"> parking area within the property boundary should be treated as ambient air</w:t>
      </w:r>
      <w:r w:rsidR="00346D29">
        <w:t xml:space="preserve">.  </w:t>
      </w:r>
      <w:r w:rsidR="00330574">
        <w:t>P</w:t>
      </w:r>
      <w:r>
        <w:t xml:space="preserve">ublic </w:t>
      </w:r>
      <w:r w:rsidR="00346D29">
        <w:t>road</w:t>
      </w:r>
      <w:r w:rsidR="00330574">
        <w:t>s</w:t>
      </w:r>
      <w:r w:rsidR="00EE28EB">
        <w:t>/</w:t>
      </w:r>
      <w:r w:rsidR="00330574">
        <w:t>trails</w:t>
      </w:r>
      <w:r w:rsidR="00EE28EB">
        <w:t xml:space="preserve"> that cut through the property, or </w:t>
      </w:r>
      <w:r w:rsidR="00906331">
        <w:t xml:space="preserve">designated </w:t>
      </w:r>
      <w:proofErr w:type="spellStart"/>
      <w:r w:rsidR="00906331">
        <w:t>r</w:t>
      </w:r>
      <w:r w:rsidR="00EE28EB">
        <w:t>ight-of-ways</w:t>
      </w:r>
      <w:proofErr w:type="spellEnd"/>
      <w:r w:rsidR="00EE28EB">
        <w:t xml:space="preserve"> </w:t>
      </w:r>
      <w:r w:rsidR="00906331">
        <w:t xml:space="preserve">that grant some </w:t>
      </w:r>
      <w:r w:rsidR="00EE28EB">
        <w:t xml:space="preserve">entity (e.g., a utility or even the </w:t>
      </w:r>
      <w:proofErr w:type="gramStart"/>
      <w:r w:rsidR="00EE28EB">
        <w:t>land owner</w:t>
      </w:r>
      <w:proofErr w:type="gramEnd"/>
      <w:r w:rsidR="00EE28EB">
        <w:t xml:space="preserve">) </w:t>
      </w:r>
      <w:r w:rsidR="00906331">
        <w:t>access rights</w:t>
      </w:r>
      <w:r w:rsidR="00EE28EB">
        <w:t xml:space="preserve">, </w:t>
      </w:r>
      <w:r w:rsidR="00330574">
        <w:t xml:space="preserve">are </w:t>
      </w:r>
      <w:r w:rsidR="00906331">
        <w:t>other</w:t>
      </w:r>
      <w:r w:rsidR="00330574">
        <w:t xml:space="preserve"> example</w:t>
      </w:r>
      <w:r w:rsidR="00906331">
        <w:t>s</w:t>
      </w:r>
      <w:r w:rsidR="00330574">
        <w:t xml:space="preserve"> of areas that need to be treated as ambient air</w:t>
      </w:r>
      <w:r w:rsidR="00346D29">
        <w:t xml:space="preserve">.  </w:t>
      </w:r>
      <w:r w:rsidR="00906331">
        <w:t xml:space="preserve">Please note that it is not your responsibility to </w:t>
      </w:r>
      <w:proofErr w:type="gramStart"/>
      <w:r w:rsidR="000947E3">
        <w:t>search</w:t>
      </w:r>
      <w:proofErr w:type="gramEnd"/>
      <w:r w:rsidR="000947E3">
        <w:t xml:space="preserve"> property records</w:t>
      </w:r>
      <w:r w:rsidR="00906331">
        <w:t xml:space="preserve"> for these provisions, but the applicant should note and properly treat these types of areas in their air quality modeling analysis. </w:t>
      </w:r>
    </w:p>
    <w:p w14:paraId="49DEFA6F" w14:textId="5D157169" w:rsidR="00B96346" w:rsidRDefault="00BC269E" w:rsidP="00346D29">
      <w:r>
        <w:t>Applicants with s</w:t>
      </w:r>
      <w:r w:rsidR="00B96346">
        <w:t>tationary sources located on leased</w:t>
      </w:r>
      <w:r>
        <w:t>, unfenced</w:t>
      </w:r>
      <w:r w:rsidR="00B96346">
        <w:t xml:space="preserve"> property </w:t>
      </w:r>
      <w:r w:rsidR="004A636D">
        <w:t>will need to</w:t>
      </w:r>
      <w:r w:rsidR="00B96346">
        <w:t xml:space="preserve"> </w:t>
      </w:r>
      <w:r w:rsidR="004A636D">
        <w:t>obtain</w:t>
      </w:r>
      <w:r w:rsidR="00B96346">
        <w:t xml:space="preserve"> the </w:t>
      </w:r>
      <w:proofErr w:type="gramStart"/>
      <w:r w:rsidR="00B96346">
        <w:t>land owner’s</w:t>
      </w:r>
      <w:proofErr w:type="gramEnd"/>
      <w:r w:rsidR="00B96346">
        <w:t xml:space="preserve"> permission to restrict access.  You may need to ask the applicant to provide a copy of that portion of the lease</w:t>
      </w:r>
      <w:r w:rsidR="00B40D22">
        <w:t xml:space="preserve"> (or a subsequent written agreement)</w:t>
      </w:r>
      <w:r w:rsidR="003625B5">
        <w:t xml:space="preserve"> that provides this authorization.  The determination as to what’s ambient air when a stationary source is located within another stationary source can be complicated.  EPA’s June 22, </w:t>
      </w:r>
      <w:proofErr w:type="gramStart"/>
      <w:r w:rsidR="003625B5">
        <w:t>2007</w:t>
      </w:r>
      <w:proofErr w:type="gramEnd"/>
      <w:r w:rsidR="003625B5">
        <w:t xml:space="preserve"> memorandum, </w:t>
      </w:r>
      <w:r w:rsidR="003625B5" w:rsidRPr="003625B5">
        <w:rPr>
          <w:i/>
        </w:rPr>
        <w:t>Interpretation of “Ambient Air” in Situations Involving Leased Land Under the Regulations for Prevention of Significant Deterioration (PSD)</w:t>
      </w:r>
      <w:r w:rsidR="004A16B4">
        <w:t>, provides guidance for this situation</w:t>
      </w:r>
      <w:r w:rsidR="003625B5">
        <w:t xml:space="preserve">.  </w:t>
      </w:r>
    </w:p>
    <w:p w14:paraId="2813ECF1" w14:textId="1EB21E0C" w:rsidR="005A6E8B" w:rsidRDefault="005A6E8B" w:rsidP="00346D29">
      <w:r>
        <w:t>The applicant’s method for precluding public access may need to be incorporated into the permit as an ambient air condition.  Work with the permit engineer and supervisor to determine the best method for ensuring the ambient boundary is adequately established and maintained.</w:t>
      </w:r>
    </w:p>
    <w:p w14:paraId="47AF41AC" w14:textId="2D0843B4" w:rsidR="00346D29" w:rsidRPr="00FF690B" w:rsidRDefault="00523A75" w:rsidP="00346D29">
      <w:r>
        <w:t>A</w:t>
      </w:r>
      <w:r w:rsidR="00346D29">
        <w:t xml:space="preserve"> 1980 letter to the US Senate’s Committee on Environment and Public Works indicated that “… the exemption from ambient air is available only for atmosphere </w:t>
      </w:r>
      <w:r w:rsidR="00346D29" w:rsidRPr="009D7A86">
        <w:rPr>
          <w:i/>
        </w:rPr>
        <w:t>over land</w:t>
      </w:r>
      <w:r w:rsidR="00346D29">
        <w:t xml:space="preserve"> owned or controlled by the source and to which public access is precluded by a fence or other physical barriers”</w:t>
      </w:r>
      <w:r w:rsidR="00330574">
        <w:t xml:space="preserve"> (emphasis added).</w:t>
      </w:r>
      <w:r w:rsidR="00346D29">
        <w:t xml:space="preserve">  </w:t>
      </w:r>
      <w:r w:rsidR="00330574">
        <w:t>Offshore sources are not expected to use a fence or physical barrier to exclude public access</w:t>
      </w:r>
      <w:r w:rsidR="00953A81">
        <w:t xml:space="preserve"> – alternative </w:t>
      </w:r>
      <w:r w:rsidR="00346D29" w:rsidRPr="00FF690B">
        <w:t xml:space="preserve">means for controlling </w:t>
      </w:r>
      <w:r w:rsidR="00346D29" w:rsidRPr="00FF690B">
        <w:lastRenderedPageBreak/>
        <w:t>access for overwater scenarios</w:t>
      </w:r>
      <w:r w:rsidR="00346D29">
        <w:t xml:space="preserve"> </w:t>
      </w:r>
      <w:r w:rsidR="00346D29" w:rsidRPr="00FF690B">
        <w:t>is warranted.</w:t>
      </w:r>
      <w:r w:rsidR="00953A81">
        <w:rPr>
          <w:rStyle w:val="FootnoteReference"/>
        </w:rPr>
        <w:footnoteReference w:id="93"/>
      </w:r>
      <w:r w:rsidR="0046584D">
        <w:t xml:space="preserve">  Stationary sources located within Cook Inlet typically use a 100 m set-back distance as their ambient air boundary.  Cook Inlet has strong tidal currents which can cause substantive drifting. The 100</w:t>
      </w:r>
      <w:r w:rsidR="0046584D" w:rsidRPr="00262FB4">
        <w:t> </w:t>
      </w:r>
      <w:r w:rsidR="0046584D">
        <w:t xml:space="preserve">m range represents a </w:t>
      </w:r>
      <w:proofErr w:type="gramStart"/>
      <w:r w:rsidR="0046584D">
        <w:t>common sense</w:t>
      </w:r>
      <w:proofErr w:type="gramEnd"/>
      <w:r w:rsidR="0046584D">
        <w:t xml:space="preserve"> set-back distance for safely navigating </w:t>
      </w:r>
      <w:proofErr w:type="gramStart"/>
      <w:r w:rsidR="0046584D">
        <w:t>around objects</w:t>
      </w:r>
      <w:proofErr w:type="gramEnd"/>
      <w:r w:rsidR="0046584D">
        <w:t xml:space="preserve"> in this type of situation.</w:t>
      </w:r>
    </w:p>
    <w:p w14:paraId="40C12D3B" w14:textId="77777777" w:rsidR="00346D29" w:rsidRDefault="00AD5C0A" w:rsidP="00346D29">
      <w:pPr>
        <w:pStyle w:val="Heading3"/>
      </w:pPr>
      <w:bookmarkStart w:id="258" w:name="WorkerHousing"/>
      <w:r>
        <w:tab/>
      </w:r>
      <w:bookmarkStart w:id="259" w:name="_Toc526778291"/>
      <w:r w:rsidR="00346D29">
        <w:t>Worker Housing</w:t>
      </w:r>
      <w:bookmarkEnd w:id="259"/>
    </w:p>
    <w:bookmarkEnd w:id="258"/>
    <w:p w14:paraId="4DF10F24" w14:textId="14E03315" w:rsidR="00346D29" w:rsidRDefault="00346D29" w:rsidP="00346D29">
      <w:r>
        <w:t xml:space="preserve">Off-duty workers are typically treated as members of the public.  </w:t>
      </w:r>
      <w:r w:rsidR="00020F8A">
        <w:t xml:space="preserve">Therefore, </w:t>
      </w:r>
      <w:r>
        <w:t xml:space="preserve">on-site housing </w:t>
      </w:r>
      <w:r w:rsidR="00020F8A">
        <w:t>areas should generally</w:t>
      </w:r>
      <w:r>
        <w:t xml:space="preserve"> be treated as ambient air</w:t>
      </w:r>
      <w:r w:rsidR="00020F8A">
        <w:t xml:space="preserve"> locations</w:t>
      </w:r>
      <w:r>
        <w:t xml:space="preserve">.  </w:t>
      </w:r>
      <w:r w:rsidR="00020F8A">
        <w:t xml:space="preserve">Applicants should clearly identify </w:t>
      </w:r>
      <w:r w:rsidR="004C5B06">
        <w:t>all</w:t>
      </w:r>
      <w:r w:rsidR="00020F8A">
        <w:t xml:space="preserve"> </w:t>
      </w:r>
      <w:r>
        <w:t xml:space="preserve">areas within the stationary source </w:t>
      </w:r>
      <w:r w:rsidR="004C5B06">
        <w:t xml:space="preserve">boundary </w:t>
      </w:r>
      <w:r>
        <w:t xml:space="preserve">where off-duty employees have access </w:t>
      </w:r>
      <w:proofErr w:type="gramStart"/>
      <w:r w:rsidR="004C5B06">
        <w:t>in</w:t>
      </w:r>
      <w:proofErr w:type="gramEnd"/>
      <w:r w:rsidR="004C5B06">
        <w:t xml:space="preserve"> their</w:t>
      </w:r>
      <w:r>
        <w:t xml:space="preserve"> plot plan.  The limited situations where on-site housing accommodations are not treated as ambient air </w:t>
      </w:r>
      <w:r w:rsidR="004C5B06">
        <w:t xml:space="preserve">locations </w:t>
      </w:r>
      <w:r w:rsidR="00020F8A">
        <w:t xml:space="preserve">are </w:t>
      </w:r>
      <w:r>
        <w:t xml:space="preserve">described in Policy and Procedure 04.02.108 (see </w:t>
      </w:r>
      <w:hyperlink r:id="rId162" w:history="1">
        <w:r w:rsidR="005D11D6" w:rsidRPr="00553135">
          <w:rPr>
            <w:rStyle w:val="Hyperlink"/>
          </w:rPr>
          <w:t>http://dec.alaska.gov/media/10238/whg.pdf</w:t>
        </w:r>
      </w:hyperlink>
      <w:r w:rsidR="005D11D6">
        <w:t>)</w:t>
      </w:r>
      <w:r>
        <w:t>.  I</w:t>
      </w:r>
      <w:r w:rsidR="004C5B06">
        <w:t xml:space="preserve">n this situation, the applicant should </w:t>
      </w:r>
      <w:r w:rsidR="00F57AED">
        <w:t xml:space="preserve">clearly </w:t>
      </w:r>
      <w:r w:rsidR="004C5B06">
        <w:t xml:space="preserve">describe how they meet the stated criteria for </w:t>
      </w:r>
      <w:r>
        <w:t xml:space="preserve">not treating </w:t>
      </w:r>
      <w:r w:rsidR="004C5B06">
        <w:t xml:space="preserve">the </w:t>
      </w:r>
      <w:r>
        <w:t>worker housing as ambient air.</w:t>
      </w:r>
    </w:p>
    <w:p w14:paraId="33DEC8B2" w14:textId="77777777" w:rsidR="00E25D9E" w:rsidRDefault="00E25D9E">
      <w:pPr>
        <w:spacing w:after="0"/>
      </w:pPr>
      <w:r>
        <w:br w:type="page"/>
      </w:r>
    </w:p>
    <w:p w14:paraId="770F48DE" w14:textId="36F93476" w:rsidR="003C251D" w:rsidRDefault="009E7738" w:rsidP="00AD5C0A">
      <w:pPr>
        <w:pStyle w:val="Heading2"/>
        <w:spacing w:before="0"/>
        <w:rPr>
          <w:snapToGrid w:val="0"/>
        </w:rPr>
      </w:pPr>
      <w:bookmarkStart w:id="260" w:name="_Toc43521219"/>
      <w:r>
        <w:rPr>
          <w:snapToGrid w:val="0"/>
        </w:rPr>
        <w:lastRenderedPageBreak/>
        <w:tab/>
      </w:r>
      <w:bookmarkStart w:id="261" w:name="_Ref448836153"/>
      <w:bookmarkStart w:id="262" w:name="_Toc526778292"/>
      <w:r w:rsidR="009A01E5">
        <w:rPr>
          <w:snapToGrid w:val="0"/>
        </w:rPr>
        <w:t>Receptor</w:t>
      </w:r>
      <w:r w:rsidR="00FD0F66">
        <w:rPr>
          <w:snapToGrid w:val="0"/>
        </w:rPr>
        <w:t>s</w:t>
      </w:r>
      <w:bookmarkEnd w:id="260"/>
      <w:bookmarkEnd w:id="261"/>
      <w:bookmarkEnd w:id="262"/>
      <w:r w:rsidR="009A01E5">
        <w:rPr>
          <w:snapToGrid w:val="0"/>
        </w:rPr>
        <w:t xml:space="preserve"> </w:t>
      </w:r>
    </w:p>
    <w:p w14:paraId="206B53FA" w14:textId="3FBC348C" w:rsidR="009A01E5" w:rsidRDefault="009A01E5">
      <w:pPr>
        <w:rPr>
          <w:snapToGrid w:val="0"/>
        </w:rPr>
      </w:pPr>
      <w:r>
        <w:rPr>
          <w:snapToGrid w:val="0"/>
        </w:rPr>
        <w:t xml:space="preserve">A dispersion model will calculate the concentration of the modeled pollutant at locations defined by the user.  These locations are called receptors.  Screening models such as </w:t>
      </w:r>
      <w:r w:rsidR="001C7835">
        <w:rPr>
          <w:snapToGrid w:val="0"/>
        </w:rPr>
        <w:t xml:space="preserve">AERSCREEN </w:t>
      </w:r>
      <w:r>
        <w:rPr>
          <w:snapToGrid w:val="0"/>
        </w:rPr>
        <w:t>allow the user to define the receptor distance from the source, but assumes all receptors are located directly downwind from the source.  Refined models</w:t>
      </w:r>
      <w:r w:rsidR="00C40C3E">
        <w:rPr>
          <w:snapToGrid w:val="0"/>
        </w:rPr>
        <w:t>,</w:t>
      </w:r>
      <w:r>
        <w:rPr>
          <w:snapToGrid w:val="0"/>
        </w:rPr>
        <w:t xml:space="preserve"> such as AERMOD </w:t>
      </w:r>
      <w:r w:rsidR="00C40C3E">
        <w:rPr>
          <w:snapToGrid w:val="0"/>
        </w:rPr>
        <w:t xml:space="preserve">or OCD, </w:t>
      </w:r>
      <w:r>
        <w:rPr>
          <w:snapToGrid w:val="0"/>
        </w:rPr>
        <w:t xml:space="preserve">which use hourly observations of meteorology to determine the direction of plume transport and dispersion, allow the user to define multiple receptor locations.  These multiple receptor locations are referred to as receptor grids. </w:t>
      </w:r>
    </w:p>
    <w:p w14:paraId="508163E1" w14:textId="77777777" w:rsidR="009A01E5" w:rsidRDefault="009A01E5">
      <w:pPr>
        <w:rPr>
          <w:snapToGrid w:val="0"/>
        </w:rPr>
      </w:pPr>
      <w:r>
        <w:rPr>
          <w:snapToGrid w:val="0"/>
        </w:rPr>
        <w:t xml:space="preserve">Receptor grids play a critical part of the compliance demonstration because they determine where pollutant concentrations will be calculated.  Receptor grids are also one of the most common places for errors in the modeling analysis. </w:t>
      </w:r>
      <w:r w:rsidR="00F159F1">
        <w:rPr>
          <w:snapToGrid w:val="0"/>
        </w:rPr>
        <w:t xml:space="preserve"> </w:t>
      </w:r>
      <w:r>
        <w:rPr>
          <w:snapToGrid w:val="0"/>
        </w:rPr>
        <w:t>Errors are typically caused by incorrect identification of horizontal receptor locations</w:t>
      </w:r>
      <w:r w:rsidR="00CD3204">
        <w:rPr>
          <w:snapToGrid w:val="0"/>
        </w:rPr>
        <w:t xml:space="preserve"> or inadequate grid density, i.e., the distance between receptors is too large, thus missing the point of maximum concentration impact</w:t>
      </w:r>
      <w:r>
        <w:rPr>
          <w:snapToGrid w:val="0"/>
        </w:rPr>
        <w:t xml:space="preserve">.  </w:t>
      </w:r>
      <w:r w:rsidR="00F159F1">
        <w:rPr>
          <w:snapToGrid w:val="0"/>
        </w:rPr>
        <w:t xml:space="preserve">There can also be errors in the digital elevation data obtained from the </w:t>
      </w:r>
      <w:r>
        <w:rPr>
          <w:snapToGrid w:val="0"/>
        </w:rPr>
        <w:t xml:space="preserve">USGS.  </w:t>
      </w:r>
    </w:p>
    <w:p w14:paraId="525FAF98" w14:textId="22DAA17A" w:rsidR="00F135CB" w:rsidRDefault="00F135CB" w:rsidP="00F135CB">
      <w:pPr>
        <w:rPr>
          <w:snapToGrid w:val="0"/>
        </w:rPr>
      </w:pPr>
      <w:r>
        <w:rPr>
          <w:snapToGrid w:val="0"/>
        </w:rPr>
        <w:t xml:space="preserve">AERMOD accepts either Cartesian (rectangular) or polar coordinate systems. Cartesian grids define each receptor location using an x, y, z coordinate system.  Polar grids define each receptor location as a function of angle and distance from a center (i.e., source) location. Cartesian grids are preferred for </w:t>
      </w:r>
      <w:r w:rsidR="00E12311">
        <w:rPr>
          <w:snapToGrid w:val="0"/>
        </w:rPr>
        <w:t>both individual and</w:t>
      </w:r>
      <w:r>
        <w:rPr>
          <w:snapToGrid w:val="0"/>
        </w:rPr>
        <w:t xml:space="preserve"> multiple sources because </w:t>
      </w:r>
      <w:proofErr w:type="gramStart"/>
      <w:r>
        <w:rPr>
          <w:snapToGrid w:val="0"/>
        </w:rPr>
        <w:t>it</w:t>
      </w:r>
      <w:proofErr w:type="gramEnd"/>
      <w:r>
        <w:rPr>
          <w:snapToGrid w:val="0"/>
        </w:rPr>
        <w:t xml:space="preserve"> simplifies overlaying other features (e.g., terrain data) which are often defined in Cartesian coordinates, as well.  Polar grids are often based on a user-defined coordinate system where the source is the origin of the grid.  A polar grid should only be used for single source evaluation, when terrain features need not be considered.  </w:t>
      </w:r>
    </w:p>
    <w:p w14:paraId="1E7A3C15" w14:textId="3BE03C60" w:rsidR="00F135CB" w:rsidRDefault="00F135CB" w:rsidP="00F135CB">
      <w:pPr>
        <w:rPr>
          <w:snapToGrid w:val="0"/>
        </w:rPr>
      </w:pPr>
      <w:r>
        <w:t>Polar grids typically work well for an OCD run of an offshore platform since the ambient boundary is usually circular.  However, rectangular grids are typically better suited for onshore AERMOD runs where the ambient boundary is non-circular.</w:t>
      </w:r>
    </w:p>
    <w:p w14:paraId="0EE18236" w14:textId="7BB22E4C" w:rsidR="009A01E5" w:rsidRDefault="00AD5C0A" w:rsidP="000F2745">
      <w:pPr>
        <w:pStyle w:val="Heading3"/>
        <w:rPr>
          <w:snapToGrid w:val="0"/>
        </w:rPr>
      </w:pPr>
      <w:bookmarkStart w:id="263" w:name="Terrain"/>
      <w:bookmarkStart w:id="264" w:name="_Toc43521220"/>
      <w:r>
        <w:rPr>
          <w:snapToGrid w:val="0"/>
        </w:rPr>
        <w:tab/>
      </w:r>
      <w:bookmarkStart w:id="265" w:name="_Toc526778293"/>
      <w:r w:rsidR="009A01E5">
        <w:rPr>
          <w:snapToGrid w:val="0"/>
        </w:rPr>
        <w:t xml:space="preserve">Terrain </w:t>
      </w:r>
      <w:bookmarkEnd w:id="263"/>
      <w:r w:rsidR="009A01E5">
        <w:rPr>
          <w:snapToGrid w:val="0"/>
        </w:rPr>
        <w:t>Description</w:t>
      </w:r>
      <w:r w:rsidR="00F135CB">
        <w:rPr>
          <w:snapToGrid w:val="0"/>
        </w:rPr>
        <w:t>,</w:t>
      </w:r>
      <w:r w:rsidR="009A01E5">
        <w:rPr>
          <w:snapToGrid w:val="0"/>
        </w:rPr>
        <w:t xml:space="preserve"> Terrain Treatment</w:t>
      </w:r>
      <w:bookmarkEnd w:id="264"/>
      <w:r w:rsidR="00F135CB">
        <w:rPr>
          <w:snapToGrid w:val="0"/>
        </w:rPr>
        <w:t xml:space="preserve"> and AERMAP</w:t>
      </w:r>
      <w:bookmarkEnd w:id="265"/>
    </w:p>
    <w:p w14:paraId="7C4D126D" w14:textId="32072173" w:rsidR="009A01E5" w:rsidRDefault="009A01E5">
      <w:pPr>
        <w:rPr>
          <w:snapToGrid w:val="0"/>
        </w:rPr>
      </w:pPr>
      <w:r>
        <w:rPr>
          <w:snapToGrid w:val="0"/>
        </w:rPr>
        <w:t xml:space="preserve">Terrain is typically identified </w:t>
      </w:r>
      <w:proofErr w:type="gramStart"/>
      <w:r>
        <w:rPr>
          <w:snapToGrid w:val="0"/>
        </w:rPr>
        <w:t>through the use of</w:t>
      </w:r>
      <w:proofErr w:type="gramEnd"/>
      <w:r>
        <w:rPr>
          <w:snapToGrid w:val="0"/>
        </w:rPr>
        <w:t xml:space="preserve"> topographic maps or </w:t>
      </w:r>
      <w:r w:rsidR="005C744B">
        <w:rPr>
          <w:snapToGrid w:val="0"/>
        </w:rPr>
        <w:t xml:space="preserve">digital </w:t>
      </w:r>
      <w:r w:rsidR="006C0340">
        <w:rPr>
          <w:snapToGrid w:val="0"/>
        </w:rPr>
        <w:t xml:space="preserve">elevation </w:t>
      </w:r>
      <w:r>
        <w:rPr>
          <w:snapToGrid w:val="0"/>
        </w:rPr>
        <w:t xml:space="preserve">data.  Paper topographic maps are helpful for an initial indication of the surrounding terrain, but digitized topographic maps are extremely helpful for ensuring the </w:t>
      </w:r>
      <w:r w:rsidR="00F159F1">
        <w:rPr>
          <w:snapToGrid w:val="0"/>
        </w:rPr>
        <w:t xml:space="preserve">source </w:t>
      </w:r>
      <w:r>
        <w:rPr>
          <w:snapToGrid w:val="0"/>
        </w:rPr>
        <w:t xml:space="preserve">is accurately located with respect to the surrounding terrain.  </w:t>
      </w:r>
      <w:r w:rsidR="00F72BDD">
        <w:rPr>
          <w:snapToGrid w:val="0"/>
        </w:rPr>
        <w:t xml:space="preserve">AERMOD’s terrain preprocessor, </w:t>
      </w:r>
      <w:hyperlink r:id="rId163" w:anchor="aermap" w:history="1">
        <w:r w:rsidR="00F72BDD" w:rsidRPr="00C974F4">
          <w:rPr>
            <w:rStyle w:val="Hyperlink"/>
            <w:snapToGrid w:val="0"/>
          </w:rPr>
          <w:t>AERMAP</w:t>
        </w:r>
      </w:hyperlink>
      <w:r w:rsidR="00F72BDD">
        <w:rPr>
          <w:snapToGrid w:val="0"/>
        </w:rPr>
        <w:t>, utilizes digital terrain data to obtain source base and receptor elevations and is discussed below.</w:t>
      </w:r>
    </w:p>
    <w:p w14:paraId="33C8E45F" w14:textId="77777777" w:rsidR="009A01E5" w:rsidRDefault="009A01E5" w:rsidP="00407F48">
      <w:pPr>
        <w:numPr>
          <w:ilvl w:val="0"/>
          <w:numId w:val="24"/>
        </w:numPr>
        <w:spacing w:before="120" w:after="120"/>
        <w:rPr>
          <w:snapToGrid w:val="0"/>
        </w:rPr>
      </w:pPr>
      <w:r>
        <w:rPr>
          <w:snapToGrid w:val="0"/>
        </w:rPr>
        <w:t xml:space="preserve">Ensure that terrain is adequately addressed.  </w:t>
      </w:r>
    </w:p>
    <w:p w14:paraId="3CEDE542" w14:textId="77777777" w:rsidR="009A01E5" w:rsidRDefault="009A01E5" w:rsidP="00407F48">
      <w:pPr>
        <w:numPr>
          <w:ilvl w:val="0"/>
          <w:numId w:val="25"/>
        </w:numPr>
        <w:spacing w:before="120" w:after="120"/>
        <w:rPr>
          <w:snapToGrid w:val="0"/>
        </w:rPr>
      </w:pPr>
      <w:r>
        <w:rPr>
          <w:snapToGrid w:val="0"/>
        </w:rPr>
        <w:t xml:space="preserve">If the applicant has not included elevated terrain in the modeling analysis, review the location of the </w:t>
      </w:r>
      <w:r w:rsidR="00CB0F20">
        <w:rPr>
          <w:snapToGrid w:val="0"/>
        </w:rPr>
        <w:t xml:space="preserve">stationary source </w:t>
      </w:r>
      <w:r>
        <w:rPr>
          <w:snapToGrid w:val="0"/>
        </w:rPr>
        <w:t>and surrounding terrain to ensure that elevated terrain</w:t>
      </w:r>
      <w:r w:rsidR="00F72BDD">
        <w:rPr>
          <w:snapToGrid w:val="0"/>
        </w:rPr>
        <w:t xml:space="preserve"> should not influence pollutant impacts.</w:t>
      </w:r>
    </w:p>
    <w:p w14:paraId="0D80D92A" w14:textId="77777777" w:rsidR="009A01E5" w:rsidRDefault="009A01E5">
      <w:pPr>
        <w:rPr>
          <w:snapToGrid w:val="0"/>
        </w:rPr>
      </w:pPr>
      <w:r>
        <w:rPr>
          <w:snapToGrid w:val="0"/>
        </w:rPr>
        <w:t xml:space="preserve">Terrain is entered into each dispersion model in a unique manner.  Hence, each model has its unique methods and likely errors.   </w:t>
      </w:r>
    </w:p>
    <w:p w14:paraId="2317DEFA" w14:textId="77777777" w:rsidR="009A01E5" w:rsidRDefault="009A01E5" w:rsidP="00407F48">
      <w:pPr>
        <w:numPr>
          <w:ilvl w:val="0"/>
          <w:numId w:val="27"/>
        </w:numPr>
        <w:spacing w:before="120" w:after="120"/>
        <w:rPr>
          <w:snapToGrid w:val="0"/>
        </w:rPr>
      </w:pPr>
      <w:r>
        <w:rPr>
          <w:snapToGrid w:val="0"/>
        </w:rPr>
        <w:lastRenderedPageBreak/>
        <w:t xml:space="preserve">A quick way to review the receptor terrain data is to create a </w:t>
      </w:r>
      <w:r w:rsidR="0090222D">
        <w:rPr>
          <w:snapToGrid w:val="0"/>
        </w:rPr>
        <w:t>three</w:t>
      </w:r>
      <w:r>
        <w:rPr>
          <w:snapToGrid w:val="0"/>
        </w:rPr>
        <w:t xml:space="preserve">-dimensional plot showing the </w:t>
      </w:r>
      <w:r w:rsidR="0051070E">
        <w:rPr>
          <w:snapToGrid w:val="0"/>
        </w:rPr>
        <w:t xml:space="preserve">stationary source </w:t>
      </w:r>
      <w:r>
        <w:rPr>
          <w:snapToGrid w:val="0"/>
        </w:rPr>
        <w:t xml:space="preserve">location and the surrounding terrain.  </w:t>
      </w:r>
    </w:p>
    <w:p w14:paraId="65D1D191" w14:textId="77777777" w:rsidR="009A01E5" w:rsidRDefault="009A01E5">
      <w:pPr>
        <w:rPr>
          <w:snapToGrid w:val="0"/>
        </w:rPr>
      </w:pPr>
      <w:r>
        <w:rPr>
          <w:snapToGrid w:val="0"/>
        </w:rPr>
        <w:t>This may be accomplished with a graphical interface program such as SURFER graphics.</w:t>
      </w:r>
    </w:p>
    <w:p w14:paraId="3D61A315" w14:textId="77777777" w:rsidR="003C251D" w:rsidRDefault="009A01E5" w:rsidP="00407F48">
      <w:pPr>
        <w:numPr>
          <w:ilvl w:val="0"/>
          <w:numId w:val="26"/>
        </w:numPr>
        <w:spacing w:before="120" w:after="120"/>
        <w:rPr>
          <w:snapToGrid w:val="0"/>
        </w:rPr>
      </w:pPr>
      <w:r>
        <w:rPr>
          <w:snapToGrid w:val="0"/>
        </w:rPr>
        <w:t xml:space="preserve">Compare the terrain </w:t>
      </w:r>
      <w:proofErr w:type="gramStart"/>
      <w:r>
        <w:rPr>
          <w:snapToGrid w:val="0"/>
        </w:rPr>
        <w:t>entered into</w:t>
      </w:r>
      <w:proofErr w:type="gramEnd"/>
      <w:r>
        <w:rPr>
          <w:snapToGrid w:val="0"/>
        </w:rPr>
        <w:t xml:space="preserve"> the model with a topographic map to ensure it is reasonably represented.  </w:t>
      </w:r>
    </w:p>
    <w:p w14:paraId="65BA3CAF" w14:textId="659B8CE3" w:rsidR="009A01E5" w:rsidRDefault="009A01E5">
      <w:pPr>
        <w:rPr>
          <w:snapToGrid w:val="0"/>
        </w:rPr>
      </w:pPr>
      <w:bookmarkStart w:id="266" w:name="AERMAP"/>
      <w:r w:rsidRPr="00871D9D">
        <w:rPr>
          <w:snapToGrid w:val="0"/>
        </w:rPr>
        <w:t xml:space="preserve">AERMOD </w:t>
      </w:r>
      <w:r w:rsidR="0090222D" w:rsidRPr="00871D9D">
        <w:rPr>
          <w:snapToGrid w:val="0"/>
        </w:rPr>
        <w:t xml:space="preserve">uses </w:t>
      </w:r>
      <w:r w:rsidRPr="00871D9D">
        <w:rPr>
          <w:snapToGrid w:val="0"/>
        </w:rPr>
        <w:t>a terrain processor called AERMAP</w:t>
      </w:r>
      <w:bookmarkEnd w:id="266"/>
      <w:r w:rsidR="007A33FD" w:rsidRPr="00871D9D">
        <w:rPr>
          <w:snapToGrid w:val="0"/>
        </w:rPr>
        <w:t xml:space="preserve"> to process</w:t>
      </w:r>
      <w:r w:rsidR="004821FF" w:rsidRPr="00871D9D">
        <w:rPr>
          <w:snapToGrid w:val="0"/>
        </w:rPr>
        <w:t xml:space="preserve"> </w:t>
      </w:r>
      <w:r w:rsidR="00D24CBA" w:rsidRPr="00871D9D">
        <w:rPr>
          <w:snapToGrid w:val="0"/>
        </w:rPr>
        <w:t xml:space="preserve">gridded </w:t>
      </w:r>
      <w:r w:rsidR="007625DD" w:rsidRPr="00871D9D">
        <w:rPr>
          <w:snapToGrid w:val="0"/>
        </w:rPr>
        <w:t xml:space="preserve">digital </w:t>
      </w:r>
      <w:r w:rsidR="004821FF" w:rsidRPr="00871D9D">
        <w:rPr>
          <w:snapToGrid w:val="0"/>
        </w:rPr>
        <w:t xml:space="preserve">data </w:t>
      </w:r>
      <w:r w:rsidR="007625DD" w:rsidRPr="00871D9D">
        <w:rPr>
          <w:snapToGrid w:val="0"/>
        </w:rPr>
        <w:t>– either National Elevation Data (NED)</w:t>
      </w:r>
      <w:r w:rsidR="004B0B13" w:rsidRPr="00871D9D">
        <w:rPr>
          <w:snapToGrid w:val="0"/>
        </w:rPr>
        <w:t xml:space="preserve"> in a Geographic Tagged Image File Format</w:t>
      </w:r>
      <w:r w:rsidR="009E6F9A" w:rsidRPr="00871D9D">
        <w:rPr>
          <w:rStyle w:val="FootnoteReference"/>
          <w:snapToGrid w:val="0"/>
        </w:rPr>
        <w:footnoteReference w:id="94"/>
      </w:r>
      <w:r w:rsidR="004B0B13" w:rsidRPr="00871D9D">
        <w:rPr>
          <w:snapToGrid w:val="0"/>
        </w:rPr>
        <w:t xml:space="preserve"> </w:t>
      </w:r>
      <w:r w:rsidR="00294FA8" w:rsidRPr="00871D9D">
        <w:rPr>
          <w:snapToGrid w:val="0"/>
        </w:rPr>
        <w:t>(</w:t>
      </w:r>
      <w:proofErr w:type="spellStart"/>
      <w:r w:rsidR="004B0B13" w:rsidRPr="00871D9D">
        <w:rPr>
          <w:snapToGrid w:val="0"/>
        </w:rPr>
        <w:t>GeoTIFF</w:t>
      </w:r>
      <w:proofErr w:type="spellEnd"/>
      <w:r w:rsidR="004B0B13" w:rsidRPr="00871D9D">
        <w:rPr>
          <w:snapToGrid w:val="0"/>
        </w:rPr>
        <w:t xml:space="preserve">) </w:t>
      </w:r>
      <w:r w:rsidR="007625DD" w:rsidRPr="00871D9D">
        <w:rPr>
          <w:snapToGrid w:val="0"/>
        </w:rPr>
        <w:t>or Digital Elevation Model (DEM) data</w:t>
      </w:r>
      <w:r w:rsidR="007A33FD" w:rsidRPr="00871D9D">
        <w:rPr>
          <w:snapToGrid w:val="0"/>
        </w:rPr>
        <w:t xml:space="preserve">.  </w:t>
      </w:r>
      <w:r w:rsidR="005A7EA6" w:rsidRPr="00871D9D">
        <w:rPr>
          <w:snapToGrid w:val="0"/>
        </w:rPr>
        <w:t xml:space="preserve"> </w:t>
      </w:r>
      <w:r w:rsidR="00D24CBA" w:rsidRPr="00871D9D">
        <w:rPr>
          <w:snapToGrid w:val="0"/>
        </w:rPr>
        <w:t xml:space="preserve">AERMAP extracts </w:t>
      </w:r>
      <w:r w:rsidR="00ED104E">
        <w:rPr>
          <w:snapToGrid w:val="0"/>
        </w:rPr>
        <w:t>EU</w:t>
      </w:r>
      <w:r w:rsidR="005A7EA6" w:rsidRPr="00871D9D">
        <w:rPr>
          <w:snapToGrid w:val="0"/>
        </w:rPr>
        <w:t xml:space="preserve"> base eleva</w:t>
      </w:r>
      <w:r w:rsidR="005A7EA6">
        <w:rPr>
          <w:snapToGrid w:val="0"/>
        </w:rPr>
        <w:t>t</w:t>
      </w:r>
      <w:r w:rsidR="005A7EA6" w:rsidRPr="00871D9D">
        <w:rPr>
          <w:snapToGrid w:val="0"/>
        </w:rPr>
        <w:t xml:space="preserve">ions and receptor elevations </w:t>
      </w:r>
      <w:r w:rsidR="00D24CBA" w:rsidRPr="00871D9D">
        <w:rPr>
          <w:snapToGrid w:val="0"/>
        </w:rPr>
        <w:t>from the digita</w:t>
      </w:r>
      <w:r w:rsidR="007B5285" w:rsidRPr="00871D9D">
        <w:rPr>
          <w:snapToGrid w:val="0"/>
        </w:rPr>
        <w:t xml:space="preserve">l data </w:t>
      </w:r>
      <w:r w:rsidR="00D24CBA" w:rsidRPr="00871D9D">
        <w:rPr>
          <w:snapToGrid w:val="0"/>
        </w:rPr>
        <w:t>for use in AERMOD</w:t>
      </w:r>
      <w:r w:rsidR="005A7EA6" w:rsidRPr="00871D9D">
        <w:rPr>
          <w:snapToGrid w:val="0"/>
        </w:rPr>
        <w:t xml:space="preserve">.  </w:t>
      </w:r>
      <w:r w:rsidR="007B5285" w:rsidRPr="00871D9D">
        <w:rPr>
          <w:snapToGrid w:val="0"/>
        </w:rPr>
        <w:t>This approach of using digital data provides consistency in extracting and processing terrain data.   For e</w:t>
      </w:r>
      <w:r w:rsidR="007B5285">
        <w:rPr>
          <w:snapToGrid w:val="0"/>
        </w:rPr>
        <w:t>xample, e</w:t>
      </w:r>
      <w:r>
        <w:rPr>
          <w:snapToGrid w:val="0"/>
        </w:rPr>
        <w:t xml:space="preserve">rrors </w:t>
      </w:r>
      <w:r w:rsidR="007B5285">
        <w:rPr>
          <w:snapToGrid w:val="0"/>
        </w:rPr>
        <w:t xml:space="preserve">in the modeling results </w:t>
      </w:r>
      <w:proofErr w:type="gramStart"/>
      <w:r>
        <w:rPr>
          <w:snapToGrid w:val="0"/>
        </w:rPr>
        <w:t>have occurred</w:t>
      </w:r>
      <w:proofErr w:type="gramEnd"/>
      <w:r>
        <w:rPr>
          <w:snapToGrid w:val="0"/>
        </w:rPr>
        <w:t xml:space="preserve"> when the applicant didn’t specify the correct source base elevations.</w:t>
      </w:r>
    </w:p>
    <w:p w14:paraId="34B70088" w14:textId="77777777" w:rsidR="007E3010" w:rsidRDefault="005A7EA6" w:rsidP="00D24CBA">
      <w:pPr>
        <w:autoSpaceDE w:val="0"/>
        <w:autoSpaceDN w:val="0"/>
        <w:adjustRightInd w:val="0"/>
        <w:rPr>
          <w:snapToGrid w:val="0"/>
        </w:rPr>
      </w:pPr>
      <w:r w:rsidRPr="00E20A5B">
        <w:rPr>
          <w:snapToGrid w:val="0"/>
        </w:rPr>
        <w:t>AERMAP also calculates</w:t>
      </w:r>
      <w:r w:rsidR="00C85B58" w:rsidRPr="00C85B58">
        <w:rPr>
          <w:snapToGrid w:val="0"/>
        </w:rPr>
        <w:t xml:space="preserve"> a scale height, within </w:t>
      </w:r>
      <w:r w:rsidR="007B5285">
        <w:rPr>
          <w:snapToGrid w:val="0"/>
        </w:rPr>
        <w:t>a user-specified</w:t>
      </w:r>
      <w:r w:rsidR="00C85B58" w:rsidRPr="00C85B58">
        <w:rPr>
          <w:snapToGrid w:val="0"/>
        </w:rPr>
        <w:t xml:space="preserve"> domain or </w:t>
      </w:r>
      <w:r w:rsidR="007B5285">
        <w:rPr>
          <w:snapToGrid w:val="0"/>
        </w:rPr>
        <w:t xml:space="preserve">the </w:t>
      </w:r>
      <w:r w:rsidR="00C85B58" w:rsidRPr="00C85B58">
        <w:rPr>
          <w:snapToGrid w:val="0"/>
        </w:rPr>
        <w:t xml:space="preserve">entire extent of all elevation data if a domain is not specified, for each receptor location.  </w:t>
      </w:r>
      <w:r w:rsidR="00D24CBA">
        <w:rPr>
          <w:snapToGrid w:val="0"/>
        </w:rPr>
        <w:t xml:space="preserve">This scale height </w:t>
      </w:r>
      <w:r w:rsidR="00D24CBA">
        <w:t>characterizes the height of the surrounding terrain that most dominates the</w:t>
      </w:r>
      <w:r w:rsidR="00C62402">
        <w:t xml:space="preserve"> </w:t>
      </w:r>
      <w:r w:rsidR="00D24CBA">
        <w:t>flow in the vicinity of the receptor</w:t>
      </w:r>
      <w:r w:rsidR="00C62402">
        <w:t xml:space="preserve"> and </w:t>
      </w:r>
      <w:r w:rsidR="00C62402">
        <w:rPr>
          <w:snapToGrid w:val="0"/>
        </w:rPr>
        <w:t>influences pollutant impact at a receptor</w:t>
      </w:r>
      <w:r w:rsidR="00D24CBA">
        <w:t>.</w:t>
      </w:r>
      <w:r w:rsidR="00D24CBA">
        <w:rPr>
          <w:snapToGrid w:val="0"/>
        </w:rPr>
        <w:t xml:space="preserve">  </w:t>
      </w:r>
    </w:p>
    <w:p w14:paraId="6B9C3E04" w14:textId="425281E2" w:rsidR="007E3010" w:rsidRDefault="00C85B58" w:rsidP="00D24CBA">
      <w:pPr>
        <w:autoSpaceDE w:val="0"/>
        <w:autoSpaceDN w:val="0"/>
        <w:adjustRightInd w:val="0"/>
        <w:rPr>
          <w:snapToGrid w:val="0"/>
        </w:rPr>
      </w:pPr>
      <w:r w:rsidRPr="00C85B58">
        <w:rPr>
          <w:snapToGrid w:val="0"/>
        </w:rPr>
        <w:t xml:space="preserve">However, the calculation of scale height is independent of direction (i.e. the scale height can be in any direction from the receptor), and therefore errors can occur by using a scale height that is not appropriate for the receptor.  This is particularly true when </w:t>
      </w:r>
      <w:r w:rsidR="003D3393">
        <w:rPr>
          <w:snapToGrid w:val="0"/>
        </w:rPr>
        <w:t xml:space="preserve">individual </w:t>
      </w:r>
      <w:r w:rsidRPr="00C85B58">
        <w:rPr>
          <w:snapToGrid w:val="0"/>
        </w:rPr>
        <w:t xml:space="preserve">large terrain features are included in domain.  </w:t>
      </w:r>
      <w:r w:rsidR="007E3010">
        <w:rPr>
          <w:snapToGrid w:val="0"/>
        </w:rPr>
        <w:t>Although the AERMAP User’s Guide suggests including all terrain features exceeding a 10</w:t>
      </w:r>
      <w:r w:rsidR="008C3F11">
        <w:rPr>
          <w:snapToGrid w:val="0"/>
        </w:rPr>
        <w:t xml:space="preserve"> percent</w:t>
      </w:r>
      <w:r w:rsidR="007E3010">
        <w:rPr>
          <w:snapToGrid w:val="0"/>
        </w:rPr>
        <w:t xml:space="preserve"> elevation slope from any given receptor, this can lead to excessively large domains with many terrain features.  Judgment must be used on how to specify an appropriate domain extent.</w:t>
      </w:r>
    </w:p>
    <w:p w14:paraId="64040CC6" w14:textId="77777777" w:rsidR="005A7EA6" w:rsidRDefault="00C85B58" w:rsidP="00D24CBA">
      <w:pPr>
        <w:autoSpaceDE w:val="0"/>
        <w:autoSpaceDN w:val="0"/>
        <w:adjustRightInd w:val="0"/>
        <w:rPr>
          <w:snapToGrid w:val="0"/>
        </w:rPr>
      </w:pPr>
      <w:r w:rsidRPr="00C85B58">
        <w:rPr>
          <w:snapToGrid w:val="0"/>
        </w:rPr>
        <w:t xml:space="preserve">There are two options to </w:t>
      </w:r>
      <w:r w:rsidR="007E3010">
        <w:rPr>
          <w:snapToGrid w:val="0"/>
        </w:rPr>
        <w:t xml:space="preserve">help </w:t>
      </w:r>
      <w:r w:rsidRPr="00C85B58">
        <w:rPr>
          <w:snapToGrid w:val="0"/>
        </w:rPr>
        <w:t>avoid this problem.  I</w:t>
      </w:r>
      <w:r w:rsidR="00E20A5B" w:rsidRPr="00E20A5B">
        <w:t>n rare situations involving prominent terrain features which would be selected as the hill height scale beyond a reasonable range of influence, the user can specify the domain options to exclude such features from the analysis</w:t>
      </w:r>
      <w:r w:rsidR="006564A6">
        <w:t xml:space="preserve">.  </w:t>
      </w:r>
      <w:r w:rsidR="00E20A5B" w:rsidRPr="00E20A5B">
        <w:t xml:space="preserve">Alternatively, </w:t>
      </w:r>
      <w:r w:rsidR="005A7EA6" w:rsidRPr="00E20A5B">
        <w:rPr>
          <w:snapToGrid w:val="0"/>
        </w:rPr>
        <w:t xml:space="preserve">the user </w:t>
      </w:r>
      <w:r w:rsidR="00E20A5B" w:rsidRPr="00E20A5B">
        <w:rPr>
          <w:snapToGrid w:val="0"/>
        </w:rPr>
        <w:t>c</w:t>
      </w:r>
      <w:r w:rsidRPr="00C85B58">
        <w:rPr>
          <w:snapToGrid w:val="0"/>
        </w:rPr>
        <w:t xml:space="preserve">ould limit the receptor grid in AERMAP to a specific terrain </w:t>
      </w:r>
      <w:proofErr w:type="gramStart"/>
      <w:r w:rsidRPr="00C85B58">
        <w:rPr>
          <w:snapToGrid w:val="0"/>
        </w:rPr>
        <w:t>feature, and</w:t>
      </w:r>
      <w:proofErr w:type="gramEnd"/>
      <w:r w:rsidRPr="00C85B58">
        <w:rPr>
          <w:snapToGrid w:val="0"/>
        </w:rPr>
        <w:t xml:space="preserve"> then assemble the individual AERMAP output files for use in AERMOD.</w:t>
      </w:r>
      <w:r w:rsidR="007E3010">
        <w:rPr>
          <w:snapToGrid w:val="0"/>
        </w:rPr>
        <w:t xml:space="preserve"> </w:t>
      </w:r>
    </w:p>
    <w:p w14:paraId="0A6AE25F" w14:textId="77777777" w:rsidR="00BB5369" w:rsidRDefault="00BB5369" w:rsidP="00230FCD">
      <w:pPr>
        <w:pStyle w:val="CheckReminder"/>
      </w:pPr>
      <w:r>
        <w:t>A scale height can never be below a receptor height.</w:t>
      </w:r>
    </w:p>
    <w:p w14:paraId="417B1334" w14:textId="77777777" w:rsidR="009A01E5" w:rsidRDefault="009A01E5" w:rsidP="00230FCD">
      <w:pPr>
        <w:pStyle w:val="CheckReminder"/>
      </w:pPr>
      <w:r>
        <w:t xml:space="preserve">No matter which </w:t>
      </w:r>
      <w:r w:rsidR="007B5285">
        <w:t xml:space="preserve">dispersion </w:t>
      </w:r>
      <w:r>
        <w:t>model is used, if elevated terrain is present, also ensure that the proper model switches were selected and not overridden by flat terrain modeling options.</w:t>
      </w:r>
    </w:p>
    <w:p w14:paraId="5AC711D7" w14:textId="77777777" w:rsidR="00EB7073" w:rsidRDefault="00EB7073">
      <w:pPr>
        <w:spacing w:after="0"/>
        <w:rPr>
          <w:snapToGrid w:val="0"/>
        </w:rPr>
      </w:pPr>
      <w:r>
        <w:rPr>
          <w:snapToGrid w:val="0"/>
        </w:rPr>
        <w:br w:type="page"/>
      </w:r>
    </w:p>
    <w:p w14:paraId="6A939E7B" w14:textId="41AE678B" w:rsidR="003676F0" w:rsidRDefault="003676F0" w:rsidP="004F4DF8">
      <w:pPr>
        <w:rPr>
          <w:snapToGrid w:val="0"/>
        </w:rPr>
      </w:pPr>
      <w:r>
        <w:rPr>
          <w:snapToGrid w:val="0"/>
        </w:rPr>
        <w:lastRenderedPageBreak/>
        <w:t xml:space="preserve">Several output files are produced by AERMAP.  These include: </w:t>
      </w:r>
    </w:p>
    <w:p w14:paraId="3C33BBB6" w14:textId="77777777" w:rsidR="003676F0" w:rsidRDefault="003676F0" w:rsidP="006676B6">
      <w:pPr>
        <w:pStyle w:val="ListParagraph"/>
        <w:numPr>
          <w:ilvl w:val="0"/>
          <w:numId w:val="48"/>
        </w:numPr>
        <w:spacing w:after="60"/>
        <w:contextualSpacing w:val="0"/>
        <w:rPr>
          <w:snapToGrid w:val="0"/>
        </w:rPr>
      </w:pPr>
      <w:r>
        <w:rPr>
          <w:snapToGrid w:val="0"/>
        </w:rPr>
        <w:t xml:space="preserve">AERMAP.OUT – standard output with input echoed, </w:t>
      </w:r>
      <w:r w:rsidR="00E50CAF">
        <w:rPr>
          <w:snapToGrid w:val="0"/>
        </w:rPr>
        <w:t xml:space="preserve">summary of setup options, and </w:t>
      </w:r>
      <w:r>
        <w:rPr>
          <w:snapToGrid w:val="0"/>
        </w:rPr>
        <w:t xml:space="preserve">warning </w:t>
      </w:r>
      <w:proofErr w:type="gramStart"/>
      <w:r>
        <w:rPr>
          <w:snapToGrid w:val="0"/>
        </w:rPr>
        <w:t>messages</w:t>
      </w:r>
      <w:r w:rsidR="00E50CAF">
        <w:rPr>
          <w:snapToGrid w:val="0"/>
        </w:rPr>
        <w:t>;</w:t>
      </w:r>
      <w:proofErr w:type="gramEnd"/>
    </w:p>
    <w:p w14:paraId="27B50598" w14:textId="77777777" w:rsidR="00E50CAF" w:rsidRDefault="00E50CAF" w:rsidP="006676B6">
      <w:pPr>
        <w:pStyle w:val="ListParagraph"/>
        <w:numPr>
          <w:ilvl w:val="0"/>
          <w:numId w:val="48"/>
        </w:numPr>
        <w:spacing w:after="60"/>
        <w:contextualSpacing w:val="0"/>
        <w:rPr>
          <w:snapToGrid w:val="0"/>
        </w:rPr>
      </w:pPr>
      <w:r>
        <w:rPr>
          <w:snapToGrid w:val="0"/>
        </w:rPr>
        <w:t xml:space="preserve">DOMDETAIL.OUT – domain information and </w:t>
      </w:r>
      <w:proofErr w:type="gramStart"/>
      <w:r>
        <w:rPr>
          <w:snapToGrid w:val="0"/>
        </w:rPr>
        <w:t>whether or not</w:t>
      </w:r>
      <w:proofErr w:type="gramEnd"/>
      <w:r>
        <w:rPr>
          <w:snapToGrid w:val="0"/>
        </w:rPr>
        <w:t xml:space="preserve"> the corners that define the domain are inside or outside the digital terrain </w:t>
      </w:r>
      <w:proofErr w:type="gramStart"/>
      <w:r>
        <w:rPr>
          <w:snapToGrid w:val="0"/>
        </w:rPr>
        <w:t>file;</w:t>
      </w:r>
      <w:proofErr w:type="gramEnd"/>
    </w:p>
    <w:p w14:paraId="66A44ED7" w14:textId="77777777" w:rsidR="00E50CAF" w:rsidRDefault="00E50CAF" w:rsidP="006676B6">
      <w:pPr>
        <w:pStyle w:val="ListParagraph"/>
        <w:numPr>
          <w:ilvl w:val="0"/>
          <w:numId w:val="48"/>
        </w:numPr>
        <w:spacing w:after="60"/>
        <w:contextualSpacing w:val="0"/>
        <w:rPr>
          <w:snapToGrid w:val="0"/>
        </w:rPr>
      </w:pPr>
      <w:r>
        <w:rPr>
          <w:snapToGrid w:val="0"/>
        </w:rPr>
        <w:t xml:space="preserve">MAPDETAIL – some additional </w:t>
      </w:r>
      <w:proofErr w:type="gramStart"/>
      <w:r>
        <w:rPr>
          <w:snapToGrid w:val="0"/>
        </w:rPr>
        <w:t>details;</w:t>
      </w:r>
      <w:proofErr w:type="gramEnd"/>
    </w:p>
    <w:p w14:paraId="487177E7" w14:textId="77777777" w:rsidR="00E50CAF" w:rsidRDefault="00E50CAF" w:rsidP="006676B6">
      <w:pPr>
        <w:pStyle w:val="ListParagraph"/>
        <w:numPr>
          <w:ilvl w:val="0"/>
          <w:numId w:val="48"/>
        </w:numPr>
        <w:spacing w:after="60"/>
        <w:contextualSpacing w:val="0"/>
        <w:rPr>
          <w:snapToGrid w:val="0"/>
        </w:rPr>
      </w:pPr>
      <w:r>
        <w:rPr>
          <w:snapToGrid w:val="0"/>
        </w:rPr>
        <w:t xml:space="preserve">MAPPARAMS – map </w:t>
      </w:r>
      <w:proofErr w:type="gramStart"/>
      <w:r>
        <w:rPr>
          <w:snapToGrid w:val="0"/>
        </w:rPr>
        <w:t>parameters;</w:t>
      </w:r>
      <w:proofErr w:type="gramEnd"/>
    </w:p>
    <w:p w14:paraId="4411C50A" w14:textId="77777777" w:rsidR="00E50CAF" w:rsidRDefault="00E50CAF" w:rsidP="00407F48">
      <w:pPr>
        <w:pStyle w:val="ListParagraph"/>
        <w:numPr>
          <w:ilvl w:val="0"/>
          <w:numId w:val="48"/>
        </w:numPr>
        <w:rPr>
          <w:snapToGrid w:val="0"/>
        </w:rPr>
      </w:pPr>
      <w:r>
        <w:rPr>
          <w:snapToGrid w:val="0"/>
        </w:rPr>
        <w:t>Receptor and/or source output file(s) with terrain heights and for the receptors, the scale height.</w:t>
      </w:r>
    </w:p>
    <w:p w14:paraId="78C0EE97" w14:textId="77777777" w:rsidR="00E50CAF" w:rsidRDefault="00E50CAF" w:rsidP="00407F48">
      <w:pPr>
        <w:numPr>
          <w:ilvl w:val="0"/>
          <w:numId w:val="31"/>
        </w:numPr>
        <w:spacing w:before="120" w:after="120"/>
        <w:rPr>
          <w:snapToGrid w:val="0"/>
        </w:rPr>
      </w:pPr>
      <w:r>
        <w:rPr>
          <w:snapToGrid w:val="0"/>
        </w:rPr>
        <w:t>Review each of these output files, looking for signs that a problem existed with the AERMAP run.  Confirm that the input parameters that are echoed to an output file are appropriate for the modeling demonstration.</w:t>
      </w:r>
    </w:p>
    <w:p w14:paraId="1C8E0E85" w14:textId="77777777" w:rsidR="009A01E5" w:rsidRDefault="009E7738" w:rsidP="00AD5C0A">
      <w:pPr>
        <w:pStyle w:val="Heading3"/>
        <w:rPr>
          <w:snapToGrid w:val="0"/>
        </w:rPr>
      </w:pPr>
      <w:bookmarkStart w:id="267" w:name="_Toc43521222"/>
      <w:bookmarkStart w:id="268" w:name="Receptors"/>
      <w:r>
        <w:rPr>
          <w:snapToGrid w:val="0"/>
        </w:rPr>
        <w:tab/>
      </w:r>
      <w:bookmarkStart w:id="269" w:name="_Toc526778294"/>
      <w:r w:rsidR="009A01E5">
        <w:rPr>
          <w:snapToGrid w:val="0"/>
        </w:rPr>
        <w:t>Receptor Grid</w:t>
      </w:r>
      <w:bookmarkEnd w:id="267"/>
      <w:r w:rsidR="00FD061F">
        <w:rPr>
          <w:snapToGrid w:val="0"/>
        </w:rPr>
        <w:t xml:space="preserve"> Location and Density</w:t>
      </w:r>
      <w:bookmarkEnd w:id="269"/>
    </w:p>
    <w:bookmarkEnd w:id="268"/>
    <w:p w14:paraId="10CFBAF1" w14:textId="3A3414F6" w:rsidR="00FD061F" w:rsidRDefault="005B799A" w:rsidP="001842A6">
      <w:pPr>
        <w:rPr>
          <w:snapToGrid w:val="0"/>
        </w:rPr>
      </w:pPr>
      <w:r>
        <w:rPr>
          <w:snapToGrid w:val="0"/>
        </w:rPr>
        <w:t xml:space="preserve">Receptor placement is discussed in Section 9.2.2 of the </w:t>
      </w:r>
      <w:hyperlink r:id="rId164" w:history="1">
        <w:r w:rsidRPr="00C42099">
          <w:rPr>
            <w:rStyle w:val="Hyperlink"/>
            <w:snapToGrid w:val="0"/>
          </w:rPr>
          <w:t>Guideline</w:t>
        </w:r>
      </w:hyperlink>
      <w:r>
        <w:rPr>
          <w:snapToGrid w:val="0"/>
        </w:rPr>
        <w:t xml:space="preserve">.  </w:t>
      </w:r>
      <w:r w:rsidR="002B4A74">
        <w:rPr>
          <w:snapToGrid w:val="0"/>
        </w:rPr>
        <w:t xml:space="preserve">You will need to evaluate the applicant’s receptor placement to determine whether it has </w:t>
      </w:r>
      <w:r w:rsidR="00341765">
        <w:rPr>
          <w:snapToGrid w:val="0"/>
        </w:rPr>
        <w:t xml:space="preserve">sufficient range and density to find the maximum </w:t>
      </w:r>
      <w:proofErr w:type="gramStart"/>
      <w:r w:rsidR="008D332E">
        <w:rPr>
          <w:snapToGrid w:val="0"/>
        </w:rPr>
        <w:t>i</w:t>
      </w:r>
      <w:r w:rsidR="00341765">
        <w:rPr>
          <w:snapToGrid w:val="0"/>
        </w:rPr>
        <w:t>mpact</w:t>
      </w:r>
      <w:r w:rsidR="002B4A74">
        <w:rPr>
          <w:snapToGrid w:val="0"/>
        </w:rPr>
        <w:t>s</w:t>
      </w:r>
      <w:proofErr w:type="gramEnd"/>
      <w:r w:rsidR="00341765">
        <w:rPr>
          <w:snapToGrid w:val="0"/>
        </w:rPr>
        <w:t xml:space="preserve">.  </w:t>
      </w:r>
      <w:r w:rsidR="002B4A74">
        <w:rPr>
          <w:snapToGrid w:val="0"/>
        </w:rPr>
        <w:t xml:space="preserve">Increasing the receptor range and density will obviously lead to greater confidence that the maximum impacts are found, </w:t>
      </w:r>
      <w:r w:rsidR="001842A6">
        <w:rPr>
          <w:snapToGrid w:val="0"/>
        </w:rPr>
        <w:t>but</w:t>
      </w:r>
      <w:r w:rsidR="002B4A74">
        <w:rPr>
          <w:snapToGrid w:val="0"/>
        </w:rPr>
        <w:t xml:space="preserve"> an </w:t>
      </w:r>
      <w:r w:rsidR="00341765">
        <w:rPr>
          <w:snapToGrid w:val="0"/>
        </w:rPr>
        <w:t xml:space="preserve">excessive number of receptors </w:t>
      </w:r>
      <w:r>
        <w:rPr>
          <w:snapToGrid w:val="0"/>
        </w:rPr>
        <w:t xml:space="preserve">can </w:t>
      </w:r>
      <w:r w:rsidR="001842A6">
        <w:rPr>
          <w:snapToGrid w:val="0"/>
        </w:rPr>
        <w:t xml:space="preserve">substantially </w:t>
      </w:r>
      <w:r w:rsidR="00341765">
        <w:rPr>
          <w:snapToGrid w:val="0"/>
        </w:rPr>
        <w:t xml:space="preserve">slow down the computer run-time </w:t>
      </w:r>
      <w:r>
        <w:rPr>
          <w:snapToGrid w:val="0"/>
        </w:rPr>
        <w:t>without providing s</w:t>
      </w:r>
      <w:r w:rsidR="001842A6">
        <w:rPr>
          <w:snapToGrid w:val="0"/>
        </w:rPr>
        <w:t>ignificantly</w:t>
      </w:r>
      <w:r>
        <w:rPr>
          <w:snapToGrid w:val="0"/>
        </w:rPr>
        <w:t xml:space="preserve"> different results</w:t>
      </w:r>
      <w:r w:rsidR="002B4A74">
        <w:rPr>
          <w:snapToGrid w:val="0"/>
        </w:rPr>
        <w:t>.</w:t>
      </w:r>
      <w:r w:rsidR="001842A6">
        <w:rPr>
          <w:snapToGrid w:val="0"/>
        </w:rPr>
        <w:t xml:space="preserve">  We therefore want to be reasonable when evaluating the receptor grid. </w:t>
      </w:r>
      <w:r w:rsidR="002B4A74">
        <w:rPr>
          <w:snapToGrid w:val="0"/>
        </w:rPr>
        <w:t xml:space="preserve"> </w:t>
      </w:r>
    </w:p>
    <w:p w14:paraId="0C4372FD" w14:textId="5BE3DC7D" w:rsidR="00FD061F" w:rsidRPr="00FD061F" w:rsidRDefault="00FD061F" w:rsidP="00FD061F">
      <w:pPr>
        <w:rPr>
          <w:snapToGrid w:val="0"/>
        </w:rPr>
      </w:pPr>
      <w:r w:rsidRPr="00FD061F">
        <w:rPr>
          <w:snapToGrid w:val="0"/>
        </w:rPr>
        <w:t xml:space="preserve">Applicants should provide a site plan that shows the </w:t>
      </w:r>
      <w:r w:rsidR="00ED104E">
        <w:rPr>
          <w:snapToGrid w:val="0"/>
        </w:rPr>
        <w:t>EU</w:t>
      </w:r>
      <w:r w:rsidRPr="00FD061F">
        <w:rPr>
          <w:snapToGrid w:val="0"/>
        </w:rPr>
        <w:t xml:space="preserve"> locations, structures, fence lines, property boundaries</w:t>
      </w:r>
      <w:r>
        <w:rPr>
          <w:snapToGrid w:val="0"/>
        </w:rPr>
        <w:t>,</w:t>
      </w:r>
      <w:r w:rsidRPr="00FD061F">
        <w:rPr>
          <w:snapToGrid w:val="0"/>
        </w:rPr>
        <w:t xml:space="preserve"> and ambient </w:t>
      </w:r>
      <w:proofErr w:type="gramStart"/>
      <w:r w:rsidRPr="00FD061F">
        <w:rPr>
          <w:snapToGrid w:val="0"/>
        </w:rPr>
        <w:t>boundary</w:t>
      </w:r>
      <w:proofErr w:type="gramEnd"/>
      <w:r w:rsidRPr="00FD061F">
        <w:rPr>
          <w:snapToGrid w:val="0"/>
        </w:rPr>
        <w:t xml:space="preserve"> (as applicable).  The receptor grid must start at the ambient air boundary</w:t>
      </w:r>
      <w:r w:rsidR="001842A6">
        <w:rPr>
          <w:snapToGrid w:val="0"/>
        </w:rPr>
        <w:t>, not beyond it</w:t>
      </w:r>
      <w:r w:rsidRPr="00FD061F">
        <w:rPr>
          <w:snapToGrid w:val="0"/>
        </w:rPr>
        <w:t xml:space="preserve">. </w:t>
      </w:r>
      <w:r w:rsidR="001842A6">
        <w:rPr>
          <w:snapToGrid w:val="0"/>
        </w:rPr>
        <w:t xml:space="preserve"> Applicants are not required to include receptors at non-ambient air locations and doing so actually makes it harder for us to review their modeling results, since the model summary tables may include non-applicable values. </w:t>
      </w:r>
      <w:r w:rsidR="00BD7138">
        <w:rPr>
          <w:snapToGrid w:val="0"/>
        </w:rPr>
        <w:t xml:space="preserve"> The receptor grid should also be limited to just the modeling domain (see Section </w:t>
      </w:r>
      <w:r w:rsidR="00BD7138">
        <w:rPr>
          <w:snapToGrid w:val="0"/>
        </w:rPr>
        <w:fldChar w:fldCharType="begin"/>
      </w:r>
      <w:r w:rsidR="00BD7138">
        <w:rPr>
          <w:snapToGrid w:val="0"/>
        </w:rPr>
        <w:instrText xml:space="preserve"> REF _Ref490479971 \w \h </w:instrText>
      </w:r>
      <w:r w:rsidR="00BD7138">
        <w:rPr>
          <w:snapToGrid w:val="0"/>
        </w:rPr>
      </w:r>
      <w:r w:rsidR="00BD7138">
        <w:rPr>
          <w:snapToGrid w:val="0"/>
        </w:rPr>
        <w:fldChar w:fldCharType="separate"/>
      </w:r>
      <w:r w:rsidR="00135FFD">
        <w:rPr>
          <w:snapToGrid w:val="0"/>
        </w:rPr>
        <w:t>2.1.3</w:t>
      </w:r>
      <w:r w:rsidR="00BD7138">
        <w:rPr>
          <w:snapToGrid w:val="0"/>
        </w:rPr>
        <w:fldChar w:fldCharType="end"/>
      </w:r>
      <w:r w:rsidR="00BD7138">
        <w:rPr>
          <w:snapToGrid w:val="0"/>
        </w:rPr>
        <w:t xml:space="preserve">) rather than extending beyond it. </w:t>
      </w:r>
    </w:p>
    <w:p w14:paraId="7CA89314" w14:textId="0B904504" w:rsidR="009A01E5" w:rsidRPr="00255578" w:rsidRDefault="009A01E5" w:rsidP="00255578">
      <w:pPr>
        <w:numPr>
          <w:ilvl w:val="0"/>
          <w:numId w:val="29"/>
        </w:numPr>
        <w:spacing w:before="120" w:after="120"/>
        <w:rPr>
          <w:snapToGrid w:val="0"/>
        </w:rPr>
      </w:pPr>
      <w:r>
        <w:rPr>
          <w:snapToGrid w:val="0"/>
        </w:rPr>
        <w:t>Create a plot of the receptor grid to make certain that the ambient air boundary has been correctly represented</w:t>
      </w:r>
      <w:r w:rsidR="00BD7138">
        <w:rPr>
          <w:snapToGrid w:val="0"/>
        </w:rPr>
        <w:t>, and that the receptor range and density is reasonable</w:t>
      </w:r>
      <w:r>
        <w:rPr>
          <w:snapToGrid w:val="0"/>
        </w:rPr>
        <w:t xml:space="preserve">.  </w:t>
      </w:r>
      <w:r w:rsidR="00D0375C">
        <w:rPr>
          <w:snapToGrid w:val="0"/>
        </w:rPr>
        <w:t xml:space="preserve">The BEEST program, or a similar GUI, can be used to accomplish this task when reviewing an AERMOD analysis.  </w:t>
      </w:r>
    </w:p>
    <w:p w14:paraId="50632A15" w14:textId="2D3F9C36" w:rsidR="009A01E5" w:rsidRDefault="008523EB">
      <w:pPr>
        <w:rPr>
          <w:snapToGrid w:val="0"/>
        </w:rPr>
      </w:pPr>
      <w:r>
        <w:rPr>
          <w:snapToGrid w:val="0"/>
        </w:rPr>
        <w:t xml:space="preserve">By creating a plot of the receptor grid, ambient boundary, and </w:t>
      </w:r>
      <w:r w:rsidR="00ED104E">
        <w:rPr>
          <w:snapToGrid w:val="0"/>
        </w:rPr>
        <w:t>EU</w:t>
      </w:r>
      <w:r w:rsidR="00D0375C">
        <w:rPr>
          <w:snapToGrid w:val="0"/>
        </w:rPr>
        <w:t xml:space="preserve"> location</w:t>
      </w:r>
      <w:r>
        <w:rPr>
          <w:snapToGrid w:val="0"/>
        </w:rPr>
        <w:t>s, e</w:t>
      </w:r>
      <w:r w:rsidR="009A01E5">
        <w:rPr>
          <w:snapToGrid w:val="0"/>
        </w:rPr>
        <w:t xml:space="preserve">rrors in receptor grid definitions </w:t>
      </w:r>
      <w:r w:rsidR="00D0375C">
        <w:rPr>
          <w:snapToGrid w:val="0"/>
        </w:rPr>
        <w:t xml:space="preserve">or EU locations </w:t>
      </w:r>
      <w:r w:rsidR="009A01E5">
        <w:rPr>
          <w:snapToGrid w:val="0"/>
        </w:rPr>
        <w:t xml:space="preserve">will immediately become </w:t>
      </w:r>
      <w:proofErr w:type="gramStart"/>
      <w:r w:rsidR="009A01E5">
        <w:rPr>
          <w:snapToGrid w:val="0"/>
        </w:rPr>
        <w:t>evident;</w:t>
      </w:r>
      <w:proofErr w:type="gramEnd"/>
      <w:r w:rsidR="009A01E5">
        <w:rPr>
          <w:snapToGrid w:val="0"/>
        </w:rPr>
        <w:t xml:space="preserve"> e.g., if the grid is located too far away from the facility, if </w:t>
      </w:r>
      <w:r w:rsidR="00FD061F">
        <w:rPr>
          <w:snapToGrid w:val="0"/>
        </w:rPr>
        <w:t xml:space="preserve">the grid is incomplete, if the </w:t>
      </w:r>
      <w:r w:rsidR="00ED104E">
        <w:rPr>
          <w:snapToGrid w:val="0"/>
        </w:rPr>
        <w:t>EU</w:t>
      </w:r>
      <w:r w:rsidR="00FD061F">
        <w:rPr>
          <w:snapToGrid w:val="0"/>
        </w:rPr>
        <w:t>s</w:t>
      </w:r>
      <w:r w:rsidR="009A01E5">
        <w:rPr>
          <w:snapToGrid w:val="0"/>
        </w:rPr>
        <w:t xml:space="preserve"> are located outside of the facility boundary.  The </w:t>
      </w:r>
      <w:r w:rsidR="00FD061F">
        <w:rPr>
          <w:snapToGrid w:val="0"/>
        </w:rPr>
        <w:t>ambient</w:t>
      </w:r>
      <w:r w:rsidR="009A01E5">
        <w:rPr>
          <w:snapToGrid w:val="0"/>
        </w:rPr>
        <w:t xml:space="preserve"> boundary shown in the grid should accurately represent the </w:t>
      </w:r>
      <w:r w:rsidR="00FD061F">
        <w:rPr>
          <w:snapToGrid w:val="0"/>
        </w:rPr>
        <w:t xml:space="preserve">ambient </w:t>
      </w:r>
      <w:r w:rsidR="009A01E5">
        <w:rPr>
          <w:snapToGrid w:val="0"/>
        </w:rPr>
        <w:t>boundary as shown in figures in the modeling report.</w:t>
      </w:r>
    </w:p>
    <w:p w14:paraId="0752516E" w14:textId="2D315CAB" w:rsidR="009A01E5" w:rsidRDefault="004C1659">
      <w:pPr>
        <w:rPr>
          <w:snapToGrid w:val="0"/>
        </w:rPr>
      </w:pPr>
      <w:r>
        <w:rPr>
          <w:snapToGrid w:val="0"/>
        </w:rPr>
        <w:t>If</w:t>
      </w:r>
      <w:r w:rsidR="009A01E5">
        <w:rPr>
          <w:snapToGrid w:val="0"/>
        </w:rPr>
        <w:t xml:space="preserve"> the receptor spacing is not sufficiently dense</w:t>
      </w:r>
      <w:r>
        <w:rPr>
          <w:snapToGrid w:val="0"/>
        </w:rPr>
        <w:t>,</w:t>
      </w:r>
      <w:r w:rsidR="009A01E5">
        <w:rPr>
          <w:snapToGrid w:val="0"/>
        </w:rPr>
        <w:t xml:space="preserve"> the location of the maximum model-predicted concentration</w:t>
      </w:r>
      <w:r>
        <w:rPr>
          <w:snapToGrid w:val="0"/>
        </w:rPr>
        <w:t xml:space="preserve"> may not be identified</w:t>
      </w:r>
      <w:r w:rsidR="009A01E5">
        <w:rPr>
          <w:snapToGrid w:val="0"/>
        </w:rPr>
        <w:t xml:space="preserve">.  </w:t>
      </w:r>
      <w:r w:rsidR="00272E93">
        <w:rPr>
          <w:snapToGrid w:val="0"/>
        </w:rPr>
        <w:t>Judgment</w:t>
      </w:r>
      <w:r w:rsidR="009A01E5">
        <w:rPr>
          <w:snapToGrid w:val="0"/>
        </w:rPr>
        <w:t xml:space="preserve"> is required in determining the sufficiency of receptor density.  </w:t>
      </w:r>
      <w:r w:rsidR="00423773">
        <w:rPr>
          <w:snapToGrid w:val="0"/>
        </w:rPr>
        <w:t>An a</w:t>
      </w:r>
      <w:r w:rsidR="00173512">
        <w:rPr>
          <w:snapToGrid w:val="0"/>
        </w:rPr>
        <w:t>rea with</w:t>
      </w:r>
      <w:r w:rsidR="00423773">
        <w:rPr>
          <w:snapToGrid w:val="0"/>
        </w:rPr>
        <w:t xml:space="preserve"> a</w:t>
      </w:r>
      <w:r w:rsidR="00173512">
        <w:rPr>
          <w:snapToGrid w:val="0"/>
        </w:rPr>
        <w:t xml:space="preserve"> </w:t>
      </w:r>
      <w:r w:rsidR="00423773">
        <w:rPr>
          <w:snapToGrid w:val="0"/>
        </w:rPr>
        <w:t>steep concentration gradient</w:t>
      </w:r>
      <w:r w:rsidR="009A01E5">
        <w:rPr>
          <w:snapToGrid w:val="0"/>
        </w:rPr>
        <w:t xml:space="preserve"> (i.e., the concentration </w:t>
      </w:r>
      <w:r w:rsidR="006E1214">
        <w:rPr>
          <w:snapToGrid w:val="0"/>
        </w:rPr>
        <w:t>varies</w:t>
      </w:r>
      <w:r w:rsidR="00423773">
        <w:rPr>
          <w:snapToGrid w:val="0"/>
        </w:rPr>
        <w:t xml:space="preserve"> </w:t>
      </w:r>
      <w:r>
        <w:rPr>
          <w:snapToGrid w:val="0"/>
        </w:rPr>
        <w:t xml:space="preserve">rapidly </w:t>
      </w:r>
      <w:r w:rsidR="006E1214">
        <w:rPr>
          <w:snapToGrid w:val="0"/>
        </w:rPr>
        <w:t>with</w:t>
      </w:r>
      <w:r w:rsidR="009A01E5">
        <w:rPr>
          <w:snapToGrid w:val="0"/>
        </w:rPr>
        <w:t xml:space="preserve"> distance) require</w:t>
      </w:r>
      <w:r w:rsidR="00423773">
        <w:rPr>
          <w:snapToGrid w:val="0"/>
        </w:rPr>
        <w:t>s</w:t>
      </w:r>
      <w:r w:rsidR="009A01E5">
        <w:rPr>
          <w:snapToGrid w:val="0"/>
        </w:rPr>
        <w:t xml:space="preserve"> a </w:t>
      </w:r>
      <w:r w:rsidR="004772ED">
        <w:rPr>
          <w:snapToGrid w:val="0"/>
        </w:rPr>
        <w:t>denser</w:t>
      </w:r>
      <w:r w:rsidR="009A01E5">
        <w:rPr>
          <w:snapToGrid w:val="0"/>
        </w:rPr>
        <w:t xml:space="preserve"> receptor grid than </w:t>
      </w:r>
      <w:r w:rsidR="006E1214">
        <w:rPr>
          <w:snapToGrid w:val="0"/>
        </w:rPr>
        <w:t xml:space="preserve">an area </w:t>
      </w:r>
      <w:r w:rsidR="006E1214">
        <w:rPr>
          <w:snapToGrid w:val="0"/>
        </w:rPr>
        <w:lastRenderedPageBreak/>
        <w:t>with</w:t>
      </w:r>
      <w:r w:rsidR="00423773">
        <w:rPr>
          <w:snapToGrid w:val="0"/>
        </w:rPr>
        <w:t xml:space="preserve"> a</w:t>
      </w:r>
      <w:r w:rsidR="006E1214">
        <w:rPr>
          <w:snapToGrid w:val="0"/>
        </w:rPr>
        <w:t xml:space="preserve"> </w:t>
      </w:r>
      <w:r>
        <w:rPr>
          <w:snapToGrid w:val="0"/>
        </w:rPr>
        <w:t xml:space="preserve">more gradual </w:t>
      </w:r>
      <w:r w:rsidR="00423773">
        <w:rPr>
          <w:snapToGrid w:val="0"/>
        </w:rPr>
        <w:t>concentration gradient</w:t>
      </w:r>
      <w:r w:rsidR="009A01E5">
        <w:rPr>
          <w:snapToGrid w:val="0"/>
        </w:rPr>
        <w:t xml:space="preserve">.  </w:t>
      </w:r>
      <w:r w:rsidR="00853494">
        <w:rPr>
          <w:snapToGrid w:val="0"/>
        </w:rPr>
        <w:t xml:space="preserve">Steep </w:t>
      </w:r>
      <w:r w:rsidR="009A01E5">
        <w:rPr>
          <w:snapToGrid w:val="0"/>
        </w:rPr>
        <w:t xml:space="preserve">concentration gradients typically occur near </w:t>
      </w:r>
      <w:r w:rsidR="006E1214">
        <w:rPr>
          <w:snapToGrid w:val="0"/>
        </w:rPr>
        <w:t>point sources subject to downwash</w:t>
      </w:r>
      <w:r w:rsidR="009A01E5">
        <w:rPr>
          <w:snapToGrid w:val="0"/>
        </w:rPr>
        <w:t xml:space="preserve">, and in nearby complex terrain.  For </w:t>
      </w:r>
      <w:r w:rsidR="000E232B">
        <w:rPr>
          <w:snapToGrid w:val="0"/>
        </w:rPr>
        <w:t xml:space="preserve">non-buoyant </w:t>
      </w:r>
      <w:r w:rsidR="00853494">
        <w:rPr>
          <w:snapToGrid w:val="0"/>
        </w:rPr>
        <w:t xml:space="preserve">emissions released at </w:t>
      </w:r>
      <w:r w:rsidR="009A01E5">
        <w:rPr>
          <w:snapToGrid w:val="0"/>
        </w:rPr>
        <w:t xml:space="preserve">ground-level, concentrations are always highest adjacent to the </w:t>
      </w:r>
      <w:proofErr w:type="gramStart"/>
      <w:r w:rsidR="009A01E5">
        <w:rPr>
          <w:snapToGrid w:val="0"/>
        </w:rPr>
        <w:t>source, and</w:t>
      </w:r>
      <w:proofErr w:type="gramEnd"/>
      <w:r w:rsidR="009A01E5">
        <w:rPr>
          <w:snapToGrid w:val="0"/>
        </w:rPr>
        <w:t xml:space="preserve"> decrease with distance downwind.  For elevated sources (e.g., stacks), the plume must disperse to the ground before any </w:t>
      </w:r>
      <w:r w:rsidR="00853494">
        <w:rPr>
          <w:snapToGrid w:val="0"/>
        </w:rPr>
        <w:t>impact</w:t>
      </w:r>
      <w:r w:rsidR="009A01E5">
        <w:rPr>
          <w:snapToGrid w:val="0"/>
        </w:rPr>
        <w:t xml:space="preserve"> </w:t>
      </w:r>
      <w:proofErr w:type="gramStart"/>
      <w:r w:rsidR="00853494">
        <w:rPr>
          <w:snapToGrid w:val="0"/>
        </w:rPr>
        <w:t>at</w:t>
      </w:r>
      <w:proofErr w:type="gramEnd"/>
      <w:r w:rsidR="00853494">
        <w:rPr>
          <w:snapToGrid w:val="0"/>
        </w:rPr>
        <w:t xml:space="preserve"> the receptors </w:t>
      </w:r>
      <w:r w:rsidR="009A01E5">
        <w:rPr>
          <w:snapToGrid w:val="0"/>
        </w:rPr>
        <w:t>is realized.  Consequently, downwind concentrations may at first increase with distance until the maximum is reached, and thereafter, decrease with distance.  For an elevated plume, the concentration</w:t>
      </w:r>
      <w:r w:rsidR="00853494">
        <w:rPr>
          <w:snapToGrid w:val="0"/>
        </w:rPr>
        <w:t>s</w:t>
      </w:r>
      <w:r w:rsidR="009A01E5">
        <w:rPr>
          <w:snapToGrid w:val="0"/>
        </w:rPr>
        <w:t xml:space="preserve"> may be relatively low, until the terrain extends upward, thereby intercepting the plume.  This will be more pronounced for elevated terrain close to the source (e.g., within 1 km of the source), rather than many kilometers downwind.  </w:t>
      </w:r>
    </w:p>
    <w:p w14:paraId="7C0AAEB7" w14:textId="77777777" w:rsidR="009A01E5" w:rsidRDefault="009A01E5">
      <w:pPr>
        <w:rPr>
          <w:snapToGrid w:val="0"/>
        </w:rPr>
      </w:pPr>
      <w:proofErr w:type="gramStart"/>
      <w:r>
        <w:rPr>
          <w:snapToGrid w:val="0"/>
        </w:rPr>
        <w:t>As a general rule</w:t>
      </w:r>
      <w:proofErr w:type="gramEnd"/>
      <w:r>
        <w:rPr>
          <w:snapToGrid w:val="0"/>
        </w:rPr>
        <w:t xml:space="preserve">, receptors should be </w:t>
      </w:r>
      <w:r w:rsidR="004772ED">
        <w:rPr>
          <w:snapToGrid w:val="0"/>
        </w:rPr>
        <w:t>denser</w:t>
      </w:r>
      <w:r>
        <w:rPr>
          <w:snapToGrid w:val="0"/>
        </w:rPr>
        <w:t xml:space="preserve"> at the </w:t>
      </w:r>
      <w:r w:rsidR="004772ED">
        <w:rPr>
          <w:snapToGrid w:val="0"/>
        </w:rPr>
        <w:t xml:space="preserve">ambient air </w:t>
      </w:r>
      <w:proofErr w:type="gramStart"/>
      <w:r w:rsidR="004772ED">
        <w:rPr>
          <w:snapToGrid w:val="0"/>
        </w:rPr>
        <w:t>boundary</w:t>
      </w:r>
      <w:r>
        <w:rPr>
          <w:snapToGrid w:val="0"/>
        </w:rPr>
        <w:t>, and</w:t>
      </w:r>
      <w:proofErr w:type="gramEnd"/>
      <w:r>
        <w:rPr>
          <w:snapToGrid w:val="0"/>
        </w:rPr>
        <w:t xml:space="preserve"> generally decrease in density with distance from </w:t>
      </w:r>
      <w:r w:rsidR="00A513A9">
        <w:rPr>
          <w:snapToGrid w:val="0"/>
        </w:rPr>
        <w:t xml:space="preserve">the applicant’s stationary </w:t>
      </w:r>
      <w:r>
        <w:rPr>
          <w:snapToGrid w:val="0"/>
        </w:rPr>
        <w:t xml:space="preserve">source.  Similarly, for elevated terrain close to the source, </w:t>
      </w:r>
      <w:r w:rsidR="004772ED">
        <w:rPr>
          <w:snapToGrid w:val="0"/>
        </w:rPr>
        <w:t>a denser</w:t>
      </w:r>
      <w:r>
        <w:rPr>
          <w:snapToGrid w:val="0"/>
        </w:rPr>
        <w:t xml:space="preserve"> receptor </w:t>
      </w:r>
      <w:r w:rsidR="004772ED">
        <w:rPr>
          <w:snapToGrid w:val="0"/>
        </w:rPr>
        <w:t>grid</w:t>
      </w:r>
      <w:r>
        <w:rPr>
          <w:snapToGrid w:val="0"/>
        </w:rPr>
        <w:t xml:space="preserve"> should also be </w:t>
      </w:r>
      <w:r w:rsidR="004772ED">
        <w:rPr>
          <w:snapToGrid w:val="0"/>
        </w:rPr>
        <w:t>used</w:t>
      </w:r>
      <w:r>
        <w:rPr>
          <w:snapToGrid w:val="0"/>
        </w:rPr>
        <w:t xml:space="preserve">.  </w:t>
      </w:r>
    </w:p>
    <w:p w14:paraId="40DDA6CE" w14:textId="77777777" w:rsidR="009A01E5" w:rsidRDefault="009A01E5" w:rsidP="00650359">
      <w:pPr>
        <w:pStyle w:val="BodyTextIndent2"/>
        <w:spacing w:before="240" w:after="60"/>
        <w:rPr>
          <w:snapToGrid w:val="0"/>
        </w:rPr>
      </w:pPr>
      <w:r>
        <w:rPr>
          <w:snapToGrid w:val="0"/>
        </w:rPr>
        <w:t>Helpful tip:</w:t>
      </w:r>
    </w:p>
    <w:p w14:paraId="1254FE49" w14:textId="39F31ABF" w:rsidR="009A01E5" w:rsidRPr="00FD061F" w:rsidRDefault="005E5E48" w:rsidP="00FD061F">
      <w:pPr>
        <w:ind w:left="720"/>
        <w:rPr>
          <w:i/>
          <w:snapToGrid w:val="0"/>
        </w:rPr>
      </w:pPr>
      <w:r>
        <w:rPr>
          <w:i/>
          <w:snapToGrid w:val="0"/>
        </w:rPr>
        <w:t xml:space="preserve">A grid spacing of </w:t>
      </w:r>
      <w:r w:rsidR="009A01E5">
        <w:rPr>
          <w:i/>
          <w:snapToGrid w:val="0"/>
        </w:rPr>
        <w:t>25 m</w:t>
      </w:r>
      <w:r>
        <w:rPr>
          <w:i/>
          <w:snapToGrid w:val="0"/>
        </w:rPr>
        <w:t xml:space="preserve"> is commonly used when modeling impacts within </w:t>
      </w:r>
      <w:r w:rsidR="00211D18">
        <w:rPr>
          <w:i/>
          <w:snapToGrid w:val="0"/>
        </w:rPr>
        <w:t>one to two</w:t>
      </w:r>
      <w:r>
        <w:rPr>
          <w:i/>
          <w:snapToGrid w:val="0"/>
        </w:rPr>
        <w:t xml:space="preserve"> hundred meters of a </w:t>
      </w:r>
      <w:r w:rsidR="00874E83">
        <w:rPr>
          <w:i/>
          <w:snapToGrid w:val="0"/>
        </w:rPr>
        <w:t xml:space="preserve">stationary </w:t>
      </w:r>
      <w:r>
        <w:rPr>
          <w:i/>
          <w:snapToGrid w:val="0"/>
        </w:rPr>
        <w:t xml:space="preserve">source that is “down-wash dominated.”  However, a larger spacing may be </w:t>
      </w:r>
      <w:r w:rsidR="007E6F02">
        <w:rPr>
          <w:i/>
          <w:snapToGrid w:val="0"/>
        </w:rPr>
        <w:t>acceptable</w:t>
      </w:r>
      <w:r>
        <w:rPr>
          <w:i/>
          <w:snapToGrid w:val="0"/>
        </w:rPr>
        <w:t xml:space="preserve"> when modeling a “tall” stack or </w:t>
      </w:r>
      <w:r w:rsidR="00ED104E">
        <w:rPr>
          <w:i/>
          <w:snapToGrid w:val="0"/>
        </w:rPr>
        <w:t>EU</w:t>
      </w:r>
      <w:r w:rsidR="00A845F0">
        <w:rPr>
          <w:i/>
          <w:snapToGrid w:val="0"/>
        </w:rPr>
        <w:t>s</w:t>
      </w:r>
      <w:r>
        <w:rPr>
          <w:i/>
          <w:snapToGrid w:val="0"/>
        </w:rPr>
        <w:t xml:space="preserve"> located well </w:t>
      </w:r>
      <w:r w:rsidR="00E407B9">
        <w:rPr>
          <w:i/>
          <w:snapToGrid w:val="0"/>
        </w:rPr>
        <w:t>within</w:t>
      </w:r>
      <w:r>
        <w:rPr>
          <w:i/>
          <w:snapToGrid w:val="0"/>
        </w:rPr>
        <w:t xml:space="preserve"> the ambient boundar</w:t>
      </w:r>
      <w:r w:rsidR="00A845F0">
        <w:rPr>
          <w:i/>
          <w:snapToGrid w:val="0"/>
        </w:rPr>
        <w:t>y</w:t>
      </w:r>
      <w:r>
        <w:rPr>
          <w:i/>
          <w:snapToGrid w:val="0"/>
        </w:rPr>
        <w:t xml:space="preserve"> (e.g., </w:t>
      </w:r>
      <w:r w:rsidR="00116F5D">
        <w:rPr>
          <w:i/>
          <w:snapToGrid w:val="0"/>
        </w:rPr>
        <w:t>some</w:t>
      </w:r>
      <w:r>
        <w:rPr>
          <w:i/>
          <w:snapToGrid w:val="0"/>
        </w:rPr>
        <w:t xml:space="preserve"> mine scenario</w:t>
      </w:r>
      <w:r w:rsidR="00116F5D">
        <w:rPr>
          <w:i/>
          <w:snapToGrid w:val="0"/>
        </w:rPr>
        <w:t>s</w:t>
      </w:r>
      <w:r>
        <w:rPr>
          <w:i/>
          <w:snapToGrid w:val="0"/>
        </w:rPr>
        <w:t xml:space="preserve">).  </w:t>
      </w:r>
      <w:r w:rsidR="00116F5D">
        <w:rPr>
          <w:i/>
          <w:snapToGrid w:val="0"/>
        </w:rPr>
        <w:t xml:space="preserve">In all cases, judgment must be used to balance the need for sufficient density and a desire to minimize the run time.  Inadequate grid spacing could </w:t>
      </w:r>
      <w:r w:rsidR="00874E83">
        <w:rPr>
          <w:i/>
          <w:snapToGrid w:val="0"/>
        </w:rPr>
        <w:t xml:space="preserve">overlook </w:t>
      </w:r>
      <w:r w:rsidR="00116F5D">
        <w:rPr>
          <w:i/>
          <w:snapToGrid w:val="0"/>
        </w:rPr>
        <w:t>maximum impact</w:t>
      </w:r>
      <w:r w:rsidR="00874E83">
        <w:rPr>
          <w:i/>
          <w:snapToGrid w:val="0"/>
        </w:rPr>
        <w:t xml:space="preserve">s that </w:t>
      </w:r>
      <w:r w:rsidR="00211D18">
        <w:rPr>
          <w:i/>
          <w:snapToGrid w:val="0"/>
        </w:rPr>
        <w:t>occur between receptors</w:t>
      </w:r>
      <w:r w:rsidR="00116F5D">
        <w:rPr>
          <w:i/>
          <w:snapToGrid w:val="0"/>
        </w:rPr>
        <w:t xml:space="preserve">.  Overly tight spacing could lead to extended run-times with no benefit.  </w:t>
      </w:r>
      <w:r w:rsidR="007E6F02">
        <w:rPr>
          <w:i/>
          <w:snapToGrid w:val="0"/>
        </w:rPr>
        <w:t xml:space="preserve">When in doubt, run sensitivity tests with various grid spacings within the area that the applicant shows the maximum impact(s) to be. Reviewing the steepness of the concentration gradients can also be helpful. </w:t>
      </w:r>
      <w:r w:rsidR="009A01E5">
        <w:rPr>
          <w:i/>
          <w:snapToGrid w:val="0"/>
        </w:rPr>
        <w:t xml:space="preserve">   </w:t>
      </w:r>
    </w:p>
    <w:p w14:paraId="61ABFB01" w14:textId="77777777" w:rsidR="009A01E5" w:rsidRDefault="009A01E5" w:rsidP="00407F48">
      <w:pPr>
        <w:numPr>
          <w:ilvl w:val="0"/>
          <w:numId w:val="31"/>
        </w:numPr>
        <w:spacing w:before="120" w:after="120"/>
        <w:rPr>
          <w:snapToGrid w:val="0"/>
        </w:rPr>
      </w:pPr>
      <w:r>
        <w:rPr>
          <w:snapToGrid w:val="0"/>
        </w:rPr>
        <w:t xml:space="preserve">Verify that the grid extends sufficiently outward from the </w:t>
      </w:r>
      <w:r w:rsidR="00053A56">
        <w:rPr>
          <w:snapToGrid w:val="0"/>
        </w:rPr>
        <w:t xml:space="preserve">stationary </w:t>
      </w:r>
      <w:r>
        <w:rPr>
          <w:snapToGrid w:val="0"/>
        </w:rPr>
        <w:t xml:space="preserve">source to ensure the maximum concentration has been identified.  </w:t>
      </w:r>
    </w:p>
    <w:p w14:paraId="1DC92FF4" w14:textId="77777777" w:rsidR="009A01E5" w:rsidRDefault="009A01E5">
      <w:pPr>
        <w:rPr>
          <w:snapToGrid w:val="0"/>
        </w:rPr>
      </w:pPr>
      <w:r>
        <w:rPr>
          <w:snapToGrid w:val="0"/>
        </w:rPr>
        <w:t>This is easy to do by reviewing contour plots of pollutant-specific concentration isopleths for each averaging period.  The contour plots should show that isopleths decrease in concentration toward the edges of the plot.  If they continue to increase in any direction, the maximum concentration may not have been identified.</w:t>
      </w:r>
    </w:p>
    <w:p w14:paraId="47EE9601" w14:textId="3200FA26" w:rsidR="00EB7073" w:rsidRDefault="00EB7073">
      <w:pPr>
        <w:rPr>
          <w:snapToGrid w:val="0"/>
        </w:rPr>
      </w:pPr>
      <w:r>
        <w:rPr>
          <w:snapToGrid w:val="0"/>
        </w:rPr>
        <w:t xml:space="preserve">When </w:t>
      </w:r>
      <w:r w:rsidR="00C94768">
        <w:rPr>
          <w:snapToGrid w:val="0"/>
        </w:rPr>
        <w:t xml:space="preserve">conducting </w:t>
      </w:r>
      <w:r>
        <w:rPr>
          <w:snapToGrid w:val="0"/>
        </w:rPr>
        <w:t xml:space="preserve">the modeling review, you may add receptors to an applicant’s modeling analysis if the </w:t>
      </w:r>
      <w:r w:rsidR="00C94768">
        <w:rPr>
          <w:snapToGrid w:val="0"/>
        </w:rPr>
        <w:t>range or density</w:t>
      </w:r>
      <w:r>
        <w:rPr>
          <w:snapToGrid w:val="0"/>
        </w:rPr>
        <w:t xml:space="preserve"> appear inadequate.</w:t>
      </w:r>
      <w:r w:rsidR="00C94768">
        <w:rPr>
          <w:snapToGrid w:val="0"/>
        </w:rPr>
        <w:t xml:space="preserve">  However, avoid “</w:t>
      </w:r>
      <w:r w:rsidR="00954DA4">
        <w:rPr>
          <w:snapToGrid w:val="0"/>
        </w:rPr>
        <w:t>fishing expeditions</w:t>
      </w:r>
      <w:r w:rsidR="00C94768">
        <w:rPr>
          <w:snapToGrid w:val="0"/>
        </w:rPr>
        <w:t xml:space="preserve">” where you repeatedly place additional individual receptors </w:t>
      </w:r>
      <w:proofErr w:type="gramStart"/>
      <w:r w:rsidR="00C94768">
        <w:rPr>
          <w:snapToGrid w:val="0"/>
        </w:rPr>
        <w:t>in an attempt to</w:t>
      </w:r>
      <w:proofErr w:type="gramEnd"/>
      <w:r w:rsidR="00C94768">
        <w:rPr>
          <w:snapToGrid w:val="0"/>
        </w:rPr>
        <w:t xml:space="preserve"> find “the” maximum concentration. </w:t>
      </w:r>
      <w:r w:rsidR="0016716B">
        <w:rPr>
          <w:snapToGrid w:val="0"/>
        </w:rPr>
        <w:t xml:space="preserve"> </w:t>
      </w:r>
      <w:r w:rsidR="00C94768">
        <w:rPr>
          <w:snapToGrid w:val="0"/>
        </w:rPr>
        <w:t xml:space="preserve">That approach can greatly lengthen the review time without providing worthwhile benefits. </w:t>
      </w:r>
      <w:r w:rsidR="0016716B">
        <w:rPr>
          <w:snapToGrid w:val="0"/>
        </w:rPr>
        <w:t xml:space="preserve"> As noted in Section 9.2.2(d) of the </w:t>
      </w:r>
      <w:r w:rsidR="0016716B" w:rsidRPr="00C42099">
        <w:rPr>
          <w:snapToGrid w:val="0"/>
        </w:rPr>
        <w:t>Guideline</w:t>
      </w:r>
      <w:r w:rsidR="0016716B">
        <w:rPr>
          <w:snapToGrid w:val="0"/>
        </w:rPr>
        <w:t xml:space="preserve">, “… the EPA neither anticipates nor encourages that numerous iterations of modeling runs be made to continually refine the receptor network.” </w:t>
      </w:r>
    </w:p>
    <w:p w14:paraId="4A416E45" w14:textId="77777777" w:rsidR="009A01E5" w:rsidRDefault="009E7738" w:rsidP="00AD5C0A">
      <w:pPr>
        <w:pStyle w:val="Heading3"/>
        <w:rPr>
          <w:snapToGrid w:val="0"/>
        </w:rPr>
      </w:pPr>
      <w:bookmarkStart w:id="270" w:name="_Toc43521223"/>
      <w:r>
        <w:rPr>
          <w:snapToGrid w:val="0"/>
        </w:rPr>
        <w:tab/>
      </w:r>
      <w:bookmarkStart w:id="271" w:name="_Toc526778295"/>
      <w:r w:rsidR="00650359">
        <w:rPr>
          <w:snapToGrid w:val="0"/>
        </w:rPr>
        <w:t>Determining</w:t>
      </w:r>
      <w:r w:rsidR="009A01E5">
        <w:rPr>
          <w:snapToGrid w:val="0"/>
        </w:rPr>
        <w:t xml:space="preserve"> Receptor Elevations</w:t>
      </w:r>
      <w:bookmarkEnd w:id="271"/>
      <w:r w:rsidR="009A01E5">
        <w:rPr>
          <w:snapToGrid w:val="0"/>
        </w:rPr>
        <w:t xml:space="preserve"> </w:t>
      </w:r>
      <w:bookmarkEnd w:id="270"/>
    </w:p>
    <w:p w14:paraId="10D2E9A6" w14:textId="3D98CBFF" w:rsidR="002E53D8" w:rsidRDefault="001514D7" w:rsidP="002E53D8">
      <w:pPr>
        <w:rPr>
          <w:snapToGrid w:val="0"/>
        </w:rPr>
      </w:pPr>
      <w:r>
        <w:rPr>
          <w:snapToGrid w:val="0"/>
        </w:rPr>
        <w:t>Digital t</w:t>
      </w:r>
      <w:r w:rsidR="002E53D8">
        <w:rPr>
          <w:snapToGrid w:val="0"/>
        </w:rPr>
        <w:t xml:space="preserve">errain data </w:t>
      </w:r>
      <w:r>
        <w:rPr>
          <w:snapToGrid w:val="0"/>
        </w:rPr>
        <w:t xml:space="preserve">can be obtained in </w:t>
      </w:r>
      <w:proofErr w:type="gramStart"/>
      <w:r>
        <w:rPr>
          <w:snapToGrid w:val="0"/>
        </w:rPr>
        <w:t>a number of</w:t>
      </w:r>
      <w:proofErr w:type="gramEnd"/>
      <w:r>
        <w:rPr>
          <w:snapToGrid w:val="0"/>
        </w:rPr>
        <w:t xml:space="preserve"> data formats and at map scales</w:t>
      </w:r>
      <w:r w:rsidR="00AD5C0A">
        <w:rPr>
          <w:snapToGrid w:val="0"/>
        </w:rPr>
        <w:t xml:space="preserve"> from the U.S. Geological Surve</w:t>
      </w:r>
      <w:r w:rsidR="00E95D78">
        <w:rPr>
          <w:snapToGrid w:val="0"/>
        </w:rPr>
        <w:t>y and from commercial businesses</w:t>
      </w:r>
      <w:r>
        <w:rPr>
          <w:snapToGrid w:val="0"/>
        </w:rPr>
        <w:t xml:space="preserve">.  One format that is widely used and supported in AERMAP </w:t>
      </w:r>
      <w:r w:rsidR="002E53D8">
        <w:rPr>
          <w:snapToGrid w:val="0"/>
        </w:rPr>
        <w:t xml:space="preserve">is the NED format (a seamless raster product) </w:t>
      </w:r>
      <w:r w:rsidR="00E95D78">
        <w:rPr>
          <w:snapToGrid w:val="0"/>
        </w:rPr>
        <w:t xml:space="preserve">available </w:t>
      </w:r>
      <w:r w:rsidR="002E53D8">
        <w:rPr>
          <w:snapToGrid w:val="0"/>
        </w:rPr>
        <w:lastRenderedPageBreak/>
        <w:t xml:space="preserve">from </w:t>
      </w:r>
      <w:r w:rsidR="002E53D8" w:rsidRPr="008A7DA8">
        <w:rPr>
          <w:i/>
          <w:snapToGrid w:val="0"/>
        </w:rPr>
        <w:t>The National Map</w:t>
      </w:r>
      <w:r w:rsidR="002E53D8">
        <w:rPr>
          <w:snapToGrid w:val="0"/>
        </w:rPr>
        <w:t xml:space="preserve"> website</w:t>
      </w:r>
      <w:r w:rsidR="00523A75">
        <w:rPr>
          <w:snapToGrid w:val="0"/>
        </w:rPr>
        <w:t>.</w:t>
      </w:r>
      <w:r w:rsidR="002E53D8">
        <w:rPr>
          <w:rStyle w:val="FootnoteReference"/>
          <w:snapToGrid w:val="0"/>
        </w:rPr>
        <w:footnoteReference w:id="95"/>
      </w:r>
      <w:r w:rsidR="002E53D8">
        <w:rPr>
          <w:snapToGrid w:val="0"/>
        </w:rPr>
        <w:t xml:space="preserve">  </w:t>
      </w:r>
      <w:r>
        <w:rPr>
          <w:snapToGrid w:val="0"/>
        </w:rPr>
        <w:t xml:space="preserve">NED data can be obtained in 1/9 (3 </w:t>
      </w:r>
      <w:proofErr w:type="gramStart"/>
      <w:r>
        <w:rPr>
          <w:snapToGrid w:val="0"/>
        </w:rPr>
        <w:t>meter</w:t>
      </w:r>
      <w:proofErr w:type="gramEnd"/>
      <w:r>
        <w:rPr>
          <w:snapToGrid w:val="0"/>
        </w:rPr>
        <w:t xml:space="preserve">), 1/3 (10 </w:t>
      </w:r>
      <w:proofErr w:type="gramStart"/>
      <w:r>
        <w:rPr>
          <w:snapToGrid w:val="0"/>
        </w:rPr>
        <w:t>meter</w:t>
      </w:r>
      <w:proofErr w:type="gramEnd"/>
      <w:r>
        <w:rPr>
          <w:snapToGrid w:val="0"/>
        </w:rPr>
        <w:t xml:space="preserve">), 1 (30 </w:t>
      </w:r>
      <w:proofErr w:type="gramStart"/>
      <w:r>
        <w:rPr>
          <w:snapToGrid w:val="0"/>
        </w:rPr>
        <w:t>meter</w:t>
      </w:r>
      <w:proofErr w:type="gramEnd"/>
      <w:r>
        <w:rPr>
          <w:snapToGrid w:val="0"/>
        </w:rPr>
        <w:t xml:space="preserve">), and 3 (90 </w:t>
      </w:r>
      <w:proofErr w:type="gramStart"/>
      <w:r>
        <w:rPr>
          <w:snapToGrid w:val="0"/>
        </w:rPr>
        <w:t>meter</w:t>
      </w:r>
      <w:proofErr w:type="gramEnd"/>
      <w:r>
        <w:rPr>
          <w:snapToGrid w:val="0"/>
        </w:rPr>
        <w:t>) arc-second resolutions.</w:t>
      </w:r>
      <w:r w:rsidR="00E95D78">
        <w:rPr>
          <w:snapToGrid w:val="0"/>
        </w:rPr>
        <w:t xml:space="preserve">  NED data are binary files that include data descriptors and geo-referencing information that aid AERMAP in determining the type and structure of the elevation data.  To use the NED data, it must be downloaded in the </w:t>
      </w:r>
      <w:proofErr w:type="spellStart"/>
      <w:r w:rsidR="00E95D78">
        <w:rPr>
          <w:snapToGrid w:val="0"/>
        </w:rPr>
        <w:t>GeoTIFF</w:t>
      </w:r>
      <w:proofErr w:type="spellEnd"/>
      <w:r w:rsidR="00E95D78">
        <w:rPr>
          <w:snapToGrid w:val="0"/>
        </w:rPr>
        <w:t xml:space="preserve"> format.  </w:t>
      </w:r>
      <w:r w:rsidR="002E53D8">
        <w:rPr>
          <w:snapToGrid w:val="0"/>
        </w:rPr>
        <w:t>According to the website, NED “resolution for Alaska</w:t>
      </w:r>
      <w:r w:rsidR="002E53D8" w:rsidRPr="00186136">
        <w:rPr>
          <w:snapToGrid w:val="0"/>
        </w:rPr>
        <w:t xml:space="preserve"> </w:t>
      </w:r>
      <w:r w:rsidR="002E53D8">
        <w:rPr>
          <w:snapToGrid w:val="0"/>
        </w:rPr>
        <w:t xml:space="preserve">is </w:t>
      </w:r>
      <w:r w:rsidR="002E53D8" w:rsidRPr="00186136">
        <w:rPr>
          <w:snapToGrid w:val="0"/>
        </w:rPr>
        <w:t xml:space="preserve">primarily </w:t>
      </w:r>
      <w:r w:rsidR="002E53D8">
        <w:rPr>
          <w:snapToGrid w:val="0"/>
        </w:rPr>
        <w:t xml:space="preserve">of </w:t>
      </w:r>
      <w:r w:rsidR="002E53D8" w:rsidRPr="00186136">
        <w:rPr>
          <w:snapToGrid w:val="0"/>
        </w:rPr>
        <w:t xml:space="preserve">2 arc-seconds (approximately 60 meters) but is rapidly being replaced with 5-meter resolution </w:t>
      </w:r>
      <w:proofErr w:type="spellStart"/>
      <w:r w:rsidR="002E53D8" w:rsidRPr="00186136">
        <w:rPr>
          <w:snapToGrid w:val="0"/>
        </w:rPr>
        <w:t>ifsar</w:t>
      </w:r>
      <w:proofErr w:type="spellEnd"/>
      <w:r w:rsidR="002E53D8">
        <w:rPr>
          <w:rStyle w:val="FootnoteReference"/>
          <w:snapToGrid w:val="0"/>
        </w:rPr>
        <w:footnoteReference w:id="96"/>
      </w:r>
      <w:r w:rsidR="002E53D8" w:rsidRPr="00186136">
        <w:rPr>
          <w:snapToGrid w:val="0"/>
        </w:rPr>
        <w:t xml:space="preserve"> data State-wide and lidar over select areas</w:t>
      </w:r>
      <w:r w:rsidR="002E53D8">
        <w:rPr>
          <w:snapToGrid w:val="0"/>
        </w:rPr>
        <w:t xml:space="preserve">.” </w:t>
      </w:r>
    </w:p>
    <w:p w14:paraId="065A2DD8" w14:textId="77777777" w:rsidR="001514D7" w:rsidRDefault="001514D7" w:rsidP="002E53D8">
      <w:pPr>
        <w:rPr>
          <w:snapToGrid w:val="0"/>
        </w:rPr>
      </w:pPr>
      <w:r>
        <w:rPr>
          <w:snapToGrid w:val="0"/>
        </w:rPr>
        <w:t>With NED data, the user can specify the area of interest and download one or more files of digital terrain data (the number of files will depend on the area selected) to process.</w:t>
      </w:r>
    </w:p>
    <w:p w14:paraId="4C9D7536" w14:textId="430ABFF7" w:rsidR="00E95D78" w:rsidRDefault="009A01E5">
      <w:pPr>
        <w:rPr>
          <w:snapToGrid w:val="0"/>
        </w:rPr>
      </w:pPr>
      <w:r>
        <w:rPr>
          <w:snapToGrid w:val="0"/>
        </w:rPr>
        <w:t xml:space="preserve">DEM data </w:t>
      </w:r>
      <w:r w:rsidR="009D7A86">
        <w:rPr>
          <w:snapToGrid w:val="0"/>
        </w:rPr>
        <w:t>may still be</w:t>
      </w:r>
      <w:r>
        <w:rPr>
          <w:snapToGrid w:val="0"/>
        </w:rPr>
        <w:t xml:space="preserve"> available in both </w:t>
      </w:r>
      <w:proofErr w:type="gramStart"/>
      <w:r>
        <w:rPr>
          <w:snapToGrid w:val="0"/>
        </w:rPr>
        <w:t>30 meter</w:t>
      </w:r>
      <w:proofErr w:type="gramEnd"/>
      <w:r>
        <w:rPr>
          <w:snapToGrid w:val="0"/>
        </w:rPr>
        <w:t xml:space="preserve"> spacing and </w:t>
      </w:r>
      <w:proofErr w:type="gramStart"/>
      <w:r>
        <w:rPr>
          <w:snapToGrid w:val="0"/>
        </w:rPr>
        <w:t>90 meter</w:t>
      </w:r>
      <w:proofErr w:type="gramEnd"/>
      <w:r>
        <w:rPr>
          <w:snapToGrid w:val="0"/>
        </w:rPr>
        <w:t xml:space="preserve"> spacing</w:t>
      </w:r>
      <w:r w:rsidR="009D7A86">
        <w:rPr>
          <w:snapToGrid w:val="0"/>
        </w:rPr>
        <w:t xml:space="preserve"> for parts of Alaska</w:t>
      </w:r>
      <w:r>
        <w:rPr>
          <w:snapToGrid w:val="0"/>
        </w:rPr>
        <w:t xml:space="preserve">.  Typically, </w:t>
      </w:r>
      <w:proofErr w:type="gramStart"/>
      <w:r>
        <w:rPr>
          <w:snapToGrid w:val="0"/>
        </w:rPr>
        <w:t>90 meter</w:t>
      </w:r>
      <w:proofErr w:type="gramEnd"/>
      <w:r>
        <w:rPr>
          <w:snapToGrid w:val="0"/>
        </w:rPr>
        <w:t xml:space="preserve"> spacing is used for larger grids (1 degree) and </w:t>
      </w:r>
      <w:proofErr w:type="gramStart"/>
      <w:r>
        <w:rPr>
          <w:snapToGrid w:val="0"/>
        </w:rPr>
        <w:t>30 meter</w:t>
      </w:r>
      <w:proofErr w:type="gramEnd"/>
      <w:r>
        <w:rPr>
          <w:snapToGrid w:val="0"/>
        </w:rPr>
        <w:t xml:space="preserve"> spacing is used for smaller grids (7.5 minute).  </w:t>
      </w:r>
      <w:smartTag w:uri="urn:schemas-microsoft-com:office:smarttags" w:element="State">
        <w:smartTag w:uri="urn:schemas-microsoft-com:office:smarttags" w:element="place">
          <w:r>
            <w:rPr>
              <w:snapToGrid w:val="0"/>
            </w:rPr>
            <w:t>Alaska</w:t>
          </w:r>
        </w:smartTag>
      </w:smartTag>
      <w:r>
        <w:rPr>
          <w:snapToGrid w:val="0"/>
        </w:rPr>
        <w:t xml:space="preserve"> is covered by </w:t>
      </w:r>
      <w:proofErr w:type="gramStart"/>
      <w:r>
        <w:rPr>
          <w:snapToGrid w:val="0"/>
        </w:rPr>
        <w:t>15 minute</w:t>
      </w:r>
      <w:proofErr w:type="gramEnd"/>
      <w:r>
        <w:rPr>
          <w:snapToGrid w:val="0"/>
        </w:rPr>
        <w:t xml:space="preserve"> DEM data. </w:t>
      </w:r>
      <w:r w:rsidR="00C2781A">
        <w:rPr>
          <w:snapToGrid w:val="0"/>
        </w:rPr>
        <w:t xml:space="preserve"> </w:t>
      </w:r>
      <w:r>
        <w:rPr>
          <w:snapToGrid w:val="0"/>
        </w:rPr>
        <w:t xml:space="preserve">Thirty-meter spaced data is more accurate, especially for situations in which terrain heights may vary greatly over shorter distances.  Errors in using DEM data may arise from not accurately defining the </w:t>
      </w:r>
      <w:proofErr w:type="gramStart"/>
      <w:r>
        <w:rPr>
          <w:snapToGrid w:val="0"/>
        </w:rPr>
        <w:t>receptors</w:t>
      </w:r>
      <w:proofErr w:type="gramEnd"/>
      <w:r>
        <w:rPr>
          <w:snapToGrid w:val="0"/>
        </w:rPr>
        <w:t xml:space="preserve"> locations of interest where elevations should be calculated, or by using the </w:t>
      </w:r>
      <w:proofErr w:type="gramStart"/>
      <w:r>
        <w:rPr>
          <w:snapToGrid w:val="0"/>
        </w:rPr>
        <w:t>90 meter</w:t>
      </w:r>
      <w:proofErr w:type="gramEnd"/>
      <w:r>
        <w:rPr>
          <w:snapToGrid w:val="0"/>
        </w:rPr>
        <w:t xml:space="preserve"> spaced data, where 30-meter data (if available) would be more accurate.</w:t>
      </w:r>
      <w:r w:rsidR="00E95D78">
        <w:rPr>
          <w:snapToGrid w:val="0"/>
        </w:rPr>
        <w:t xml:space="preserve">  </w:t>
      </w:r>
    </w:p>
    <w:p w14:paraId="4FA665DE" w14:textId="77777777" w:rsidR="009A01E5" w:rsidRDefault="00E95D78" w:rsidP="005048BD">
      <w:pPr>
        <w:rPr>
          <w:snapToGrid w:val="0"/>
        </w:rPr>
      </w:pPr>
      <w:r>
        <w:rPr>
          <w:snapToGrid w:val="0"/>
        </w:rPr>
        <w:t xml:space="preserve">Early versions of AERMAP could only process 1-degree (90 meter) and 7.5-minute (30 meter) DEM data. </w:t>
      </w:r>
      <w:r w:rsidR="005048BD">
        <w:rPr>
          <w:snapToGrid w:val="0"/>
        </w:rPr>
        <w:t xml:space="preserve"> The current version can </w:t>
      </w:r>
      <w:r w:rsidR="005048BD" w:rsidRPr="005048BD">
        <w:rPr>
          <w:snapToGrid w:val="0"/>
        </w:rPr>
        <w:t xml:space="preserve">process </w:t>
      </w:r>
      <w:r w:rsidR="005048BD">
        <w:rPr>
          <w:snapToGrid w:val="0"/>
        </w:rPr>
        <w:t>a mix of</w:t>
      </w:r>
      <w:r w:rsidR="005048BD" w:rsidRPr="005048BD">
        <w:rPr>
          <w:snapToGrid w:val="0"/>
        </w:rPr>
        <w:t xml:space="preserve"> DEM files</w:t>
      </w:r>
      <w:r w:rsidR="005048BD">
        <w:rPr>
          <w:snapToGrid w:val="0"/>
        </w:rPr>
        <w:t xml:space="preserve"> </w:t>
      </w:r>
      <w:r w:rsidR="005048BD" w:rsidRPr="005048BD">
        <w:rPr>
          <w:snapToGrid w:val="0"/>
        </w:rPr>
        <w:t xml:space="preserve">in a single </w:t>
      </w:r>
      <w:r w:rsidR="005048BD">
        <w:rPr>
          <w:snapToGrid w:val="0"/>
        </w:rPr>
        <w:t>A</w:t>
      </w:r>
      <w:r w:rsidR="005048BD" w:rsidRPr="005048BD">
        <w:rPr>
          <w:snapToGrid w:val="0"/>
        </w:rPr>
        <w:t xml:space="preserve">ERMAP run, including all types of Alaska DEMs, as well as non-Alaskan 1-Degree and 7.5-Minute </w:t>
      </w:r>
      <w:proofErr w:type="spellStart"/>
      <w:r w:rsidR="005048BD" w:rsidRPr="005048BD">
        <w:rPr>
          <w:snapToGrid w:val="0"/>
        </w:rPr>
        <w:t>DEMs</w:t>
      </w:r>
      <w:r w:rsidR="005048BD">
        <w:rPr>
          <w:snapToGrid w:val="0"/>
        </w:rPr>
        <w:t>.</w:t>
      </w:r>
      <w:proofErr w:type="spellEnd"/>
      <w:r w:rsidR="005048BD">
        <w:rPr>
          <w:snapToGrid w:val="0"/>
        </w:rPr>
        <w:t xml:space="preserve">  </w:t>
      </w:r>
      <w:r w:rsidR="00453BCF">
        <w:t xml:space="preserve">AERMAP also allows "mixed" resolution NED files.  However, AERMAP </w:t>
      </w:r>
      <w:r w:rsidR="00453BCF" w:rsidRPr="00453BCF">
        <w:rPr>
          <w:u w:val="single"/>
        </w:rPr>
        <w:t>cannot</w:t>
      </w:r>
      <w:r w:rsidR="00453BCF">
        <w:t xml:space="preserve"> process a mix of DEM and NED files.</w:t>
      </w:r>
    </w:p>
    <w:p w14:paraId="3D9ED9E7" w14:textId="77777777" w:rsidR="009A01E5" w:rsidRDefault="00E95D78">
      <w:pPr>
        <w:rPr>
          <w:snapToGrid w:val="0"/>
        </w:rPr>
      </w:pPr>
      <w:r>
        <w:rPr>
          <w:snapToGrid w:val="0"/>
        </w:rPr>
        <w:t>If a situation should arise where an</w:t>
      </w:r>
      <w:r w:rsidR="005F53BE">
        <w:rPr>
          <w:snapToGrid w:val="0"/>
        </w:rPr>
        <w:t xml:space="preserve"> </w:t>
      </w:r>
      <w:r>
        <w:rPr>
          <w:snapToGrid w:val="0"/>
        </w:rPr>
        <w:t>el</w:t>
      </w:r>
      <w:r w:rsidR="005F53BE">
        <w:rPr>
          <w:snapToGrid w:val="0"/>
        </w:rPr>
        <w:t>evation must be computed manually from DEM files, such as</w:t>
      </w:r>
      <w:r w:rsidR="00650359">
        <w:rPr>
          <w:snapToGrid w:val="0"/>
        </w:rPr>
        <w:t xml:space="preserve"> </w:t>
      </w:r>
      <w:r w:rsidR="005F53BE">
        <w:rPr>
          <w:snapToGrid w:val="0"/>
        </w:rPr>
        <w:t xml:space="preserve">a </w:t>
      </w:r>
      <w:r w:rsidR="009A01E5">
        <w:rPr>
          <w:snapToGrid w:val="0"/>
        </w:rPr>
        <w:t>receptor location fall</w:t>
      </w:r>
      <w:r w:rsidR="005F53BE">
        <w:rPr>
          <w:snapToGrid w:val="0"/>
        </w:rPr>
        <w:t>ing</w:t>
      </w:r>
      <w:r w:rsidR="009A01E5">
        <w:rPr>
          <w:snapToGrid w:val="0"/>
        </w:rPr>
        <w:t xml:space="preserve"> between the grid nodes in the DEM files</w:t>
      </w:r>
      <w:r w:rsidR="005F53BE">
        <w:rPr>
          <w:snapToGrid w:val="0"/>
        </w:rPr>
        <w:t>,</w:t>
      </w:r>
      <w:r w:rsidR="00B90C23">
        <w:rPr>
          <w:snapToGrid w:val="0"/>
        </w:rPr>
        <w:t xml:space="preserve"> </w:t>
      </w:r>
      <w:r w:rsidR="009A01E5">
        <w:rPr>
          <w:snapToGrid w:val="0"/>
        </w:rPr>
        <w:t>an interpolation scheme must be used.  When in doubt, the interpolation scheme used in AERMAP (2-dimensional distance weighted interpolation</w:t>
      </w:r>
      <w:r w:rsidR="008A7DA8">
        <w:rPr>
          <w:snapToGrid w:val="0"/>
        </w:rPr>
        <w:t xml:space="preserve"> using the four nearest DEM nodes surrounding the receptor</w:t>
      </w:r>
      <w:r w:rsidR="009A01E5">
        <w:rPr>
          <w:snapToGrid w:val="0"/>
        </w:rPr>
        <w:t xml:space="preserve">) is consistent with EPA </w:t>
      </w:r>
      <w:proofErr w:type="gramStart"/>
      <w:r w:rsidR="009A01E5">
        <w:rPr>
          <w:snapToGrid w:val="0"/>
        </w:rPr>
        <w:t>guidance, and</w:t>
      </w:r>
      <w:proofErr w:type="gramEnd"/>
      <w:r w:rsidR="009A01E5">
        <w:rPr>
          <w:snapToGrid w:val="0"/>
        </w:rPr>
        <w:t xml:space="preserve"> may be used.  The various GUI systems also offer receptor grid generation capabilities from DEM data files.</w:t>
      </w:r>
    </w:p>
    <w:p w14:paraId="121A4E1C" w14:textId="4DAF3020" w:rsidR="009A01E5" w:rsidRDefault="009E7738" w:rsidP="000F2745">
      <w:pPr>
        <w:pStyle w:val="Heading3"/>
        <w:rPr>
          <w:snapToGrid w:val="0"/>
        </w:rPr>
      </w:pPr>
      <w:bookmarkStart w:id="272" w:name="_Toc43521224"/>
      <w:r>
        <w:rPr>
          <w:snapToGrid w:val="0"/>
        </w:rPr>
        <w:tab/>
      </w:r>
      <w:bookmarkStart w:id="273" w:name="_Toc526778296"/>
      <w:r w:rsidR="009A01E5">
        <w:rPr>
          <w:snapToGrid w:val="0"/>
        </w:rPr>
        <w:t>Flagpole Receptors</w:t>
      </w:r>
      <w:bookmarkEnd w:id="272"/>
      <w:bookmarkEnd w:id="273"/>
    </w:p>
    <w:p w14:paraId="6F01A9F8" w14:textId="7D08F12B" w:rsidR="00E25D9E" w:rsidRDefault="0030004F" w:rsidP="007F1EE4">
      <w:pPr>
        <w:rPr>
          <w:snapToGrid w:val="0"/>
        </w:rPr>
      </w:pPr>
      <w:r>
        <w:rPr>
          <w:snapToGrid w:val="0"/>
        </w:rPr>
        <w:t>“</w:t>
      </w:r>
      <w:r w:rsidR="005450D6">
        <w:rPr>
          <w:snapToGrid w:val="0"/>
        </w:rPr>
        <w:t>Flagpole</w:t>
      </w:r>
      <w:r>
        <w:rPr>
          <w:snapToGrid w:val="0"/>
        </w:rPr>
        <w:t>”</w:t>
      </w:r>
      <w:r w:rsidR="005450D6">
        <w:rPr>
          <w:snapToGrid w:val="0"/>
        </w:rPr>
        <w:t xml:space="preserve"> receptors </w:t>
      </w:r>
      <w:r>
        <w:rPr>
          <w:snapToGrid w:val="0"/>
        </w:rPr>
        <w:t xml:space="preserve">are receptors located above </w:t>
      </w:r>
      <w:r w:rsidR="0014701B">
        <w:rPr>
          <w:snapToGrid w:val="0"/>
        </w:rPr>
        <w:t xml:space="preserve">local </w:t>
      </w:r>
      <w:r>
        <w:rPr>
          <w:snapToGrid w:val="0"/>
        </w:rPr>
        <w:t>ground</w:t>
      </w:r>
      <w:r w:rsidR="0014701B">
        <w:rPr>
          <w:snapToGrid w:val="0"/>
        </w:rPr>
        <w:t xml:space="preserve"> level</w:t>
      </w:r>
      <w:r>
        <w:rPr>
          <w:snapToGrid w:val="0"/>
        </w:rPr>
        <w:t>.  They are useful for determining impacts on balconies</w:t>
      </w:r>
      <w:r w:rsidR="00DB117B">
        <w:rPr>
          <w:snapToGrid w:val="0"/>
        </w:rPr>
        <w:t>,</w:t>
      </w:r>
      <w:r>
        <w:rPr>
          <w:snapToGrid w:val="0"/>
        </w:rPr>
        <w:t xml:space="preserve"> roof-top terraces</w:t>
      </w:r>
      <w:r w:rsidR="00DB117B">
        <w:rPr>
          <w:snapToGrid w:val="0"/>
        </w:rPr>
        <w:t>, and parking garages</w:t>
      </w:r>
      <w:r>
        <w:rPr>
          <w:snapToGrid w:val="0"/>
        </w:rPr>
        <w:t xml:space="preserve">.  However, this type of situation is rare in Alaska.  </w:t>
      </w:r>
      <w:r w:rsidR="000E7E71">
        <w:rPr>
          <w:snapToGrid w:val="0"/>
        </w:rPr>
        <w:t xml:space="preserve">EPA policy states that flagpole receptors should </w:t>
      </w:r>
      <w:r w:rsidR="000E7E71" w:rsidRPr="000E7E71">
        <w:rPr>
          <w:i/>
          <w:snapToGrid w:val="0"/>
        </w:rPr>
        <w:t>not</w:t>
      </w:r>
      <w:r w:rsidR="000E7E71">
        <w:rPr>
          <w:snapToGrid w:val="0"/>
        </w:rPr>
        <w:t xml:space="preserve"> be used to model impacts </w:t>
      </w:r>
      <w:proofErr w:type="gramStart"/>
      <w:r w:rsidR="000E7E71">
        <w:rPr>
          <w:snapToGrid w:val="0"/>
        </w:rPr>
        <w:t>at</w:t>
      </w:r>
      <w:proofErr w:type="gramEnd"/>
      <w:r w:rsidR="000E7E71">
        <w:rPr>
          <w:snapToGrid w:val="0"/>
        </w:rPr>
        <w:t xml:space="preserve"> open windows and building air intakes. When </w:t>
      </w:r>
      <w:r w:rsidR="008E3038">
        <w:rPr>
          <w:snapToGrid w:val="0"/>
        </w:rPr>
        <w:t>f</w:t>
      </w:r>
      <w:r w:rsidR="000E7E71">
        <w:rPr>
          <w:snapToGrid w:val="0"/>
        </w:rPr>
        <w:t>lagpole receptors are used, the modeled impacts are subject to the ambient air quality standards, but not the increments.</w:t>
      </w:r>
      <w:r w:rsidR="000E7E71">
        <w:rPr>
          <w:rStyle w:val="FootnoteReference"/>
          <w:snapToGrid w:val="0"/>
        </w:rPr>
        <w:footnoteReference w:id="97"/>
      </w:r>
      <w:r w:rsidR="007F1EE4">
        <w:rPr>
          <w:snapToGrid w:val="0"/>
        </w:rPr>
        <w:t xml:space="preserve">  </w:t>
      </w:r>
      <w:bookmarkStart w:id="274" w:name="_Toc43521225"/>
    </w:p>
    <w:p w14:paraId="1010B657" w14:textId="77777777" w:rsidR="00104535" w:rsidRDefault="0082107D" w:rsidP="00104535">
      <w:pPr>
        <w:spacing w:after="0"/>
      </w:pPr>
      <w:r>
        <w:rPr>
          <w:snapToGrid w:val="0"/>
        </w:rPr>
        <w:br w:type="page"/>
      </w:r>
    </w:p>
    <w:p w14:paraId="6C2FF42E" w14:textId="77777777" w:rsidR="00104535" w:rsidRDefault="00104535" w:rsidP="00104535">
      <w:pPr>
        <w:spacing w:after="0"/>
      </w:pPr>
    </w:p>
    <w:p w14:paraId="06B77AFB" w14:textId="77777777" w:rsidR="00104535" w:rsidRDefault="00104535" w:rsidP="00104535">
      <w:pPr>
        <w:spacing w:after="0"/>
      </w:pPr>
    </w:p>
    <w:p w14:paraId="47F5A2CF" w14:textId="77777777" w:rsidR="00104535" w:rsidRDefault="00104535" w:rsidP="00104535">
      <w:pPr>
        <w:spacing w:after="0"/>
      </w:pPr>
    </w:p>
    <w:p w14:paraId="3573BECF" w14:textId="77777777" w:rsidR="00104535" w:rsidRDefault="00104535" w:rsidP="00104535">
      <w:pPr>
        <w:spacing w:after="0"/>
      </w:pPr>
    </w:p>
    <w:p w14:paraId="346BDC59" w14:textId="77777777" w:rsidR="00104535" w:rsidRDefault="00104535" w:rsidP="00104535">
      <w:pPr>
        <w:spacing w:after="0"/>
      </w:pPr>
    </w:p>
    <w:p w14:paraId="28F1114F" w14:textId="77777777" w:rsidR="00104535" w:rsidRDefault="00104535" w:rsidP="00104535">
      <w:pPr>
        <w:spacing w:after="0"/>
      </w:pPr>
    </w:p>
    <w:p w14:paraId="4331C869" w14:textId="77777777" w:rsidR="00104535" w:rsidRDefault="00104535" w:rsidP="00104535">
      <w:pPr>
        <w:spacing w:after="0"/>
      </w:pPr>
    </w:p>
    <w:p w14:paraId="67E22D46" w14:textId="77777777" w:rsidR="00104535" w:rsidRDefault="00104535" w:rsidP="00104535">
      <w:pPr>
        <w:spacing w:after="0"/>
      </w:pPr>
    </w:p>
    <w:p w14:paraId="6AEFBB0E" w14:textId="77777777" w:rsidR="00104535" w:rsidRDefault="00104535" w:rsidP="00104535">
      <w:pPr>
        <w:spacing w:after="0"/>
      </w:pPr>
    </w:p>
    <w:p w14:paraId="09E8061E" w14:textId="77777777" w:rsidR="00104535" w:rsidRDefault="00104535" w:rsidP="00104535">
      <w:pPr>
        <w:spacing w:after="0"/>
      </w:pPr>
    </w:p>
    <w:p w14:paraId="253F7475" w14:textId="77777777" w:rsidR="00104535" w:rsidRDefault="00104535" w:rsidP="00104535">
      <w:pPr>
        <w:spacing w:after="0"/>
        <w:jc w:val="center"/>
      </w:pPr>
      <w:r>
        <w:rPr>
          <w:snapToGrid w:val="0"/>
        </w:rPr>
        <w:t>(This page intentionally left blank)</w:t>
      </w:r>
    </w:p>
    <w:p w14:paraId="0E6371E4" w14:textId="77777777" w:rsidR="00104535" w:rsidRDefault="00104535" w:rsidP="00104535">
      <w:pPr>
        <w:spacing w:after="0"/>
      </w:pPr>
      <w:r>
        <w:br w:type="page"/>
      </w:r>
    </w:p>
    <w:p w14:paraId="5DAF49D2" w14:textId="77777777" w:rsidR="00661E1E" w:rsidRDefault="008D4995" w:rsidP="00360C7E">
      <w:pPr>
        <w:pStyle w:val="Heading2"/>
      </w:pPr>
      <w:bookmarkStart w:id="275" w:name="_Toc43521229"/>
      <w:bookmarkEnd w:id="274"/>
      <w:r>
        <w:lastRenderedPageBreak/>
        <w:tab/>
      </w:r>
      <w:bookmarkStart w:id="276" w:name="_Ref446593049"/>
      <w:bookmarkStart w:id="277" w:name="_Toc526778297"/>
      <w:r w:rsidR="003C2967">
        <w:t>Model Design Concentrations</w:t>
      </w:r>
      <w:bookmarkEnd w:id="276"/>
      <w:bookmarkEnd w:id="277"/>
    </w:p>
    <w:p w14:paraId="559819AD" w14:textId="3F63BEFB" w:rsidR="00DE6209" w:rsidRDefault="00DE6209" w:rsidP="003C2967">
      <w:r>
        <w:t xml:space="preserve">The modeled concentration that may be used as the design concentration is generally described in Section 9.2.2 of the Guideline.  However, EPA has also provided additional pollutant-specific information in some of their guidance documents.   </w:t>
      </w:r>
    </w:p>
    <w:p w14:paraId="7E35CF23" w14:textId="476BD5A9" w:rsidR="003C2967" w:rsidRDefault="00DE6209" w:rsidP="003C2967">
      <w:pPr>
        <w:rPr>
          <w:snapToGrid w:val="0"/>
        </w:rPr>
      </w:pPr>
      <w:r>
        <w:t xml:space="preserve">In summary, </w:t>
      </w:r>
      <w:r w:rsidR="00C7391A" w:rsidRPr="008E3429">
        <w:t xml:space="preserve">EPA allows applicants to use modeled concentrations that are consistent with the form of the standard </w:t>
      </w:r>
      <w:r w:rsidR="00C7391A" w:rsidRPr="00FF289F">
        <w:t>or increment</w:t>
      </w:r>
      <w:r w:rsidR="00C7391A">
        <w:t xml:space="preserve"> as their modeled design concentration</w:t>
      </w:r>
      <w:r w:rsidR="00C7391A" w:rsidRPr="008E3429">
        <w:t>.</w:t>
      </w:r>
      <w:r w:rsidR="003C2967">
        <w:rPr>
          <w:snapToGrid w:val="0"/>
        </w:rPr>
        <w:t xml:space="preserve">  </w:t>
      </w:r>
      <w:r w:rsidR="00C7391A">
        <w:rPr>
          <w:snapToGrid w:val="0"/>
        </w:rPr>
        <w:t>However</w:t>
      </w:r>
      <w:r w:rsidR="003C2967">
        <w:rPr>
          <w:snapToGrid w:val="0"/>
        </w:rPr>
        <w:t xml:space="preserve">, the highest concentration should be used </w:t>
      </w:r>
      <w:r w:rsidR="00C7391A">
        <w:rPr>
          <w:snapToGrid w:val="0"/>
        </w:rPr>
        <w:t>when modeling with screening meteorological data</w:t>
      </w:r>
      <w:r w:rsidR="003C2967">
        <w:rPr>
          <w:snapToGrid w:val="0"/>
        </w:rPr>
        <w:t xml:space="preserve">, or </w:t>
      </w:r>
      <w:r w:rsidR="00C7391A">
        <w:rPr>
          <w:snapToGrid w:val="0"/>
        </w:rPr>
        <w:t xml:space="preserve">when comparing a project impact to a </w:t>
      </w:r>
      <w:r w:rsidR="003C2967">
        <w:rPr>
          <w:snapToGrid w:val="0"/>
        </w:rPr>
        <w:t xml:space="preserve">SIL or </w:t>
      </w:r>
      <w:r w:rsidR="00C7391A">
        <w:rPr>
          <w:snapToGrid w:val="0"/>
        </w:rPr>
        <w:t>SMC</w:t>
      </w:r>
      <w:r w:rsidR="003C2967">
        <w:rPr>
          <w:snapToGrid w:val="0"/>
        </w:rPr>
        <w:t xml:space="preserve">.  </w:t>
      </w:r>
    </w:p>
    <w:p w14:paraId="203CF862" w14:textId="2C3E8235" w:rsidR="0041443C" w:rsidRPr="00725CB0" w:rsidRDefault="0041443C" w:rsidP="0041443C">
      <w:pPr>
        <w:rPr>
          <w:snapToGrid w:val="0"/>
        </w:rPr>
      </w:pPr>
      <w:r>
        <w:rPr>
          <w:snapToGrid w:val="0"/>
        </w:rPr>
        <w:t xml:space="preserve">EPA has developed new </w:t>
      </w:r>
      <w:r w:rsidR="004E34C2">
        <w:rPr>
          <w:snapToGrid w:val="0"/>
        </w:rPr>
        <w:t xml:space="preserve">air quality </w:t>
      </w:r>
      <w:r>
        <w:rPr>
          <w:snapToGrid w:val="0"/>
        </w:rPr>
        <w:t>standards for several pollutants and averaging times</w:t>
      </w:r>
      <w:r w:rsidR="004E34C2">
        <w:rPr>
          <w:snapToGrid w:val="0"/>
        </w:rPr>
        <w:t xml:space="preserve"> over the past several years</w:t>
      </w:r>
      <w:r>
        <w:rPr>
          <w:snapToGrid w:val="0"/>
        </w:rPr>
        <w:t xml:space="preserve">.  The form of these standards is different from the older (deterministic) standards.  These new </w:t>
      </w:r>
      <w:r w:rsidR="004E34C2">
        <w:rPr>
          <w:snapToGrid w:val="0"/>
        </w:rPr>
        <w:t xml:space="preserve">“probabilistic” </w:t>
      </w:r>
      <w:r>
        <w:rPr>
          <w:snapToGrid w:val="0"/>
        </w:rPr>
        <w:t>standards are based on a percentile of the distribution of the impacts for the averaging period under consideration.  For example, EPA’s Federal Register notice for the 1-hour NO</w:t>
      </w:r>
      <w:r w:rsidRPr="00861AE3">
        <w:rPr>
          <w:snapToGrid w:val="0"/>
          <w:vertAlign w:val="subscript"/>
        </w:rPr>
        <w:t>2</w:t>
      </w:r>
      <w:r>
        <w:rPr>
          <w:snapToGrid w:val="0"/>
        </w:rPr>
        <w:t xml:space="preserve"> </w:t>
      </w:r>
      <w:r w:rsidR="00561AD1">
        <w:rPr>
          <w:snapToGrid w:val="0"/>
        </w:rPr>
        <w:t>air quality s</w:t>
      </w:r>
      <w:r>
        <w:rPr>
          <w:snapToGrid w:val="0"/>
        </w:rPr>
        <w:t>tandard reads</w:t>
      </w:r>
      <w:proofErr w:type="gramStart"/>
      <w:r>
        <w:rPr>
          <w:snapToGrid w:val="0"/>
        </w:rPr>
        <w:t>:</w:t>
      </w:r>
      <w:r w:rsidR="001748C7">
        <w:rPr>
          <w:snapToGrid w:val="0"/>
        </w:rPr>
        <w:t xml:space="preserve">  </w:t>
      </w:r>
      <w:r>
        <w:rPr>
          <w:snapToGrid w:val="0"/>
        </w:rPr>
        <w:t>“</w:t>
      </w:r>
      <w:proofErr w:type="gramEnd"/>
      <w:r>
        <w:rPr>
          <w:snapToGrid w:val="0"/>
        </w:rPr>
        <w:t>…</w:t>
      </w:r>
      <w:r w:rsidRPr="00861AE3">
        <w:rPr>
          <w:snapToGrid w:val="0"/>
        </w:rPr>
        <w:t>1-hour standard at a level of 100</w:t>
      </w:r>
      <w:r>
        <w:rPr>
          <w:snapToGrid w:val="0"/>
        </w:rPr>
        <w:t xml:space="preserve"> </w:t>
      </w:r>
      <w:r w:rsidRPr="00861AE3">
        <w:rPr>
          <w:snapToGrid w:val="0"/>
        </w:rPr>
        <w:t>ppb, based on the 3-year average of the</w:t>
      </w:r>
      <w:r>
        <w:rPr>
          <w:snapToGrid w:val="0"/>
        </w:rPr>
        <w:t xml:space="preserve"> </w:t>
      </w:r>
      <w:r w:rsidRPr="00861AE3">
        <w:rPr>
          <w:snapToGrid w:val="0"/>
        </w:rPr>
        <w:t>98th percentile of the yearly distribution</w:t>
      </w:r>
      <w:r>
        <w:rPr>
          <w:snapToGrid w:val="0"/>
        </w:rPr>
        <w:t xml:space="preserve"> </w:t>
      </w:r>
      <w:r w:rsidRPr="00861AE3">
        <w:rPr>
          <w:snapToGrid w:val="0"/>
        </w:rPr>
        <w:t>of 1-hour daily maximum</w:t>
      </w:r>
      <w:r>
        <w:rPr>
          <w:snapToGrid w:val="0"/>
        </w:rPr>
        <w:t xml:space="preserve"> </w:t>
      </w:r>
      <w:r w:rsidRPr="00861AE3">
        <w:rPr>
          <w:snapToGrid w:val="0"/>
        </w:rPr>
        <w:t>concentrations</w:t>
      </w:r>
      <w:r>
        <w:rPr>
          <w:snapToGrid w:val="0"/>
        </w:rPr>
        <w:t xml:space="preserve"> …”.</w:t>
      </w:r>
      <w:r>
        <w:rPr>
          <w:rStyle w:val="FootnoteReference"/>
          <w:snapToGrid w:val="0"/>
        </w:rPr>
        <w:footnoteReference w:id="98"/>
      </w:r>
      <w:r>
        <w:rPr>
          <w:snapToGrid w:val="0"/>
        </w:rPr>
        <w:t xml:space="preserve">  </w:t>
      </w:r>
    </w:p>
    <w:p w14:paraId="6D64F00D" w14:textId="7CD67BBB" w:rsidR="0041443C" w:rsidRDefault="0041443C" w:rsidP="003C2967">
      <w:pPr>
        <w:rPr>
          <w:snapToGrid w:val="0"/>
        </w:rPr>
      </w:pPr>
      <w:r>
        <w:rPr>
          <w:snapToGrid w:val="0"/>
        </w:rPr>
        <w:t xml:space="preserve">EPA has likewise developed a </w:t>
      </w:r>
      <w:r w:rsidR="00E404F4">
        <w:rPr>
          <w:snapToGrid w:val="0"/>
        </w:rPr>
        <w:t>probabilistic</w:t>
      </w:r>
      <w:r>
        <w:rPr>
          <w:snapToGrid w:val="0"/>
        </w:rPr>
        <w:t xml:space="preserve"> approach for the 1-hr SO</w:t>
      </w:r>
      <w:r w:rsidRPr="00861AE3">
        <w:rPr>
          <w:snapToGrid w:val="0"/>
          <w:vertAlign w:val="subscript"/>
        </w:rPr>
        <w:t>2</w:t>
      </w:r>
      <w:r>
        <w:rPr>
          <w:snapToGrid w:val="0"/>
        </w:rPr>
        <w:t xml:space="preserve"> and PM-2.5 air quality standards.  EPA has also developed modeling guidance for these standards and has a web page with clarification memos that include these new standards.</w:t>
      </w:r>
      <w:r>
        <w:rPr>
          <w:rStyle w:val="FootnoteReference"/>
          <w:snapToGrid w:val="0"/>
        </w:rPr>
        <w:footnoteReference w:id="99"/>
      </w:r>
    </w:p>
    <w:p w14:paraId="3996732F" w14:textId="7515EC97" w:rsidR="00C76985" w:rsidRDefault="005E36C9" w:rsidP="001F6B01">
      <w:r>
        <w:t xml:space="preserve">You should make sure the applicant is selecting the proper value from their modeling files for comparison to the given threshold.  Applicants occasionally mistype the modeled results in their modeling reports, or the applicant may have misunderstood which modeled value they should be using for the given demonstration.  </w:t>
      </w:r>
    </w:p>
    <w:p w14:paraId="69A6CFA6" w14:textId="6ADACA26" w:rsidR="001F6B01" w:rsidRPr="00670C00" w:rsidRDefault="005E36C9" w:rsidP="001F6B01">
      <w:r>
        <w:t>The form of an air quality standard and increment can also vary for a given pollutant and averaging period</w:t>
      </w:r>
      <w:r w:rsidR="001F6B01">
        <w:t xml:space="preserve">.  </w:t>
      </w:r>
      <w:r w:rsidR="001F6B01" w:rsidRPr="00670C00">
        <w:t xml:space="preserve">Currently </w:t>
      </w:r>
      <w:r w:rsidR="001F6B01">
        <w:t xml:space="preserve">this is </w:t>
      </w:r>
      <w:r w:rsidR="001F6B01" w:rsidRPr="00670C00">
        <w:t xml:space="preserve">only an issue for PM-2.5 </w:t>
      </w:r>
      <w:r w:rsidR="001F6B01">
        <w:t>s</w:t>
      </w:r>
      <w:r w:rsidR="001F6B01" w:rsidRPr="00670C00">
        <w:t>ince</w:t>
      </w:r>
      <w:r w:rsidR="001F6B01">
        <w:t xml:space="preserve"> there are</w:t>
      </w:r>
      <w:r w:rsidR="001F6B01" w:rsidRPr="00670C00">
        <w:t xml:space="preserve"> no increments for 1-hour NO</w:t>
      </w:r>
      <w:r w:rsidR="001F6B01" w:rsidRPr="00670C00">
        <w:rPr>
          <w:vertAlign w:val="subscript"/>
        </w:rPr>
        <w:t>2</w:t>
      </w:r>
      <w:r w:rsidR="001F6B01" w:rsidRPr="00670C00">
        <w:t xml:space="preserve"> or 1-hour SO</w:t>
      </w:r>
      <w:r w:rsidR="001F6B01" w:rsidRPr="00670C00">
        <w:rPr>
          <w:vertAlign w:val="subscript"/>
        </w:rPr>
        <w:t>2</w:t>
      </w:r>
      <w:r w:rsidR="001F6B01">
        <w:t>.</w:t>
      </w:r>
      <w:r w:rsidR="00A43ED7">
        <w:t xml:space="preserve">  </w:t>
      </w:r>
      <w:r w:rsidR="00C76985">
        <w:t xml:space="preserve">However, the 24-hour PM-10 AAAQS and increment also have inconsistent approaches for selecting the design concentrations when modeling with multiple years of meteorological data (see Section </w:t>
      </w:r>
      <w:r w:rsidR="00E2003F">
        <w:fldChar w:fldCharType="begin"/>
      </w:r>
      <w:r w:rsidR="00E2003F">
        <w:instrText xml:space="preserve"> REF _Ref451953313 \w \h </w:instrText>
      </w:r>
      <w:r w:rsidR="00E2003F">
        <w:fldChar w:fldCharType="separate"/>
      </w:r>
      <w:r w:rsidR="00135FFD">
        <w:t>2.10.2</w:t>
      </w:r>
      <w:r w:rsidR="00E2003F">
        <w:fldChar w:fldCharType="end"/>
      </w:r>
      <w:r w:rsidR="00C76985">
        <w:t xml:space="preserve">).  </w:t>
      </w:r>
      <w:r w:rsidR="001F6B01">
        <w:t xml:space="preserve">As a </w:t>
      </w:r>
      <w:proofErr w:type="gramStart"/>
      <w:r w:rsidR="001F6B01">
        <w:t>result</w:t>
      </w:r>
      <w:proofErr w:type="gramEnd"/>
      <w:r w:rsidR="001F6B01">
        <w:t xml:space="preserve"> </w:t>
      </w:r>
      <w:r w:rsidR="001F6B01" w:rsidRPr="00670C00">
        <w:t xml:space="preserve">PSD applicants </w:t>
      </w:r>
      <w:r w:rsidR="00C76985">
        <w:t xml:space="preserve">may </w:t>
      </w:r>
      <w:r w:rsidR="001F6B01" w:rsidRPr="00670C00">
        <w:t xml:space="preserve">need to submit two sets of </w:t>
      </w:r>
      <w:r w:rsidR="00A43ED7">
        <w:t xml:space="preserve">24-hour </w:t>
      </w:r>
      <w:r w:rsidR="00C76985">
        <w:t xml:space="preserve">PM-10 and/or </w:t>
      </w:r>
      <w:r w:rsidR="001F6B01" w:rsidRPr="00670C00">
        <w:t>PM-2.5 runs:</w:t>
      </w:r>
    </w:p>
    <w:p w14:paraId="3F790BDD" w14:textId="652245AE" w:rsidR="001F6B01" w:rsidRDefault="001F6B01" w:rsidP="00407F48">
      <w:pPr>
        <w:numPr>
          <w:ilvl w:val="0"/>
          <w:numId w:val="57"/>
        </w:numPr>
      </w:pPr>
      <w:r w:rsidRPr="00670C00">
        <w:t xml:space="preserve">One </w:t>
      </w:r>
      <w:r w:rsidR="00A43ED7">
        <w:t xml:space="preserve">set </w:t>
      </w:r>
      <w:r w:rsidRPr="00670C00">
        <w:t xml:space="preserve">where </w:t>
      </w:r>
      <w:r w:rsidR="00A43ED7">
        <w:t xml:space="preserve">the </w:t>
      </w:r>
      <w:r w:rsidRPr="00670C00">
        <w:t>concentration</w:t>
      </w:r>
      <w:r w:rsidR="00A43ED7">
        <w:t>s</w:t>
      </w:r>
      <w:r w:rsidRPr="00670C00">
        <w:t xml:space="preserve"> </w:t>
      </w:r>
      <w:r w:rsidR="00A43ED7">
        <w:t>are</w:t>
      </w:r>
      <w:r w:rsidRPr="00670C00">
        <w:t xml:space="preserve"> calculated in </w:t>
      </w:r>
      <w:r w:rsidR="00A43ED7">
        <w:t xml:space="preserve">a </w:t>
      </w:r>
      <w:r w:rsidRPr="00670C00">
        <w:t xml:space="preserve">manner consistent with </w:t>
      </w:r>
      <w:r w:rsidR="00A43ED7">
        <w:t xml:space="preserve">the </w:t>
      </w:r>
      <w:r w:rsidR="00C76985">
        <w:t>given</w:t>
      </w:r>
      <w:r w:rsidR="00C76985" w:rsidRPr="00670C00">
        <w:t xml:space="preserve"> </w:t>
      </w:r>
      <w:r w:rsidRPr="00670C00">
        <w:t>AAAQS</w:t>
      </w:r>
      <w:r>
        <w:t>; and</w:t>
      </w:r>
    </w:p>
    <w:p w14:paraId="21C90118" w14:textId="6ED8028B" w:rsidR="001F6B01" w:rsidRPr="00670C00" w:rsidRDefault="001F6B01" w:rsidP="00407F48">
      <w:pPr>
        <w:numPr>
          <w:ilvl w:val="0"/>
          <w:numId w:val="57"/>
        </w:numPr>
      </w:pPr>
      <w:r>
        <w:t xml:space="preserve">A second </w:t>
      </w:r>
      <w:r w:rsidR="00A43ED7">
        <w:t xml:space="preserve">set </w:t>
      </w:r>
      <w:r w:rsidRPr="00670C00">
        <w:t xml:space="preserve">where </w:t>
      </w:r>
      <w:r w:rsidR="00A43ED7">
        <w:t xml:space="preserve">the </w:t>
      </w:r>
      <w:r w:rsidRPr="00670C00">
        <w:t>concentration</w:t>
      </w:r>
      <w:r w:rsidR="00A43ED7">
        <w:t>s</w:t>
      </w:r>
      <w:r w:rsidRPr="00670C00">
        <w:t xml:space="preserve"> </w:t>
      </w:r>
      <w:r w:rsidR="00A43ED7">
        <w:t>are</w:t>
      </w:r>
      <w:r w:rsidRPr="00670C00">
        <w:t xml:space="preserve"> calculated in </w:t>
      </w:r>
      <w:r w:rsidR="00A43ED7">
        <w:t xml:space="preserve">a </w:t>
      </w:r>
      <w:r w:rsidRPr="00670C00">
        <w:t>manner consistent with increment</w:t>
      </w:r>
      <w:r w:rsidR="00A43ED7">
        <w:t>s</w:t>
      </w:r>
      <w:r>
        <w:t>.</w:t>
      </w:r>
    </w:p>
    <w:p w14:paraId="56124074" w14:textId="0194A108" w:rsidR="0071264B" w:rsidRDefault="0071264B" w:rsidP="005E4EA6">
      <w:r>
        <w:t xml:space="preserve">With respect to PM-2.5, applicants may not use the multi-year average of the modeled impacts to demonstrate compliance with the PM-2.5 increments, even though multi-year averages may be used to demonstrate compliance with the PM-2.5 AAAQS.  Applicants likewise may not use the high eighth-high (H8H) 24-hour PM-2.5 impacts to demonstrate </w:t>
      </w:r>
      <w:r>
        <w:lastRenderedPageBreak/>
        <w:t>compliance with the 24-hour PM-2.5 increments, even though the H8H impact may be used in their AAAQS demonstrations.  Applicants must instead compare the H2H 24-hour PM-2.5 impacts to the applicable 24-hour PM-2.5 increment – unless they want to use the more conservative approach of using the H1H impacts.</w:t>
      </w:r>
    </w:p>
    <w:p w14:paraId="0622E56E" w14:textId="0F660A16" w:rsidR="007D1E20" w:rsidRDefault="007D1E20" w:rsidP="005E4EA6">
      <w:r>
        <w:t xml:space="preserve">The </w:t>
      </w:r>
      <w:r w:rsidR="00007EE4">
        <w:t xml:space="preserve">modeled concentrations that may be used as the </w:t>
      </w:r>
      <w:r>
        <w:t xml:space="preserve">design concentrations for </w:t>
      </w:r>
      <w:r w:rsidR="008025E4">
        <w:t xml:space="preserve">demonstrating compliance with </w:t>
      </w:r>
      <w:r>
        <w:t xml:space="preserve">the AAAQS and Class II increments are summarized in </w:t>
      </w:r>
      <w:r>
        <w:fldChar w:fldCharType="begin"/>
      </w:r>
      <w:r>
        <w:instrText xml:space="preserve"> REF _Ref524694085 \h </w:instrText>
      </w:r>
      <w:r>
        <w:fldChar w:fldCharType="separate"/>
      </w:r>
      <w:r w:rsidR="00135FFD">
        <w:t xml:space="preserve">Table </w:t>
      </w:r>
      <w:r w:rsidR="00135FFD">
        <w:rPr>
          <w:noProof/>
        </w:rPr>
        <w:t>4</w:t>
      </w:r>
      <w:r>
        <w:fldChar w:fldCharType="end"/>
      </w:r>
      <w:r>
        <w:t xml:space="preserve"> below. </w:t>
      </w:r>
    </w:p>
    <w:p w14:paraId="0A7B95AA" w14:textId="4E61AB27" w:rsidR="00BE6D66" w:rsidRDefault="00BE6D66" w:rsidP="00BE6D66">
      <w:pPr>
        <w:pStyle w:val="Caption"/>
        <w:keepNext/>
        <w:jc w:val="center"/>
      </w:pPr>
      <w:bookmarkStart w:id="278" w:name="_Ref524694085"/>
      <w:bookmarkStart w:id="279" w:name="_Toc526778364"/>
      <w:r>
        <w:t xml:space="preserve">Table </w:t>
      </w:r>
      <w:r>
        <w:rPr>
          <w:noProof/>
        </w:rPr>
        <w:fldChar w:fldCharType="begin"/>
      </w:r>
      <w:r>
        <w:rPr>
          <w:noProof/>
        </w:rPr>
        <w:instrText xml:space="preserve"> SEQ Table \* ARABIC </w:instrText>
      </w:r>
      <w:r>
        <w:rPr>
          <w:noProof/>
        </w:rPr>
        <w:fldChar w:fldCharType="separate"/>
      </w:r>
      <w:r w:rsidR="00135FFD">
        <w:rPr>
          <w:noProof/>
        </w:rPr>
        <w:t>4</w:t>
      </w:r>
      <w:r>
        <w:rPr>
          <w:noProof/>
        </w:rPr>
        <w:fldChar w:fldCharType="end"/>
      </w:r>
      <w:bookmarkEnd w:id="278"/>
      <w:r>
        <w:t>.  Allowed Design Concentrations</w:t>
      </w:r>
      <w:bookmarkEnd w:id="279"/>
    </w:p>
    <w:tbl>
      <w:tblPr>
        <w:tblW w:w="5400" w:type="dxa"/>
        <w:tblInd w:w="1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0"/>
        <w:gridCol w:w="1193"/>
        <w:gridCol w:w="1237"/>
        <w:gridCol w:w="1620"/>
      </w:tblGrid>
      <w:tr w:rsidR="00BE6D66" w14:paraId="50DC220F" w14:textId="77777777" w:rsidTr="00C466E3">
        <w:tc>
          <w:tcPr>
            <w:tcW w:w="1350" w:type="dxa"/>
            <w:tcBorders>
              <w:bottom w:val="single" w:sz="12" w:space="0" w:color="auto"/>
            </w:tcBorders>
            <w:shd w:val="pct10" w:color="auto" w:fill="auto"/>
            <w:vAlign w:val="bottom"/>
          </w:tcPr>
          <w:p w14:paraId="4229640A" w14:textId="77777777" w:rsidR="00BE6D66" w:rsidRDefault="00BE6D66" w:rsidP="008025E4">
            <w:pPr>
              <w:keepNext/>
              <w:keepLines/>
              <w:spacing w:before="120" w:after="0"/>
              <w:jc w:val="center"/>
              <w:rPr>
                <w:b/>
                <w:snapToGrid w:val="0"/>
              </w:rPr>
            </w:pPr>
            <w:r>
              <w:rPr>
                <w:b/>
                <w:snapToGrid w:val="0"/>
              </w:rPr>
              <w:t>Pollutant</w:t>
            </w:r>
          </w:p>
        </w:tc>
        <w:tc>
          <w:tcPr>
            <w:tcW w:w="1193" w:type="dxa"/>
            <w:tcBorders>
              <w:bottom w:val="single" w:sz="12" w:space="0" w:color="auto"/>
            </w:tcBorders>
            <w:shd w:val="pct10" w:color="auto" w:fill="auto"/>
            <w:vAlign w:val="bottom"/>
          </w:tcPr>
          <w:p w14:paraId="48EF9FD6" w14:textId="7EF93B09" w:rsidR="00BE6D66" w:rsidRDefault="00BE6D66" w:rsidP="008025E4">
            <w:pPr>
              <w:keepNext/>
              <w:keepLines/>
              <w:spacing w:before="120" w:after="0"/>
              <w:jc w:val="center"/>
              <w:rPr>
                <w:b/>
                <w:snapToGrid w:val="0"/>
              </w:rPr>
            </w:pPr>
            <w:r>
              <w:rPr>
                <w:b/>
                <w:snapToGrid w:val="0"/>
              </w:rPr>
              <w:t>Avg. Period</w:t>
            </w:r>
          </w:p>
        </w:tc>
        <w:tc>
          <w:tcPr>
            <w:tcW w:w="1237" w:type="dxa"/>
            <w:tcBorders>
              <w:bottom w:val="single" w:sz="12" w:space="0" w:color="auto"/>
            </w:tcBorders>
            <w:shd w:val="pct10" w:color="auto" w:fill="auto"/>
            <w:vAlign w:val="bottom"/>
          </w:tcPr>
          <w:p w14:paraId="2BD3A42B" w14:textId="284CF590" w:rsidR="00BE6D66" w:rsidRDefault="00BE6D66" w:rsidP="008025E4">
            <w:pPr>
              <w:keepNext/>
              <w:keepLines/>
              <w:spacing w:before="120" w:after="0"/>
              <w:jc w:val="center"/>
              <w:rPr>
                <w:b/>
                <w:snapToGrid w:val="0"/>
              </w:rPr>
            </w:pPr>
            <w:r>
              <w:rPr>
                <w:b/>
                <w:snapToGrid w:val="0"/>
              </w:rPr>
              <w:t>AAAQS</w:t>
            </w:r>
          </w:p>
        </w:tc>
        <w:tc>
          <w:tcPr>
            <w:tcW w:w="1620" w:type="dxa"/>
            <w:tcBorders>
              <w:bottom w:val="single" w:sz="12" w:space="0" w:color="auto"/>
            </w:tcBorders>
            <w:shd w:val="pct10" w:color="auto" w:fill="auto"/>
            <w:vAlign w:val="bottom"/>
          </w:tcPr>
          <w:p w14:paraId="714DCDC6" w14:textId="1EEBC083" w:rsidR="00BE6D66" w:rsidRDefault="00BE6D66" w:rsidP="008025E4">
            <w:pPr>
              <w:keepNext/>
              <w:keepLines/>
              <w:spacing w:before="120" w:after="0"/>
              <w:jc w:val="center"/>
              <w:rPr>
                <w:b/>
                <w:snapToGrid w:val="0"/>
              </w:rPr>
            </w:pPr>
            <w:r>
              <w:rPr>
                <w:b/>
                <w:snapToGrid w:val="0"/>
              </w:rPr>
              <w:t>Class II Increment</w:t>
            </w:r>
          </w:p>
        </w:tc>
      </w:tr>
      <w:tr w:rsidR="00BE6D66" w14:paraId="386C450E" w14:textId="77777777" w:rsidTr="00BE6D66">
        <w:tc>
          <w:tcPr>
            <w:tcW w:w="1350" w:type="dxa"/>
            <w:vMerge w:val="restart"/>
            <w:tcBorders>
              <w:top w:val="single" w:sz="12" w:space="0" w:color="auto"/>
            </w:tcBorders>
            <w:vAlign w:val="center"/>
          </w:tcPr>
          <w:p w14:paraId="2813807A" w14:textId="77777777" w:rsidR="00BE6D66" w:rsidRDefault="00BE6D66" w:rsidP="008025E4">
            <w:pPr>
              <w:keepNext/>
              <w:keepLines/>
              <w:spacing w:before="100" w:beforeAutospacing="1" w:after="60"/>
              <w:rPr>
                <w:snapToGrid w:val="0"/>
              </w:rPr>
            </w:pPr>
            <w:r>
              <w:rPr>
                <w:snapToGrid w:val="0"/>
              </w:rPr>
              <w:t>N</w:t>
            </w:r>
            <w:r w:rsidRPr="0049563C">
              <w:rPr>
                <w:snapToGrid w:val="0"/>
              </w:rPr>
              <w:t>O</w:t>
            </w:r>
            <w:r w:rsidRPr="0049563C">
              <w:rPr>
                <w:snapToGrid w:val="0"/>
                <w:vertAlign w:val="subscript"/>
              </w:rPr>
              <w:t>2</w:t>
            </w:r>
            <w:r>
              <w:rPr>
                <w:snapToGrid w:val="0"/>
              </w:rPr>
              <w:t xml:space="preserve"> </w:t>
            </w:r>
          </w:p>
        </w:tc>
        <w:tc>
          <w:tcPr>
            <w:tcW w:w="1193" w:type="dxa"/>
            <w:tcBorders>
              <w:top w:val="single" w:sz="12" w:space="0" w:color="auto"/>
            </w:tcBorders>
            <w:vAlign w:val="center"/>
          </w:tcPr>
          <w:p w14:paraId="0F3498CC" w14:textId="37161A25" w:rsidR="00BE6D66" w:rsidRDefault="00BE6D66" w:rsidP="008025E4">
            <w:pPr>
              <w:keepNext/>
              <w:keepLines/>
              <w:spacing w:before="100" w:beforeAutospacing="1" w:after="60"/>
              <w:jc w:val="center"/>
              <w:rPr>
                <w:snapToGrid w:val="0"/>
              </w:rPr>
            </w:pPr>
            <w:r>
              <w:rPr>
                <w:snapToGrid w:val="0"/>
              </w:rPr>
              <w:t>1-hour</w:t>
            </w:r>
          </w:p>
        </w:tc>
        <w:tc>
          <w:tcPr>
            <w:tcW w:w="1237" w:type="dxa"/>
            <w:tcBorders>
              <w:top w:val="single" w:sz="12" w:space="0" w:color="auto"/>
            </w:tcBorders>
          </w:tcPr>
          <w:p w14:paraId="6FD680BB" w14:textId="1B707B56" w:rsidR="00BE6D66" w:rsidRDefault="007D1E20" w:rsidP="008025E4">
            <w:pPr>
              <w:keepNext/>
              <w:keepLines/>
              <w:spacing w:before="100" w:beforeAutospacing="1" w:after="60"/>
              <w:jc w:val="center"/>
              <w:rPr>
                <w:snapToGrid w:val="0"/>
              </w:rPr>
            </w:pPr>
            <w:r>
              <w:rPr>
                <w:snapToGrid w:val="0"/>
              </w:rPr>
              <w:t>h8h</w:t>
            </w:r>
          </w:p>
        </w:tc>
        <w:tc>
          <w:tcPr>
            <w:tcW w:w="1620" w:type="dxa"/>
            <w:tcBorders>
              <w:top w:val="single" w:sz="12" w:space="0" w:color="auto"/>
            </w:tcBorders>
          </w:tcPr>
          <w:p w14:paraId="13156FBC" w14:textId="4538584D" w:rsidR="00BE6D66" w:rsidRDefault="007D1E20" w:rsidP="008025E4">
            <w:pPr>
              <w:keepNext/>
              <w:keepLines/>
              <w:spacing w:before="100" w:beforeAutospacing="1" w:after="60"/>
              <w:jc w:val="center"/>
              <w:rPr>
                <w:snapToGrid w:val="0"/>
              </w:rPr>
            </w:pPr>
            <w:r>
              <w:rPr>
                <w:snapToGrid w:val="0"/>
              </w:rPr>
              <w:t>--</w:t>
            </w:r>
          </w:p>
        </w:tc>
      </w:tr>
      <w:tr w:rsidR="00BE6D66" w14:paraId="5B53EBB6" w14:textId="77777777" w:rsidTr="00BE6D66">
        <w:tc>
          <w:tcPr>
            <w:tcW w:w="1350" w:type="dxa"/>
            <w:vMerge/>
            <w:vAlign w:val="center"/>
          </w:tcPr>
          <w:p w14:paraId="06592EBA" w14:textId="77777777" w:rsidR="00BE6D66" w:rsidRDefault="00BE6D66" w:rsidP="008025E4">
            <w:pPr>
              <w:keepNext/>
              <w:keepLines/>
              <w:spacing w:before="100" w:beforeAutospacing="1" w:after="60"/>
              <w:rPr>
                <w:snapToGrid w:val="0"/>
              </w:rPr>
            </w:pPr>
          </w:p>
        </w:tc>
        <w:tc>
          <w:tcPr>
            <w:tcW w:w="1193" w:type="dxa"/>
            <w:vAlign w:val="center"/>
          </w:tcPr>
          <w:p w14:paraId="266255F0" w14:textId="65F5CB11" w:rsidR="00BE6D66" w:rsidRDefault="00BE6D66" w:rsidP="008025E4">
            <w:pPr>
              <w:keepNext/>
              <w:keepLines/>
              <w:spacing w:before="100" w:beforeAutospacing="1" w:after="60"/>
              <w:jc w:val="center"/>
              <w:rPr>
                <w:snapToGrid w:val="0"/>
              </w:rPr>
            </w:pPr>
            <w:r>
              <w:rPr>
                <w:snapToGrid w:val="0"/>
              </w:rPr>
              <w:t>Annual</w:t>
            </w:r>
          </w:p>
        </w:tc>
        <w:tc>
          <w:tcPr>
            <w:tcW w:w="1237" w:type="dxa"/>
          </w:tcPr>
          <w:p w14:paraId="25878CCA" w14:textId="00D9345E" w:rsidR="00BE6D66" w:rsidRDefault="003B0AED" w:rsidP="008025E4">
            <w:pPr>
              <w:keepNext/>
              <w:keepLines/>
              <w:spacing w:before="100" w:beforeAutospacing="1" w:after="60"/>
              <w:jc w:val="center"/>
              <w:rPr>
                <w:snapToGrid w:val="0"/>
              </w:rPr>
            </w:pPr>
            <w:r>
              <w:rPr>
                <w:snapToGrid w:val="0"/>
              </w:rPr>
              <w:t>HY</w:t>
            </w:r>
          </w:p>
        </w:tc>
        <w:tc>
          <w:tcPr>
            <w:tcW w:w="1620" w:type="dxa"/>
            <w:vAlign w:val="center"/>
          </w:tcPr>
          <w:p w14:paraId="5C30E87D" w14:textId="27BA9E7E" w:rsidR="00BE6D66" w:rsidRDefault="003B0AED" w:rsidP="008025E4">
            <w:pPr>
              <w:keepNext/>
              <w:keepLines/>
              <w:spacing w:before="100" w:beforeAutospacing="1" w:after="60"/>
              <w:jc w:val="center"/>
              <w:rPr>
                <w:snapToGrid w:val="0"/>
              </w:rPr>
            </w:pPr>
            <w:r>
              <w:rPr>
                <w:snapToGrid w:val="0"/>
              </w:rPr>
              <w:t>HY</w:t>
            </w:r>
          </w:p>
        </w:tc>
      </w:tr>
      <w:tr w:rsidR="00BE6D66" w14:paraId="5E7D19EC" w14:textId="77777777" w:rsidTr="00BE6D66">
        <w:tc>
          <w:tcPr>
            <w:tcW w:w="1350" w:type="dxa"/>
            <w:vMerge w:val="restart"/>
            <w:vAlign w:val="center"/>
          </w:tcPr>
          <w:p w14:paraId="17505E3D" w14:textId="005859D7" w:rsidR="00BE6D66" w:rsidRPr="0049563C" w:rsidRDefault="00BE6D66" w:rsidP="008025E4">
            <w:pPr>
              <w:keepNext/>
              <w:keepLines/>
              <w:spacing w:before="100" w:beforeAutospacing="1" w:after="60"/>
              <w:rPr>
                <w:snapToGrid w:val="0"/>
              </w:rPr>
            </w:pPr>
            <w:r>
              <w:rPr>
                <w:snapToGrid w:val="0"/>
              </w:rPr>
              <w:t>PM-10</w:t>
            </w:r>
          </w:p>
        </w:tc>
        <w:tc>
          <w:tcPr>
            <w:tcW w:w="1193" w:type="dxa"/>
            <w:vAlign w:val="center"/>
          </w:tcPr>
          <w:p w14:paraId="013C0BE0" w14:textId="2DC516D2" w:rsidR="00BE6D66" w:rsidRDefault="00B605A1" w:rsidP="008025E4">
            <w:pPr>
              <w:keepNext/>
              <w:keepLines/>
              <w:spacing w:before="100" w:beforeAutospacing="1" w:after="60"/>
              <w:jc w:val="center"/>
              <w:rPr>
                <w:snapToGrid w:val="0"/>
              </w:rPr>
            </w:pPr>
            <w:r>
              <w:rPr>
                <w:snapToGrid w:val="0"/>
              </w:rPr>
              <w:t>24-hour</w:t>
            </w:r>
          </w:p>
        </w:tc>
        <w:tc>
          <w:tcPr>
            <w:tcW w:w="1237" w:type="dxa"/>
          </w:tcPr>
          <w:p w14:paraId="77A04F50" w14:textId="54B18EBA" w:rsidR="00BE6D66" w:rsidRDefault="00B605A1" w:rsidP="008025E4">
            <w:pPr>
              <w:keepNext/>
              <w:keepLines/>
              <w:spacing w:before="100" w:beforeAutospacing="1" w:after="60"/>
              <w:jc w:val="center"/>
              <w:rPr>
                <w:snapToGrid w:val="0"/>
              </w:rPr>
            </w:pPr>
            <w:r>
              <w:rPr>
                <w:snapToGrid w:val="0"/>
              </w:rPr>
              <w:t>h6h</w:t>
            </w:r>
          </w:p>
        </w:tc>
        <w:tc>
          <w:tcPr>
            <w:tcW w:w="1620" w:type="dxa"/>
            <w:vAlign w:val="center"/>
          </w:tcPr>
          <w:p w14:paraId="5C0FA015" w14:textId="3ABD5C99" w:rsidR="00BE6D66" w:rsidRDefault="00B605A1" w:rsidP="008025E4">
            <w:pPr>
              <w:keepNext/>
              <w:keepLines/>
              <w:spacing w:before="100" w:beforeAutospacing="1" w:after="60"/>
              <w:jc w:val="center"/>
              <w:rPr>
                <w:snapToGrid w:val="0"/>
              </w:rPr>
            </w:pPr>
            <w:r>
              <w:rPr>
                <w:snapToGrid w:val="0"/>
              </w:rPr>
              <w:t>h2h</w:t>
            </w:r>
          </w:p>
        </w:tc>
      </w:tr>
      <w:tr w:rsidR="00BE6D66" w14:paraId="54CF5E20" w14:textId="77777777" w:rsidTr="00BE6D66">
        <w:tc>
          <w:tcPr>
            <w:tcW w:w="1350" w:type="dxa"/>
            <w:vMerge/>
            <w:vAlign w:val="center"/>
          </w:tcPr>
          <w:p w14:paraId="29C47A8B" w14:textId="77777777" w:rsidR="00BE6D66" w:rsidRPr="0049563C" w:rsidRDefault="00BE6D66" w:rsidP="008025E4">
            <w:pPr>
              <w:keepNext/>
              <w:keepLines/>
              <w:spacing w:before="100" w:beforeAutospacing="1" w:after="60"/>
              <w:rPr>
                <w:snapToGrid w:val="0"/>
              </w:rPr>
            </w:pPr>
          </w:p>
        </w:tc>
        <w:tc>
          <w:tcPr>
            <w:tcW w:w="1193" w:type="dxa"/>
            <w:vAlign w:val="center"/>
          </w:tcPr>
          <w:p w14:paraId="719DF4DE" w14:textId="7D094ABB" w:rsidR="00BE6D66" w:rsidRDefault="00B605A1" w:rsidP="008025E4">
            <w:pPr>
              <w:keepNext/>
              <w:keepLines/>
              <w:spacing w:before="100" w:beforeAutospacing="1" w:after="60"/>
              <w:jc w:val="center"/>
              <w:rPr>
                <w:snapToGrid w:val="0"/>
              </w:rPr>
            </w:pPr>
            <w:r>
              <w:rPr>
                <w:snapToGrid w:val="0"/>
              </w:rPr>
              <w:t>Annual</w:t>
            </w:r>
          </w:p>
        </w:tc>
        <w:tc>
          <w:tcPr>
            <w:tcW w:w="1237" w:type="dxa"/>
          </w:tcPr>
          <w:p w14:paraId="53C7E8B3" w14:textId="0D962A0F" w:rsidR="00BE6D66" w:rsidRDefault="00B605A1" w:rsidP="008025E4">
            <w:pPr>
              <w:keepNext/>
              <w:keepLines/>
              <w:spacing w:before="100" w:beforeAutospacing="1" w:after="60"/>
              <w:jc w:val="center"/>
              <w:rPr>
                <w:snapToGrid w:val="0"/>
              </w:rPr>
            </w:pPr>
            <w:r>
              <w:rPr>
                <w:snapToGrid w:val="0"/>
              </w:rPr>
              <w:t>--</w:t>
            </w:r>
          </w:p>
        </w:tc>
        <w:tc>
          <w:tcPr>
            <w:tcW w:w="1620" w:type="dxa"/>
            <w:vAlign w:val="center"/>
          </w:tcPr>
          <w:p w14:paraId="37370534" w14:textId="54D83812" w:rsidR="00BE6D66" w:rsidRDefault="00B605A1" w:rsidP="008025E4">
            <w:pPr>
              <w:keepNext/>
              <w:keepLines/>
              <w:spacing w:before="100" w:beforeAutospacing="1" w:after="60"/>
              <w:jc w:val="center"/>
              <w:rPr>
                <w:snapToGrid w:val="0"/>
              </w:rPr>
            </w:pPr>
            <w:r>
              <w:rPr>
                <w:snapToGrid w:val="0"/>
              </w:rPr>
              <w:t>HY</w:t>
            </w:r>
          </w:p>
        </w:tc>
      </w:tr>
      <w:tr w:rsidR="00B605A1" w14:paraId="24263F3B" w14:textId="77777777" w:rsidTr="00BE6D66">
        <w:tc>
          <w:tcPr>
            <w:tcW w:w="1350" w:type="dxa"/>
            <w:vMerge w:val="restart"/>
            <w:vAlign w:val="center"/>
          </w:tcPr>
          <w:p w14:paraId="2626F399" w14:textId="4951D289" w:rsidR="00B605A1" w:rsidRPr="0049563C" w:rsidRDefault="00B605A1" w:rsidP="008025E4">
            <w:pPr>
              <w:keepNext/>
              <w:keepLines/>
              <w:spacing w:before="100" w:beforeAutospacing="1" w:after="60"/>
              <w:rPr>
                <w:snapToGrid w:val="0"/>
              </w:rPr>
            </w:pPr>
            <w:r>
              <w:rPr>
                <w:snapToGrid w:val="0"/>
              </w:rPr>
              <w:t>PM-2.5</w:t>
            </w:r>
          </w:p>
        </w:tc>
        <w:tc>
          <w:tcPr>
            <w:tcW w:w="1193" w:type="dxa"/>
            <w:vAlign w:val="center"/>
          </w:tcPr>
          <w:p w14:paraId="3F5C06DB" w14:textId="6306BFEA" w:rsidR="00B605A1" w:rsidRDefault="00B605A1" w:rsidP="008025E4">
            <w:pPr>
              <w:keepNext/>
              <w:keepLines/>
              <w:spacing w:before="100" w:beforeAutospacing="1" w:after="60"/>
              <w:jc w:val="center"/>
              <w:rPr>
                <w:snapToGrid w:val="0"/>
              </w:rPr>
            </w:pPr>
            <w:r>
              <w:rPr>
                <w:snapToGrid w:val="0"/>
              </w:rPr>
              <w:t>24-hour</w:t>
            </w:r>
          </w:p>
        </w:tc>
        <w:tc>
          <w:tcPr>
            <w:tcW w:w="1237" w:type="dxa"/>
          </w:tcPr>
          <w:p w14:paraId="487FC3F8" w14:textId="05EBF457" w:rsidR="00B605A1" w:rsidRDefault="00B605A1" w:rsidP="008025E4">
            <w:pPr>
              <w:keepNext/>
              <w:keepLines/>
              <w:spacing w:before="100" w:beforeAutospacing="1" w:after="60"/>
              <w:jc w:val="center"/>
              <w:rPr>
                <w:snapToGrid w:val="0"/>
              </w:rPr>
            </w:pPr>
            <w:r>
              <w:rPr>
                <w:snapToGrid w:val="0"/>
              </w:rPr>
              <w:t>h8h</w:t>
            </w:r>
          </w:p>
        </w:tc>
        <w:tc>
          <w:tcPr>
            <w:tcW w:w="1620" w:type="dxa"/>
            <w:vAlign w:val="center"/>
          </w:tcPr>
          <w:p w14:paraId="688DD4B6" w14:textId="4809735D" w:rsidR="00B605A1" w:rsidRDefault="00B605A1" w:rsidP="008025E4">
            <w:pPr>
              <w:keepNext/>
              <w:keepLines/>
              <w:spacing w:before="100" w:beforeAutospacing="1" w:after="60"/>
              <w:jc w:val="center"/>
              <w:rPr>
                <w:snapToGrid w:val="0"/>
              </w:rPr>
            </w:pPr>
            <w:r>
              <w:rPr>
                <w:snapToGrid w:val="0"/>
              </w:rPr>
              <w:t>h2h</w:t>
            </w:r>
          </w:p>
        </w:tc>
      </w:tr>
      <w:tr w:rsidR="00B605A1" w14:paraId="752B823E" w14:textId="77777777" w:rsidTr="00BE6D66">
        <w:tc>
          <w:tcPr>
            <w:tcW w:w="1350" w:type="dxa"/>
            <w:vMerge/>
            <w:vAlign w:val="center"/>
          </w:tcPr>
          <w:p w14:paraId="6E004CC3" w14:textId="77777777" w:rsidR="00B605A1" w:rsidRPr="0049563C" w:rsidRDefault="00B605A1" w:rsidP="008025E4">
            <w:pPr>
              <w:keepNext/>
              <w:keepLines/>
              <w:spacing w:before="100" w:beforeAutospacing="1" w:after="60"/>
              <w:rPr>
                <w:snapToGrid w:val="0"/>
              </w:rPr>
            </w:pPr>
          </w:p>
        </w:tc>
        <w:tc>
          <w:tcPr>
            <w:tcW w:w="1193" w:type="dxa"/>
            <w:vAlign w:val="center"/>
          </w:tcPr>
          <w:p w14:paraId="1C8DD365" w14:textId="14FD4E4D" w:rsidR="00B605A1" w:rsidRDefault="00B605A1" w:rsidP="008025E4">
            <w:pPr>
              <w:keepNext/>
              <w:keepLines/>
              <w:spacing w:before="100" w:beforeAutospacing="1" w:after="60"/>
              <w:jc w:val="center"/>
              <w:rPr>
                <w:snapToGrid w:val="0"/>
              </w:rPr>
            </w:pPr>
            <w:r>
              <w:rPr>
                <w:snapToGrid w:val="0"/>
              </w:rPr>
              <w:t>Annual</w:t>
            </w:r>
          </w:p>
        </w:tc>
        <w:tc>
          <w:tcPr>
            <w:tcW w:w="1237" w:type="dxa"/>
          </w:tcPr>
          <w:p w14:paraId="07F39B97" w14:textId="42071BBE" w:rsidR="00B605A1" w:rsidRDefault="00B605A1" w:rsidP="00B605A1">
            <w:pPr>
              <w:keepNext/>
              <w:keepLines/>
              <w:spacing w:before="100" w:beforeAutospacing="1" w:after="60"/>
              <w:jc w:val="center"/>
              <w:rPr>
                <w:snapToGrid w:val="0"/>
              </w:rPr>
            </w:pPr>
            <w:r>
              <w:rPr>
                <w:snapToGrid w:val="0"/>
              </w:rPr>
              <w:t>MA</w:t>
            </w:r>
          </w:p>
        </w:tc>
        <w:tc>
          <w:tcPr>
            <w:tcW w:w="1620" w:type="dxa"/>
            <w:vAlign w:val="center"/>
          </w:tcPr>
          <w:p w14:paraId="27A4B7CA" w14:textId="44A634AF" w:rsidR="00B605A1" w:rsidRDefault="00B605A1" w:rsidP="008025E4">
            <w:pPr>
              <w:keepNext/>
              <w:keepLines/>
              <w:spacing w:before="100" w:beforeAutospacing="1" w:after="60"/>
              <w:jc w:val="center"/>
              <w:rPr>
                <w:snapToGrid w:val="0"/>
              </w:rPr>
            </w:pPr>
            <w:r>
              <w:rPr>
                <w:snapToGrid w:val="0"/>
              </w:rPr>
              <w:t>HY</w:t>
            </w:r>
          </w:p>
        </w:tc>
      </w:tr>
      <w:tr w:rsidR="00B605A1" w14:paraId="58DC237B" w14:textId="77777777" w:rsidTr="00BE6D66">
        <w:tc>
          <w:tcPr>
            <w:tcW w:w="1350" w:type="dxa"/>
            <w:vMerge w:val="restart"/>
            <w:vAlign w:val="center"/>
          </w:tcPr>
          <w:p w14:paraId="2CA2080C" w14:textId="77777777" w:rsidR="00B605A1" w:rsidRDefault="00B605A1" w:rsidP="008025E4">
            <w:pPr>
              <w:keepNext/>
              <w:keepLines/>
              <w:spacing w:before="100" w:beforeAutospacing="1" w:after="60"/>
              <w:rPr>
                <w:snapToGrid w:val="0"/>
              </w:rPr>
            </w:pPr>
            <w:r w:rsidRPr="0049563C">
              <w:rPr>
                <w:snapToGrid w:val="0"/>
              </w:rPr>
              <w:t>SO</w:t>
            </w:r>
            <w:r w:rsidRPr="0049563C">
              <w:rPr>
                <w:snapToGrid w:val="0"/>
                <w:vertAlign w:val="subscript"/>
              </w:rPr>
              <w:t>2</w:t>
            </w:r>
            <w:r>
              <w:rPr>
                <w:snapToGrid w:val="0"/>
              </w:rPr>
              <w:t xml:space="preserve"> </w:t>
            </w:r>
          </w:p>
        </w:tc>
        <w:tc>
          <w:tcPr>
            <w:tcW w:w="1193" w:type="dxa"/>
            <w:vAlign w:val="center"/>
          </w:tcPr>
          <w:p w14:paraId="5F1B85A8" w14:textId="349A5B27" w:rsidR="00B605A1" w:rsidRDefault="00B605A1" w:rsidP="008025E4">
            <w:pPr>
              <w:keepNext/>
              <w:keepLines/>
              <w:spacing w:before="100" w:beforeAutospacing="1" w:after="60"/>
              <w:jc w:val="center"/>
              <w:rPr>
                <w:snapToGrid w:val="0"/>
              </w:rPr>
            </w:pPr>
            <w:r>
              <w:rPr>
                <w:snapToGrid w:val="0"/>
              </w:rPr>
              <w:t>1-hour</w:t>
            </w:r>
          </w:p>
        </w:tc>
        <w:tc>
          <w:tcPr>
            <w:tcW w:w="1237" w:type="dxa"/>
          </w:tcPr>
          <w:p w14:paraId="3DE35AF1" w14:textId="72636B00" w:rsidR="00B605A1" w:rsidRDefault="00B605A1" w:rsidP="008025E4">
            <w:pPr>
              <w:keepNext/>
              <w:keepLines/>
              <w:spacing w:before="100" w:beforeAutospacing="1" w:after="60"/>
              <w:jc w:val="center"/>
              <w:rPr>
                <w:snapToGrid w:val="0"/>
              </w:rPr>
            </w:pPr>
            <w:r>
              <w:rPr>
                <w:snapToGrid w:val="0"/>
              </w:rPr>
              <w:t>h4h</w:t>
            </w:r>
          </w:p>
        </w:tc>
        <w:tc>
          <w:tcPr>
            <w:tcW w:w="1620" w:type="dxa"/>
            <w:vAlign w:val="center"/>
          </w:tcPr>
          <w:p w14:paraId="5624B261" w14:textId="6B0CCBF2" w:rsidR="00B605A1" w:rsidRDefault="00B605A1" w:rsidP="008025E4">
            <w:pPr>
              <w:keepNext/>
              <w:keepLines/>
              <w:spacing w:before="100" w:beforeAutospacing="1" w:after="60"/>
              <w:jc w:val="center"/>
              <w:rPr>
                <w:snapToGrid w:val="0"/>
              </w:rPr>
            </w:pPr>
            <w:r>
              <w:rPr>
                <w:snapToGrid w:val="0"/>
              </w:rPr>
              <w:t>--</w:t>
            </w:r>
          </w:p>
        </w:tc>
      </w:tr>
      <w:tr w:rsidR="00B605A1" w14:paraId="2C82D2ED" w14:textId="77777777" w:rsidTr="00BE6D66">
        <w:tc>
          <w:tcPr>
            <w:tcW w:w="1350" w:type="dxa"/>
            <w:vMerge/>
            <w:vAlign w:val="center"/>
          </w:tcPr>
          <w:p w14:paraId="29B2914E" w14:textId="77777777" w:rsidR="00B605A1" w:rsidRPr="0049563C" w:rsidRDefault="00B605A1" w:rsidP="008025E4">
            <w:pPr>
              <w:keepNext/>
              <w:keepLines/>
              <w:spacing w:before="100" w:beforeAutospacing="1" w:after="60"/>
              <w:rPr>
                <w:snapToGrid w:val="0"/>
              </w:rPr>
            </w:pPr>
          </w:p>
        </w:tc>
        <w:tc>
          <w:tcPr>
            <w:tcW w:w="1193" w:type="dxa"/>
            <w:vAlign w:val="center"/>
          </w:tcPr>
          <w:p w14:paraId="427D17EE" w14:textId="20A7B09A" w:rsidR="00B605A1" w:rsidRDefault="00B605A1" w:rsidP="008025E4">
            <w:pPr>
              <w:keepNext/>
              <w:keepLines/>
              <w:spacing w:before="100" w:beforeAutospacing="1" w:after="60"/>
              <w:jc w:val="center"/>
              <w:rPr>
                <w:snapToGrid w:val="0"/>
              </w:rPr>
            </w:pPr>
            <w:r>
              <w:rPr>
                <w:snapToGrid w:val="0"/>
              </w:rPr>
              <w:t>3-hour</w:t>
            </w:r>
          </w:p>
        </w:tc>
        <w:tc>
          <w:tcPr>
            <w:tcW w:w="1237" w:type="dxa"/>
          </w:tcPr>
          <w:p w14:paraId="540BE0F3" w14:textId="64F8E0F2" w:rsidR="00B605A1" w:rsidRDefault="00B605A1" w:rsidP="008025E4">
            <w:pPr>
              <w:keepNext/>
              <w:keepLines/>
              <w:spacing w:before="100" w:beforeAutospacing="1" w:after="60"/>
              <w:jc w:val="center"/>
              <w:rPr>
                <w:snapToGrid w:val="0"/>
              </w:rPr>
            </w:pPr>
            <w:r>
              <w:rPr>
                <w:snapToGrid w:val="0"/>
              </w:rPr>
              <w:t>h2h</w:t>
            </w:r>
          </w:p>
        </w:tc>
        <w:tc>
          <w:tcPr>
            <w:tcW w:w="1620" w:type="dxa"/>
            <w:vAlign w:val="center"/>
          </w:tcPr>
          <w:p w14:paraId="66C19BCC" w14:textId="3ADAA29E" w:rsidR="00B605A1" w:rsidRDefault="00B605A1" w:rsidP="008025E4">
            <w:pPr>
              <w:keepNext/>
              <w:keepLines/>
              <w:spacing w:before="100" w:beforeAutospacing="1" w:after="60"/>
              <w:jc w:val="center"/>
              <w:rPr>
                <w:snapToGrid w:val="0"/>
              </w:rPr>
            </w:pPr>
            <w:r>
              <w:rPr>
                <w:snapToGrid w:val="0"/>
              </w:rPr>
              <w:t>h2h</w:t>
            </w:r>
          </w:p>
        </w:tc>
      </w:tr>
      <w:tr w:rsidR="00B605A1" w14:paraId="3BBA4E05" w14:textId="77777777" w:rsidTr="00BE6D66">
        <w:tc>
          <w:tcPr>
            <w:tcW w:w="1350" w:type="dxa"/>
            <w:vMerge/>
            <w:vAlign w:val="center"/>
          </w:tcPr>
          <w:p w14:paraId="3F75938A" w14:textId="77777777" w:rsidR="00B605A1" w:rsidRPr="0049563C" w:rsidRDefault="00B605A1" w:rsidP="008025E4">
            <w:pPr>
              <w:keepNext/>
              <w:keepLines/>
              <w:spacing w:before="100" w:beforeAutospacing="1" w:after="60"/>
              <w:rPr>
                <w:snapToGrid w:val="0"/>
              </w:rPr>
            </w:pPr>
          </w:p>
        </w:tc>
        <w:tc>
          <w:tcPr>
            <w:tcW w:w="1193" w:type="dxa"/>
            <w:vAlign w:val="center"/>
          </w:tcPr>
          <w:p w14:paraId="1CA9E2FC" w14:textId="5C2EB7B8" w:rsidR="00B605A1" w:rsidRDefault="00B605A1" w:rsidP="008025E4">
            <w:pPr>
              <w:keepNext/>
              <w:keepLines/>
              <w:spacing w:before="100" w:beforeAutospacing="1" w:after="60"/>
              <w:jc w:val="center"/>
              <w:rPr>
                <w:snapToGrid w:val="0"/>
              </w:rPr>
            </w:pPr>
            <w:r>
              <w:rPr>
                <w:snapToGrid w:val="0"/>
              </w:rPr>
              <w:t>24-hour</w:t>
            </w:r>
          </w:p>
        </w:tc>
        <w:tc>
          <w:tcPr>
            <w:tcW w:w="1237" w:type="dxa"/>
          </w:tcPr>
          <w:p w14:paraId="3C75ACD2" w14:textId="709D6727" w:rsidR="00B605A1" w:rsidRDefault="00B605A1" w:rsidP="008025E4">
            <w:pPr>
              <w:keepNext/>
              <w:keepLines/>
              <w:spacing w:before="100" w:beforeAutospacing="1" w:after="60"/>
              <w:jc w:val="center"/>
              <w:rPr>
                <w:snapToGrid w:val="0"/>
              </w:rPr>
            </w:pPr>
            <w:r>
              <w:rPr>
                <w:snapToGrid w:val="0"/>
              </w:rPr>
              <w:t>h2h</w:t>
            </w:r>
          </w:p>
        </w:tc>
        <w:tc>
          <w:tcPr>
            <w:tcW w:w="1620" w:type="dxa"/>
            <w:vAlign w:val="center"/>
          </w:tcPr>
          <w:p w14:paraId="0973D4E0" w14:textId="618B489D" w:rsidR="00B605A1" w:rsidRDefault="00B605A1" w:rsidP="008025E4">
            <w:pPr>
              <w:keepNext/>
              <w:keepLines/>
              <w:spacing w:before="100" w:beforeAutospacing="1" w:after="60"/>
              <w:jc w:val="center"/>
              <w:rPr>
                <w:snapToGrid w:val="0"/>
              </w:rPr>
            </w:pPr>
            <w:r>
              <w:rPr>
                <w:snapToGrid w:val="0"/>
              </w:rPr>
              <w:t>h2h</w:t>
            </w:r>
          </w:p>
        </w:tc>
      </w:tr>
      <w:tr w:rsidR="00B605A1" w14:paraId="3F51A51B" w14:textId="77777777" w:rsidTr="00BE6D66">
        <w:tc>
          <w:tcPr>
            <w:tcW w:w="1350" w:type="dxa"/>
            <w:vMerge/>
            <w:vAlign w:val="center"/>
          </w:tcPr>
          <w:p w14:paraId="57AB1E1B" w14:textId="77777777" w:rsidR="00B605A1" w:rsidRPr="0049563C" w:rsidRDefault="00B605A1" w:rsidP="008025E4">
            <w:pPr>
              <w:keepNext/>
              <w:keepLines/>
              <w:spacing w:before="100" w:beforeAutospacing="1" w:after="60"/>
              <w:rPr>
                <w:snapToGrid w:val="0"/>
              </w:rPr>
            </w:pPr>
          </w:p>
        </w:tc>
        <w:tc>
          <w:tcPr>
            <w:tcW w:w="1193" w:type="dxa"/>
            <w:vAlign w:val="center"/>
          </w:tcPr>
          <w:p w14:paraId="5AAECB59" w14:textId="074AFB65" w:rsidR="00B605A1" w:rsidRDefault="00B605A1" w:rsidP="008025E4">
            <w:pPr>
              <w:keepNext/>
              <w:keepLines/>
              <w:spacing w:before="100" w:beforeAutospacing="1" w:after="60"/>
              <w:jc w:val="center"/>
              <w:rPr>
                <w:snapToGrid w:val="0"/>
              </w:rPr>
            </w:pPr>
            <w:r>
              <w:rPr>
                <w:snapToGrid w:val="0"/>
              </w:rPr>
              <w:t>Annual</w:t>
            </w:r>
          </w:p>
        </w:tc>
        <w:tc>
          <w:tcPr>
            <w:tcW w:w="1237" w:type="dxa"/>
          </w:tcPr>
          <w:p w14:paraId="7EBBF17E" w14:textId="376D9C35" w:rsidR="00B605A1" w:rsidRDefault="00B605A1" w:rsidP="008025E4">
            <w:pPr>
              <w:keepNext/>
              <w:keepLines/>
              <w:spacing w:before="100" w:beforeAutospacing="1" w:after="60"/>
              <w:jc w:val="center"/>
              <w:rPr>
                <w:snapToGrid w:val="0"/>
              </w:rPr>
            </w:pPr>
            <w:r>
              <w:rPr>
                <w:snapToGrid w:val="0"/>
              </w:rPr>
              <w:t>HY</w:t>
            </w:r>
          </w:p>
        </w:tc>
        <w:tc>
          <w:tcPr>
            <w:tcW w:w="1620" w:type="dxa"/>
            <w:vAlign w:val="center"/>
          </w:tcPr>
          <w:p w14:paraId="0B2C58A7" w14:textId="030E69AF" w:rsidR="00B605A1" w:rsidRDefault="00B605A1" w:rsidP="008025E4">
            <w:pPr>
              <w:keepNext/>
              <w:keepLines/>
              <w:spacing w:before="100" w:beforeAutospacing="1" w:after="60"/>
              <w:jc w:val="center"/>
              <w:rPr>
                <w:snapToGrid w:val="0"/>
              </w:rPr>
            </w:pPr>
            <w:r>
              <w:rPr>
                <w:snapToGrid w:val="0"/>
              </w:rPr>
              <w:t>HY</w:t>
            </w:r>
          </w:p>
        </w:tc>
      </w:tr>
      <w:tr w:rsidR="00B605A1" w14:paraId="41B6FC8D" w14:textId="77777777" w:rsidTr="00BE6D66">
        <w:tc>
          <w:tcPr>
            <w:tcW w:w="1350" w:type="dxa"/>
            <w:vMerge w:val="restart"/>
            <w:vAlign w:val="center"/>
          </w:tcPr>
          <w:p w14:paraId="104A0346" w14:textId="028A0DAF" w:rsidR="00B605A1" w:rsidRDefault="00B605A1" w:rsidP="008025E4">
            <w:pPr>
              <w:keepNext/>
              <w:keepLines/>
              <w:spacing w:before="100" w:beforeAutospacing="1" w:after="60"/>
              <w:rPr>
                <w:snapToGrid w:val="0"/>
              </w:rPr>
            </w:pPr>
            <w:r>
              <w:rPr>
                <w:snapToGrid w:val="0"/>
              </w:rPr>
              <w:t>CO</w:t>
            </w:r>
          </w:p>
        </w:tc>
        <w:tc>
          <w:tcPr>
            <w:tcW w:w="1193" w:type="dxa"/>
            <w:vAlign w:val="center"/>
          </w:tcPr>
          <w:p w14:paraId="026C42E4" w14:textId="053BB111" w:rsidR="00B605A1" w:rsidRDefault="00B605A1" w:rsidP="008025E4">
            <w:pPr>
              <w:keepNext/>
              <w:keepLines/>
              <w:spacing w:before="100" w:beforeAutospacing="1" w:after="60"/>
              <w:jc w:val="center"/>
              <w:rPr>
                <w:snapToGrid w:val="0"/>
              </w:rPr>
            </w:pPr>
            <w:r>
              <w:rPr>
                <w:snapToGrid w:val="0"/>
              </w:rPr>
              <w:t>1-hour</w:t>
            </w:r>
          </w:p>
        </w:tc>
        <w:tc>
          <w:tcPr>
            <w:tcW w:w="1237" w:type="dxa"/>
          </w:tcPr>
          <w:p w14:paraId="0E4EC99F" w14:textId="5AF91C8A" w:rsidR="00B605A1" w:rsidRDefault="00B605A1" w:rsidP="008025E4">
            <w:pPr>
              <w:keepNext/>
              <w:keepLines/>
              <w:spacing w:before="100" w:beforeAutospacing="1" w:after="60"/>
              <w:jc w:val="center"/>
              <w:rPr>
                <w:snapToGrid w:val="0"/>
              </w:rPr>
            </w:pPr>
            <w:r>
              <w:rPr>
                <w:snapToGrid w:val="0"/>
              </w:rPr>
              <w:t>h2h</w:t>
            </w:r>
          </w:p>
        </w:tc>
        <w:tc>
          <w:tcPr>
            <w:tcW w:w="1620" w:type="dxa"/>
          </w:tcPr>
          <w:p w14:paraId="7F99935B" w14:textId="21C8BC4B" w:rsidR="00B605A1" w:rsidRDefault="00B605A1" w:rsidP="00B605A1">
            <w:pPr>
              <w:keepNext/>
              <w:keepLines/>
              <w:spacing w:before="100" w:beforeAutospacing="1" w:after="60"/>
              <w:jc w:val="center"/>
              <w:rPr>
                <w:snapToGrid w:val="0"/>
              </w:rPr>
            </w:pPr>
            <w:r>
              <w:rPr>
                <w:snapToGrid w:val="0"/>
              </w:rPr>
              <w:t>--</w:t>
            </w:r>
          </w:p>
        </w:tc>
      </w:tr>
      <w:tr w:rsidR="00B605A1" w14:paraId="5AC9D527" w14:textId="77777777" w:rsidTr="00BE6D66">
        <w:tc>
          <w:tcPr>
            <w:tcW w:w="1350" w:type="dxa"/>
            <w:vMerge/>
            <w:vAlign w:val="center"/>
          </w:tcPr>
          <w:p w14:paraId="240375AE" w14:textId="6D987185" w:rsidR="00B605A1" w:rsidRDefault="00B605A1" w:rsidP="008025E4">
            <w:pPr>
              <w:keepNext/>
              <w:keepLines/>
              <w:spacing w:before="100" w:beforeAutospacing="1" w:after="60"/>
              <w:rPr>
                <w:snapToGrid w:val="0"/>
              </w:rPr>
            </w:pPr>
          </w:p>
        </w:tc>
        <w:tc>
          <w:tcPr>
            <w:tcW w:w="1193" w:type="dxa"/>
            <w:vAlign w:val="center"/>
          </w:tcPr>
          <w:p w14:paraId="33C6607D" w14:textId="5E049F62" w:rsidR="00B605A1" w:rsidRDefault="00B605A1" w:rsidP="008025E4">
            <w:pPr>
              <w:keepNext/>
              <w:keepLines/>
              <w:spacing w:before="100" w:beforeAutospacing="1" w:after="60"/>
              <w:jc w:val="center"/>
              <w:rPr>
                <w:snapToGrid w:val="0"/>
              </w:rPr>
            </w:pPr>
            <w:r>
              <w:rPr>
                <w:snapToGrid w:val="0"/>
              </w:rPr>
              <w:t>8-hour</w:t>
            </w:r>
          </w:p>
        </w:tc>
        <w:tc>
          <w:tcPr>
            <w:tcW w:w="1237" w:type="dxa"/>
          </w:tcPr>
          <w:p w14:paraId="5C7071CD" w14:textId="2CEC51C7" w:rsidR="00B605A1" w:rsidRDefault="00B605A1" w:rsidP="008025E4">
            <w:pPr>
              <w:keepNext/>
              <w:keepLines/>
              <w:spacing w:before="100" w:beforeAutospacing="1" w:after="60"/>
              <w:jc w:val="center"/>
              <w:rPr>
                <w:snapToGrid w:val="0"/>
              </w:rPr>
            </w:pPr>
            <w:r>
              <w:rPr>
                <w:snapToGrid w:val="0"/>
              </w:rPr>
              <w:t>h2h</w:t>
            </w:r>
          </w:p>
        </w:tc>
        <w:tc>
          <w:tcPr>
            <w:tcW w:w="1620" w:type="dxa"/>
          </w:tcPr>
          <w:p w14:paraId="60CAAFDF" w14:textId="010A128B" w:rsidR="00B605A1" w:rsidRDefault="00B605A1" w:rsidP="00B605A1">
            <w:pPr>
              <w:keepNext/>
              <w:keepLines/>
              <w:spacing w:before="100" w:beforeAutospacing="1" w:after="60"/>
              <w:jc w:val="center"/>
              <w:rPr>
                <w:snapToGrid w:val="0"/>
              </w:rPr>
            </w:pPr>
            <w:r>
              <w:rPr>
                <w:snapToGrid w:val="0"/>
              </w:rPr>
              <w:t>--</w:t>
            </w:r>
          </w:p>
        </w:tc>
      </w:tr>
    </w:tbl>
    <w:p w14:paraId="4C79CE65" w14:textId="77777777" w:rsidR="00BE6D66" w:rsidRDefault="00BE6D66" w:rsidP="00BE6D66">
      <w:pPr>
        <w:keepNext/>
        <w:tabs>
          <w:tab w:val="left" w:pos="7920"/>
        </w:tabs>
        <w:spacing w:before="120" w:after="0"/>
        <w:ind w:left="2261" w:right="1440" w:hanging="547"/>
        <w:rPr>
          <w:sz w:val="20"/>
        </w:rPr>
      </w:pPr>
      <w:r w:rsidRPr="007F6629">
        <w:rPr>
          <w:sz w:val="20"/>
          <w:u w:val="single"/>
        </w:rPr>
        <w:t>Table Note</w:t>
      </w:r>
      <w:r>
        <w:rPr>
          <w:sz w:val="20"/>
          <w:u w:val="single"/>
        </w:rPr>
        <w:t>s</w:t>
      </w:r>
      <w:r>
        <w:rPr>
          <w:sz w:val="20"/>
        </w:rPr>
        <w:t xml:space="preserve">: </w:t>
      </w:r>
    </w:p>
    <w:p w14:paraId="77EFD407" w14:textId="77777777" w:rsidR="00BE6D66" w:rsidRDefault="00BE6D66" w:rsidP="00B605A1">
      <w:pPr>
        <w:spacing w:before="40" w:after="0"/>
        <w:ind w:left="2430" w:right="1440" w:hanging="540"/>
        <w:rPr>
          <w:sz w:val="20"/>
        </w:rPr>
      </w:pPr>
      <w:r>
        <w:rPr>
          <w:sz w:val="20"/>
        </w:rPr>
        <w:t>h2h = the maximum high, second-high concentration from any year.</w:t>
      </w:r>
    </w:p>
    <w:p w14:paraId="46A5FA7E" w14:textId="77777777" w:rsidR="00BE6D66" w:rsidRDefault="00BE6D66" w:rsidP="00B605A1">
      <w:pPr>
        <w:spacing w:before="40" w:after="0"/>
        <w:ind w:left="2430" w:right="1440" w:hanging="540"/>
        <w:rPr>
          <w:sz w:val="20"/>
        </w:rPr>
      </w:pPr>
      <w:r>
        <w:rPr>
          <w:sz w:val="20"/>
        </w:rPr>
        <w:t>h4h = the multi-year average of the high, fourth-high daily maximum 1-hour concentrations.</w:t>
      </w:r>
    </w:p>
    <w:p w14:paraId="6887879E" w14:textId="77777777" w:rsidR="00BE6D66" w:rsidRDefault="00BE6D66" w:rsidP="00B605A1">
      <w:pPr>
        <w:spacing w:before="40" w:after="0"/>
        <w:ind w:left="2430" w:right="1440" w:hanging="540"/>
        <w:rPr>
          <w:sz w:val="20"/>
        </w:rPr>
      </w:pPr>
      <w:r>
        <w:rPr>
          <w:sz w:val="20"/>
        </w:rPr>
        <w:t>h6h = the high, sixth-high 24-hour concentration over five years.</w:t>
      </w:r>
    </w:p>
    <w:p w14:paraId="326A9C0E" w14:textId="77777777" w:rsidR="00BE6D66" w:rsidRDefault="00BE6D66" w:rsidP="00B605A1">
      <w:pPr>
        <w:spacing w:before="40" w:after="0"/>
        <w:ind w:left="2430" w:right="1440" w:hanging="540"/>
        <w:rPr>
          <w:sz w:val="20"/>
        </w:rPr>
      </w:pPr>
      <w:r>
        <w:rPr>
          <w:sz w:val="20"/>
        </w:rPr>
        <w:t xml:space="preserve">h8h = high, eighth-high. For purposes of 1-hour </w:t>
      </w:r>
      <w:r w:rsidRPr="00C14AAA">
        <w:rPr>
          <w:sz w:val="20"/>
        </w:rPr>
        <w:t>NO</w:t>
      </w:r>
      <w:r w:rsidRPr="00C14AAA">
        <w:rPr>
          <w:sz w:val="20"/>
          <w:vertAlign w:val="subscript"/>
        </w:rPr>
        <w:t>2</w:t>
      </w:r>
      <w:r>
        <w:rPr>
          <w:sz w:val="20"/>
        </w:rPr>
        <w:t xml:space="preserve">, the “h8h” is the five-year average of the high, eighth-high of the daily maximum 1-hour </w:t>
      </w:r>
      <w:r w:rsidRPr="00C14AAA">
        <w:rPr>
          <w:sz w:val="20"/>
        </w:rPr>
        <w:t>NO</w:t>
      </w:r>
      <w:r w:rsidRPr="00C14AAA">
        <w:rPr>
          <w:sz w:val="20"/>
          <w:vertAlign w:val="subscript"/>
        </w:rPr>
        <w:t>2</w:t>
      </w:r>
      <w:r>
        <w:rPr>
          <w:sz w:val="20"/>
        </w:rPr>
        <w:t xml:space="preserve"> concentrations. For purposes of 24-hour PM-2.5, the “h8h” is the five-year average of the high, eighth-high of the 24-hour PM-2.5 concentrations.</w:t>
      </w:r>
    </w:p>
    <w:p w14:paraId="7A760A67" w14:textId="56C14EEA" w:rsidR="00B605A1" w:rsidRDefault="00BE6D66" w:rsidP="00B605A1">
      <w:pPr>
        <w:spacing w:before="40" w:after="0"/>
        <w:ind w:left="2430" w:right="1440" w:hanging="540"/>
        <w:rPr>
          <w:sz w:val="20"/>
        </w:rPr>
      </w:pPr>
      <w:r>
        <w:rPr>
          <w:sz w:val="20"/>
        </w:rPr>
        <w:t xml:space="preserve">HY = highest annual average from any year. </w:t>
      </w:r>
    </w:p>
    <w:p w14:paraId="50FD5E25" w14:textId="1086475E" w:rsidR="00B605A1" w:rsidRDefault="00B605A1" w:rsidP="00B605A1">
      <w:pPr>
        <w:spacing w:before="40" w:after="0"/>
        <w:ind w:left="2430" w:right="1440" w:hanging="540"/>
        <w:rPr>
          <w:sz w:val="20"/>
        </w:rPr>
      </w:pPr>
      <w:r>
        <w:rPr>
          <w:sz w:val="20"/>
        </w:rPr>
        <w:t xml:space="preserve">MA = </w:t>
      </w:r>
      <w:r w:rsidR="00607C35">
        <w:rPr>
          <w:sz w:val="20"/>
        </w:rPr>
        <w:t xml:space="preserve">highest </w:t>
      </w:r>
      <w:r>
        <w:rPr>
          <w:sz w:val="20"/>
        </w:rPr>
        <w:t>multi-year average</w:t>
      </w:r>
      <w:r w:rsidR="00607C35">
        <w:rPr>
          <w:sz w:val="20"/>
        </w:rPr>
        <w:t xml:space="preserve"> of the annual concentrations at a given receptor</w:t>
      </w:r>
      <w:r>
        <w:rPr>
          <w:sz w:val="20"/>
        </w:rPr>
        <w:t>.</w:t>
      </w:r>
    </w:p>
    <w:p w14:paraId="54039772" w14:textId="77777777" w:rsidR="00BE6D66" w:rsidRDefault="00BE6D66" w:rsidP="00B605A1">
      <w:pPr>
        <w:spacing w:before="40" w:after="0"/>
        <w:ind w:left="2430" w:right="1440" w:hanging="540"/>
      </w:pPr>
      <w:r>
        <w:rPr>
          <w:sz w:val="20"/>
        </w:rPr>
        <w:t xml:space="preserve"> --   = there is no AAAQS/increment (as applicable) for this pollutant/averaging period. </w:t>
      </w:r>
    </w:p>
    <w:p w14:paraId="58D4AC00" w14:textId="77777777" w:rsidR="00BE6D66" w:rsidRDefault="00BE6D66" w:rsidP="005E4EA6"/>
    <w:p w14:paraId="70BDDA90" w14:textId="6AEB6DC6" w:rsidR="00FD627C" w:rsidRDefault="00ED14CE" w:rsidP="00FD627C">
      <w:r>
        <w:rPr>
          <w:snapToGrid w:val="0"/>
        </w:rPr>
        <w:t xml:space="preserve">Another issue that periodically arises regards the number of significant digits that must be used when comparing a modeled impact to a threshold (e.g., an AAAQS or increment).  You do not generally need to report </w:t>
      </w:r>
      <w:r w:rsidR="00FE6B72">
        <w:rPr>
          <w:snapToGrid w:val="0"/>
        </w:rPr>
        <w:t xml:space="preserve">a </w:t>
      </w:r>
      <w:r>
        <w:rPr>
          <w:snapToGrid w:val="0"/>
        </w:rPr>
        <w:t xml:space="preserve">modeling result to </w:t>
      </w:r>
      <w:r w:rsidR="00FE6B72">
        <w:rPr>
          <w:snapToGrid w:val="0"/>
        </w:rPr>
        <w:t xml:space="preserve">a substantially higher level of </w:t>
      </w:r>
      <w:r w:rsidR="00FE6B72">
        <w:rPr>
          <w:snapToGrid w:val="0"/>
        </w:rPr>
        <w:lastRenderedPageBreak/>
        <w:t xml:space="preserve">“accuracy” than the given threshold.  </w:t>
      </w:r>
      <w:r>
        <w:rPr>
          <w:snapToGrid w:val="0"/>
        </w:rPr>
        <w:t xml:space="preserve">You may </w:t>
      </w:r>
      <w:r w:rsidR="00FE6B72">
        <w:rPr>
          <w:snapToGrid w:val="0"/>
        </w:rPr>
        <w:t xml:space="preserve">instead </w:t>
      </w:r>
      <w:r>
        <w:rPr>
          <w:snapToGrid w:val="0"/>
        </w:rPr>
        <w:t>generally limit the number of significant digits reported in your modeling review</w:t>
      </w:r>
      <w:r w:rsidR="00FE6B72">
        <w:rPr>
          <w:snapToGrid w:val="0"/>
        </w:rPr>
        <w:t xml:space="preserve"> </w:t>
      </w:r>
      <w:proofErr w:type="gramStart"/>
      <w:r w:rsidR="00FE6B72">
        <w:rPr>
          <w:snapToGrid w:val="0"/>
        </w:rPr>
        <w:t>in order to</w:t>
      </w:r>
      <w:proofErr w:type="gramEnd"/>
      <w:r w:rsidR="00FE6B72">
        <w:rPr>
          <w:snapToGrid w:val="0"/>
        </w:rPr>
        <w:t xml:space="preserve"> provide a “cleaner” presentation</w:t>
      </w:r>
      <w:r>
        <w:rPr>
          <w:snapToGrid w:val="0"/>
        </w:rPr>
        <w:t xml:space="preserve">.  However, rounding may </w:t>
      </w:r>
      <w:r w:rsidRPr="00FE6B72">
        <w:rPr>
          <w:snapToGrid w:val="0"/>
          <w:u w:val="single"/>
        </w:rPr>
        <w:t>not</w:t>
      </w:r>
      <w:r>
        <w:rPr>
          <w:snapToGrid w:val="0"/>
        </w:rPr>
        <w:t xml:space="preserve"> be used </w:t>
      </w:r>
      <w:r w:rsidR="00FE6B72">
        <w:rPr>
          <w:snapToGrid w:val="0"/>
        </w:rPr>
        <w:t xml:space="preserve">if it alters the compliance demonstration.  For example, a modeled annual </w:t>
      </w:r>
      <w:r w:rsidR="00FE6B72" w:rsidRPr="00FE6B72">
        <w:rPr>
          <w:snapToGrid w:val="0"/>
        </w:rPr>
        <w:t>NO</w:t>
      </w:r>
      <w:r w:rsidR="00FE6B72" w:rsidRPr="00FE6B72">
        <w:rPr>
          <w:snapToGrid w:val="0"/>
          <w:vertAlign w:val="subscript"/>
        </w:rPr>
        <w:t>2</w:t>
      </w:r>
      <w:r w:rsidR="00FE6B72">
        <w:rPr>
          <w:snapToGrid w:val="0"/>
        </w:rPr>
        <w:t xml:space="preserve"> impact of 25.0001 </w:t>
      </w:r>
      <w:proofErr w:type="gramStart"/>
      <w:r w:rsidR="00FE6B72" w:rsidRPr="00FE6B72">
        <w:rPr>
          <w:snapToGrid w:val="0"/>
        </w:rPr>
        <w:t>µg</w:t>
      </w:r>
      <w:proofErr w:type="gramEnd"/>
      <w:r w:rsidR="00FE6B72" w:rsidRPr="00FE6B72">
        <w:rPr>
          <w:snapToGrid w:val="0"/>
        </w:rPr>
        <w:t>/m</w:t>
      </w:r>
      <w:r w:rsidR="00FE6B72" w:rsidRPr="00FE6B72">
        <w:rPr>
          <w:snapToGrid w:val="0"/>
          <w:vertAlign w:val="superscript"/>
        </w:rPr>
        <w:t>3</w:t>
      </w:r>
      <w:r w:rsidR="00FE6B72">
        <w:rPr>
          <w:snapToGrid w:val="0"/>
        </w:rPr>
        <w:t xml:space="preserve"> may not be rounded down to 25 </w:t>
      </w:r>
      <w:proofErr w:type="gramStart"/>
      <w:r w:rsidR="00FE6B72" w:rsidRPr="00FE6B72">
        <w:rPr>
          <w:snapToGrid w:val="0"/>
        </w:rPr>
        <w:t>µg</w:t>
      </w:r>
      <w:proofErr w:type="gramEnd"/>
      <w:r w:rsidR="00FE6B72" w:rsidRPr="00FE6B72">
        <w:rPr>
          <w:snapToGrid w:val="0"/>
        </w:rPr>
        <w:t>/m</w:t>
      </w:r>
      <w:r w:rsidR="00FE6B72" w:rsidRPr="00FE6B72">
        <w:rPr>
          <w:snapToGrid w:val="0"/>
          <w:vertAlign w:val="superscript"/>
        </w:rPr>
        <w:t>3</w:t>
      </w:r>
      <w:r w:rsidR="00FE6B72">
        <w:rPr>
          <w:snapToGrid w:val="0"/>
        </w:rPr>
        <w:t xml:space="preserve"> </w:t>
      </w:r>
      <w:proofErr w:type="gramStart"/>
      <w:r w:rsidR="00FE6B72">
        <w:rPr>
          <w:snapToGrid w:val="0"/>
        </w:rPr>
        <w:t>in order to</w:t>
      </w:r>
      <w:proofErr w:type="gramEnd"/>
      <w:r w:rsidR="00FE6B72">
        <w:rPr>
          <w:snapToGrid w:val="0"/>
        </w:rPr>
        <w:t xml:space="preserve"> demonstrate compliance with the 25 </w:t>
      </w:r>
      <w:proofErr w:type="gramStart"/>
      <w:r w:rsidR="00FE6B72" w:rsidRPr="00FE6B72">
        <w:rPr>
          <w:snapToGrid w:val="0"/>
        </w:rPr>
        <w:t>µg</w:t>
      </w:r>
      <w:proofErr w:type="gramEnd"/>
      <w:r w:rsidR="00FE6B72" w:rsidRPr="00FE6B72">
        <w:rPr>
          <w:snapToGrid w:val="0"/>
        </w:rPr>
        <w:t>/m</w:t>
      </w:r>
      <w:r w:rsidR="00FE6B72" w:rsidRPr="00FE6B72">
        <w:rPr>
          <w:snapToGrid w:val="0"/>
          <w:vertAlign w:val="superscript"/>
        </w:rPr>
        <w:t>3</w:t>
      </w:r>
      <w:r w:rsidR="00FE6B72">
        <w:rPr>
          <w:snapToGrid w:val="0"/>
        </w:rPr>
        <w:t xml:space="preserve"> Class II increment.  See</w:t>
      </w:r>
      <w:r w:rsidR="00FD627C">
        <w:rPr>
          <w:snapToGrid w:val="0"/>
        </w:rPr>
        <w:t xml:space="preserve"> the ADEC modeling </w:t>
      </w:r>
      <w:hyperlink r:id="rId165" w:history="1">
        <w:r w:rsidR="00B34396">
          <w:rPr>
            <w:rStyle w:val="Hyperlink"/>
            <w:snapToGrid w:val="0"/>
          </w:rPr>
          <w:t>Memorandum o</w:t>
        </w:r>
        <w:r w:rsidR="00B34396" w:rsidRPr="00B4542F">
          <w:rPr>
            <w:rStyle w:val="Hyperlink"/>
            <w:snapToGrid w:val="0"/>
          </w:rPr>
          <w:t>n Roundin</w:t>
        </w:r>
        <w:r w:rsidR="00B34396">
          <w:rPr>
            <w:rStyle w:val="Hyperlink"/>
            <w:snapToGrid w:val="0"/>
          </w:rPr>
          <w:t>g of Modeled Impacts</w:t>
        </w:r>
      </w:hyperlink>
      <w:r w:rsidR="00FD627C">
        <w:rPr>
          <w:snapToGrid w:val="0"/>
        </w:rPr>
        <w:t xml:space="preserve"> for additional guidance.</w:t>
      </w:r>
    </w:p>
    <w:p w14:paraId="73926549" w14:textId="77777777" w:rsidR="00104535" w:rsidRDefault="00104535" w:rsidP="00104535">
      <w:pPr>
        <w:spacing w:after="0"/>
      </w:pPr>
    </w:p>
    <w:p w14:paraId="52448FE3" w14:textId="16F9F6C5" w:rsidR="00104535" w:rsidRDefault="00104535">
      <w:pPr>
        <w:spacing w:after="0"/>
      </w:pPr>
      <w:r>
        <w:br w:type="page"/>
      </w:r>
    </w:p>
    <w:p w14:paraId="0E7CB252" w14:textId="77777777" w:rsidR="00104535" w:rsidRDefault="00104535" w:rsidP="00104535">
      <w:pPr>
        <w:spacing w:after="0"/>
      </w:pPr>
    </w:p>
    <w:p w14:paraId="2B50E6BC" w14:textId="77777777" w:rsidR="00104535" w:rsidRDefault="00104535" w:rsidP="00104535">
      <w:pPr>
        <w:spacing w:after="0"/>
      </w:pPr>
    </w:p>
    <w:p w14:paraId="59B08A05" w14:textId="77777777" w:rsidR="00104535" w:rsidRDefault="00104535" w:rsidP="00104535">
      <w:pPr>
        <w:spacing w:after="0"/>
      </w:pPr>
    </w:p>
    <w:p w14:paraId="64ABC5D8" w14:textId="77777777" w:rsidR="00104535" w:rsidRDefault="00104535" w:rsidP="00104535">
      <w:pPr>
        <w:spacing w:after="0"/>
      </w:pPr>
    </w:p>
    <w:p w14:paraId="2CD1DC1E" w14:textId="77777777" w:rsidR="00104535" w:rsidRDefault="00104535" w:rsidP="00104535">
      <w:pPr>
        <w:spacing w:after="0"/>
      </w:pPr>
    </w:p>
    <w:p w14:paraId="17E5E5CF" w14:textId="77777777" w:rsidR="00104535" w:rsidRDefault="00104535" w:rsidP="00104535">
      <w:pPr>
        <w:spacing w:after="0"/>
      </w:pPr>
    </w:p>
    <w:p w14:paraId="09F62CEA" w14:textId="77777777" w:rsidR="00104535" w:rsidRDefault="00104535" w:rsidP="00104535">
      <w:pPr>
        <w:spacing w:after="0"/>
      </w:pPr>
    </w:p>
    <w:p w14:paraId="4425C175" w14:textId="77777777" w:rsidR="00104535" w:rsidRDefault="00104535" w:rsidP="00104535">
      <w:pPr>
        <w:spacing w:after="0"/>
      </w:pPr>
    </w:p>
    <w:p w14:paraId="777B8509" w14:textId="77777777" w:rsidR="00104535" w:rsidRDefault="00104535" w:rsidP="00104535">
      <w:pPr>
        <w:spacing w:after="0"/>
      </w:pPr>
    </w:p>
    <w:p w14:paraId="58AB9AD0" w14:textId="77777777" w:rsidR="00104535" w:rsidRDefault="00104535" w:rsidP="00104535">
      <w:pPr>
        <w:spacing w:after="0"/>
      </w:pPr>
    </w:p>
    <w:p w14:paraId="4A5EF0CF" w14:textId="77777777" w:rsidR="00104535" w:rsidRDefault="00104535" w:rsidP="00104535">
      <w:pPr>
        <w:spacing w:after="0"/>
      </w:pPr>
    </w:p>
    <w:p w14:paraId="37490779" w14:textId="77777777" w:rsidR="00104535" w:rsidRDefault="00104535" w:rsidP="00104535">
      <w:pPr>
        <w:spacing w:after="0"/>
        <w:jc w:val="center"/>
      </w:pPr>
      <w:r>
        <w:rPr>
          <w:snapToGrid w:val="0"/>
        </w:rPr>
        <w:t>(This page intentionally left blank)</w:t>
      </w:r>
    </w:p>
    <w:p w14:paraId="07B0715F" w14:textId="77777777" w:rsidR="00104535" w:rsidRDefault="00104535" w:rsidP="00104535">
      <w:pPr>
        <w:spacing w:after="0"/>
      </w:pPr>
      <w:r>
        <w:br w:type="page"/>
      </w:r>
    </w:p>
    <w:p w14:paraId="477DCD7E" w14:textId="77777777" w:rsidR="009A01E5" w:rsidRDefault="00A97DCA" w:rsidP="00FB5BC2">
      <w:pPr>
        <w:pStyle w:val="Heading2"/>
        <w:rPr>
          <w:snapToGrid w:val="0"/>
        </w:rPr>
      </w:pPr>
      <w:bookmarkStart w:id="280" w:name="_Toc338241986"/>
      <w:bookmarkStart w:id="281" w:name="_Toc338241988"/>
      <w:bookmarkStart w:id="282" w:name="_Toc338241989"/>
      <w:bookmarkStart w:id="283" w:name="_Toc338241990"/>
      <w:bookmarkStart w:id="284" w:name="_Toc338241992"/>
      <w:bookmarkStart w:id="285" w:name="_Toc338241994"/>
      <w:bookmarkStart w:id="286" w:name="_Toc338241996"/>
      <w:bookmarkStart w:id="287" w:name="_Toc338241998"/>
      <w:bookmarkStart w:id="288" w:name="_Toc43521230"/>
      <w:bookmarkStart w:id="289" w:name="AmbientAssessment"/>
      <w:bookmarkEnd w:id="275"/>
      <w:bookmarkEnd w:id="280"/>
      <w:bookmarkEnd w:id="281"/>
      <w:bookmarkEnd w:id="282"/>
      <w:bookmarkEnd w:id="283"/>
      <w:bookmarkEnd w:id="284"/>
      <w:bookmarkEnd w:id="285"/>
      <w:bookmarkEnd w:id="286"/>
      <w:bookmarkEnd w:id="287"/>
      <w:r>
        <w:rPr>
          <w:snapToGrid w:val="0"/>
        </w:rPr>
        <w:lastRenderedPageBreak/>
        <w:tab/>
      </w:r>
      <w:bookmarkStart w:id="290" w:name="_Toc526778298"/>
      <w:r w:rsidR="009A01E5">
        <w:rPr>
          <w:snapToGrid w:val="0"/>
        </w:rPr>
        <w:t>Ambient Assessment Results</w:t>
      </w:r>
      <w:bookmarkEnd w:id="288"/>
      <w:bookmarkEnd w:id="289"/>
      <w:bookmarkEnd w:id="290"/>
    </w:p>
    <w:p w14:paraId="40413C41" w14:textId="01551B15" w:rsidR="009A01E5" w:rsidRDefault="009A01E5" w:rsidP="0088597A">
      <w:pPr>
        <w:rPr>
          <w:snapToGrid w:val="0"/>
        </w:rPr>
      </w:pPr>
      <w:r>
        <w:rPr>
          <w:snapToGrid w:val="0"/>
        </w:rPr>
        <w:t xml:space="preserve">The ambient assessment should be conducted according to </w:t>
      </w:r>
      <w:hyperlink r:id="rId166" w:history="1">
        <w:r w:rsidRPr="00726E81">
          <w:rPr>
            <w:rStyle w:val="Hyperlink"/>
            <w:snapToGrid w:val="0"/>
          </w:rPr>
          <w:t>18 AAC 50.215</w:t>
        </w:r>
      </w:hyperlink>
      <w:r w:rsidR="00E973DB">
        <w:rPr>
          <w:snapToGrid w:val="0"/>
        </w:rPr>
        <w:t>(b) – (</w:t>
      </w:r>
      <w:r w:rsidR="00DB48B6">
        <w:rPr>
          <w:snapToGrid w:val="0"/>
        </w:rPr>
        <w:t>d</w:t>
      </w:r>
      <w:r w:rsidR="00E973DB">
        <w:rPr>
          <w:snapToGrid w:val="0"/>
        </w:rPr>
        <w:t>)</w:t>
      </w:r>
      <w:r>
        <w:rPr>
          <w:snapToGrid w:val="0"/>
        </w:rPr>
        <w:t xml:space="preserve">. </w:t>
      </w:r>
      <w:r w:rsidR="0040514C">
        <w:rPr>
          <w:snapToGrid w:val="0"/>
        </w:rPr>
        <w:t xml:space="preserve">There are several paths and considerations that lead to showing compliance and obtaining a permit.  </w:t>
      </w:r>
      <w:bookmarkStart w:id="291" w:name="_Toc359587925"/>
      <w:bookmarkEnd w:id="291"/>
    </w:p>
    <w:p w14:paraId="21B16F85" w14:textId="77777777" w:rsidR="000632BE" w:rsidRDefault="00A97DCA" w:rsidP="001E5267">
      <w:pPr>
        <w:pStyle w:val="Heading3"/>
        <w:rPr>
          <w:snapToGrid w:val="0"/>
        </w:rPr>
      </w:pPr>
      <w:bookmarkStart w:id="292" w:name="FastTrack"/>
      <w:r>
        <w:rPr>
          <w:snapToGrid w:val="0"/>
        </w:rPr>
        <w:tab/>
      </w:r>
      <w:bookmarkStart w:id="293" w:name="_Toc526778299"/>
      <w:r w:rsidR="000632BE">
        <w:rPr>
          <w:snapToGrid w:val="0"/>
        </w:rPr>
        <w:t>Fast-</w:t>
      </w:r>
      <w:r w:rsidR="004E62B6">
        <w:rPr>
          <w:snapToGrid w:val="0"/>
        </w:rPr>
        <w:t>T</w:t>
      </w:r>
      <w:r w:rsidR="000632BE">
        <w:rPr>
          <w:snapToGrid w:val="0"/>
        </w:rPr>
        <w:t>rack Demonstration</w:t>
      </w:r>
      <w:r w:rsidR="00CD286B">
        <w:rPr>
          <w:snapToGrid w:val="0"/>
        </w:rPr>
        <w:t xml:space="preserve"> (Minor Permits Only)</w:t>
      </w:r>
      <w:bookmarkEnd w:id="293"/>
    </w:p>
    <w:bookmarkEnd w:id="292"/>
    <w:p w14:paraId="2F0FF5FE" w14:textId="77777777" w:rsidR="00F8478C" w:rsidRDefault="00F8478C" w:rsidP="00C12164">
      <w:r>
        <w:t>ADEC has a “</w:t>
      </w:r>
      <w:r w:rsidR="00CD286B">
        <w:t>fast-track</w:t>
      </w:r>
      <w:r>
        <w:t xml:space="preserve">” provision for issuing certain types of </w:t>
      </w:r>
      <w:r w:rsidR="00CD286B">
        <w:t>minor permit</w:t>
      </w:r>
      <w:r>
        <w:t xml:space="preserve">s.  The provision requires a 15-day public </w:t>
      </w:r>
      <w:r w:rsidRPr="00F8478C">
        <w:rPr>
          <w:i/>
        </w:rPr>
        <w:t>notice</w:t>
      </w:r>
      <w:r>
        <w:t xml:space="preserve"> that ADEC intends to issue a minor permit decision under the fast-track procedures, but the notice does </w:t>
      </w:r>
      <w:r w:rsidRPr="00F8478C">
        <w:rPr>
          <w:u w:val="single"/>
        </w:rPr>
        <w:t>not</w:t>
      </w:r>
      <w:r>
        <w:t xml:space="preserve"> include a preliminary permit and does not ask for comment on any type of draft permit.</w:t>
      </w:r>
      <w:r w:rsidR="00CD286B">
        <w:t xml:space="preserve">  </w:t>
      </w:r>
      <w:r>
        <w:t xml:space="preserve">The fast-track process allows for a final permit to be issued within </w:t>
      </w:r>
      <w:r w:rsidR="00DB2DA1">
        <w:t xml:space="preserve">30 days of receiving a complete permit application.  </w:t>
      </w:r>
    </w:p>
    <w:p w14:paraId="125CDF5A" w14:textId="5A278E56" w:rsidR="00116ECE" w:rsidRDefault="00DB2DA1" w:rsidP="00C12164">
      <w:r>
        <w:t xml:space="preserve">The fast-track option is only allowed for </w:t>
      </w:r>
      <w:r w:rsidR="004269AB">
        <w:t>minor permit</w:t>
      </w:r>
      <w:r>
        <w:t xml:space="preserve">s classified under </w:t>
      </w:r>
      <w:hyperlink r:id="rId167" w:history="1">
        <w:r w:rsidR="00D66D57" w:rsidRPr="006D03E0">
          <w:rPr>
            <w:rStyle w:val="Hyperlink"/>
          </w:rPr>
          <w:t>18</w:t>
        </w:r>
        <w:r w:rsidR="006D03E0" w:rsidRPr="006D03E0">
          <w:rPr>
            <w:rStyle w:val="Hyperlink"/>
          </w:rPr>
          <w:t> </w:t>
        </w:r>
        <w:r w:rsidR="00D66D57" w:rsidRPr="006D03E0">
          <w:rPr>
            <w:rStyle w:val="Hyperlink"/>
          </w:rPr>
          <w:t>AAC</w:t>
        </w:r>
        <w:r w:rsidR="006D03E0" w:rsidRPr="006D03E0">
          <w:rPr>
            <w:rStyle w:val="Hyperlink"/>
          </w:rPr>
          <w:t> </w:t>
        </w:r>
        <w:r w:rsidR="00D66D57" w:rsidRPr="006D03E0">
          <w:rPr>
            <w:rStyle w:val="Hyperlink"/>
          </w:rPr>
          <w:t>50.502</w:t>
        </w:r>
      </w:hyperlink>
      <w:r w:rsidR="00D66D57">
        <w:t xml:space="preserve">(b) </w:t>
      </w:r>
      <w:r>
        <w:t>or</w:t>
      </w:r>
      <w:r w:rsidR="00D66D57">
        <w:t xml:space="preserve"> (c)</w:t>
      </w:r>
      <w:r>
        <w:t xml:space="preserve">, except for projects located within the areas listed in </w:t>
      </w:r>
      <w:hyperlink r:id="rId168" w:history="1">
        <w:r w:rsidR="009B24CE" w:rsidRPr="00726E81">
          <w:rPr>
            <w:rStyle w:val="Hyperlink"/>
          </w:rPr>
          <w:t>18</w:t>
        </w:r>
        <w:r w:rsidR="009B24CE" w:rsidRPr="009B24CE">
          <w:rPr>
            <w:u w:val="single"/>
          </w:rPr>
          <w:t> </w:t>
        </w:r>
        <w:r w:rsidR="009B24CE" w:rsidRPr="00726E81">
          <w:rPr>
            <w:rStyle w:val="Hyperlink"/>
          </w:rPr>
          <w:t>AAC</w:t>
        </w:r>
        <w:r w:rsidR="009B24CE" w:rsidRPr="009B24CE">
          <w:rPr>
            <w:u w:val="single"/>
          </w:rPr>
          <w:t> </w:t>
        </w:r>
        <w:r w:rsidR="009B24CE" w:rsidRPr="00726E81">
          <w:rPr>
            <w:rStyle w:val="Hyperlink"/>
          </w:rPr>
          <w:t>50.542</w:t>
        </w:r>
      </w:hyperlink>
      <w:r w:rsidR="00D66D57">
        <w:t>(a)(1)</w:t>
      </w:r>
      <w:r w:rsidR="0048008A">
        <w:t>.</w:t>
      </w:r>
      <w:r w:rsidR="00410CDB">
        <w:t xml:space="preserve">  The fast-track option is </w:t>
      </w:r>
      <w:r w:rsidR="00410CDB" w:rsidRPr="00F8478C">
        <w:rPr>
          <w:u w:val="single"/>
        </w:rPr>
        <w:t>not</w:t>
      </w:r>
      <w:r w:rsidR="00410CDB">
        <w:t xml:space="preserve"> allowed for minor permits classified under 18 AAC 50.508, or any permit classified under Article 3 of 18</w:t>
      </w:r>
      <w:r w:rsidR="006D03E0">
        <w:t> </w:t>
      </w:r>
      <w:r w:rsidR="00410CDB">
        <w:t>AAC</w:t>
      </w:r>
      <w:r w:rsidR="006D03E0">
        <w:t> </w:t>
      </w:r>
      <w:r w:rsidR="00410CDB">
        <w:t xml:space="preserve">50. </w:t>
      </w:r>
    </w:p>
    <w:p w14:paraId="0FF13D84" w14:textId="77777777" w:rsidR="00116ECE" w:rsidRDefault="005B2391" w:rsidP="00C12164">
      <w:r>
        <w:t xml:space="preserve">Upon receiving a complete application ADEC will give notice using the Alaska Online Public Notice System or other means as identified in </w:t>
      </w:r>
      <w:hyperlink r:id="rId169" w:history="1">
        <w:r w:rsidRPr="00726E81">
          <w:rPr>
            <w:rStyle w:val="Hyperlink"/>
          </w:rPr>
          <w:t>18 AAC 50.542</w:t>
        </w:r>
      </w:hyperlink>
      <w:r>
        <w:t xml:space="preserve">(b)(1). </w:t>
      </w:r>
      <w:r w:rsidR="003F109F">
        <w:t xml:space="preserve"> Persons receiving such a notification have 15 days to request </w:t>
      </w:r>
      <w:r w:rsidR="00A70D18">
        <w:t xml:space="preserve">the opportunity or review a preliminary permit decision under </w:t>
      </w:r>
      <w:r w:rsidR="003F109F">
        <w:t>a 30-day public comment period.</w:t>
      </w:r>
    </w:p>
    <w:p w14:paraId="34D19ECF" w14:textId="77777777" w:rsidR="007B60B6" w:rsidRDefault="005B2391" w:rsidP="007B60B6">
      <w:r>
        <w:t xml:space="preserve">For an air pollutant for which a permit is required under </w:t>
      </w:r>
      <w:hyperlink r:id="rId170" w:history="1">
        <w:r w:rsidRPr="00726E81">
          <w:rPr>
            <w:rStyle w:val="Hyperlink"/>
          </w:rPr>
          <w:t>18 AAC 50.502</w:t>
        </w:r>
      </w:hyperlink>
      <w:r w:rsidRPr="0056681F">
        <w:t>(c)</w:t>
      </w:r>
      <w:r>
        <w:t xml:space="preserve">, or for an air pollutant for which the department requests an analysis for a stationary source classified under </w:t>
      </w:r>
      <w:hyperlink r:id="rId171" w:history="1">
        <w:r w:rsidRPr="0056681F">
          <w:rPr>
            <w:rStyle w:val="Hyperlink"/>
          </w:rPr>
          <w:t>18 AAC 50.502</w:t>
        </w:r>
      </w:hyperlink>
      <w:r w:rsidRPr="0056681F">
        <w:t>(b)</w:t>
      </w:r>
      <w:r w:rsidR="00D66D57">
        <w:t>(3)</w:t>
      </w:r>
      <w:r>
        <w:t xml:space="preserve">, the applicant must include a screening ambient air quality analysis in accordance with the requirements of </w:t>
      </w:r>
      <w:hyperlink r:id="rId172" w:history="1">
        <w:r w:rsidRPr="00726E81">
          <w:rPr>
            <w:rStyle w:val="Hyperlink"/>
          </w:rPr>
          <w:t>18 AAC 50.542</w:t>
        </w:r>
      </w:hyperlink>
      <w:r w:rsidRPr="00A80D27">
        <w:t>(c)</w:t>
      </w:r>
      <w:r w:rsidR="003F109F">
        <w:t>(1)</w:t>
      </w:r>
      <w:r w:rsidR="00D82176">
        <w:t>.  A</w:t>
      </w:r>
      <w:r w:rsidR="003F109F">
        <w:t xml:space="preserve">ll predicted air pollutant concentrations </w:t>
      </w:r>
      <w:r w:rsidR="00D82176">
        <w:t xml:space="preserve">must </w:t>
      </w:r>
      <w:r w:rsidR="003F109F">
        <w:t xml:space="preserve">comply </w:t>
      </w:r>
      <w:r w:rsidR="007B6D26">
        <w:t xml:space="preserve">with thresholds identified in </w:t>
      </w:r>
      <w:hyperlink r:id="rId173" w:history="1">
        <w:r w:rsidR="003F109F" w:rsidRPr="00726E81">
          <w:rPr>
            <w:rStyle w:val="Hyperlink"/>
          </w:rPr>
          <w:t>18 AAC 50.542</w:t>
        </w:r>
      </w:hyperlink>
      <w:r w:rsidR="003F109F">
        <w:t xml:space="preserve">(c)(2). </w:t>
      </w:r>
      <w:r w:rsidR="00D66D57">
        <w:t xml:space="preserve"> The thresholds are based on assumed off-site/background concentrations and are derived </w:t>
      </w:r>
      <w:proofErr w:type="gramStart"/>
      <w:r w:rsidR="00D66D57">
        <w:t>on review of</w:t>
      </w:r>
      <w:proofErr w:type="gramEnd"/>
      <w:r w:rsidR="00D66D57">
        <w:t xml:space="preserve"> past assessments.</w:t>
      </w:r>
    </w:p>
    <w:p w14:paraId="68C64B54" w14:textId="77777777" w:rsidR="000632BE" w:rsidRDefault="005B2391" w:rsidP="007B60B6">
      <w:r>
        <w:t>A screening analysis is not needed if ADEC makes a finding in writing that the stationary source or modification does not need an ambient air quality analysis to determine that construction and operation will not result in a violation of an ambient air quality standard</w:t>
      </w:r>
      <w:r w:rsidR="003F109F">
        <w:t>.</w:t>
      </w:r>
    </w:p>
    <w:p w14:paraId="1A44D772" w14:textId="77777777" w:rsidR="009A01E5" w:rsidRDefault="00A97DCA" w:rsidP="00D828D5">
      <w:pPr>
        <w:pStyle w:val="Heading3"/>
        <w:rPr>
          <w:snapToGrid w:val="0"/>
        </w:rPr>
      </w:pPr>
      <w:bookmarkStart w:id="294" w:name="_Toc43521232"/>
      <w:r>
        <w:rPr>
          <w:snapToGrid w:val="0"/>
        </w:rPr>
        <w:tab/>
      </w:r>
      <w:bookmarkStart w:id="295" w:name="_Toc526778300"/>
      <w:r w:rsidR="0048008A">
        <w:rPr>
          <w:snapToGrid w:val="0"/>
        </w:rPr>
        <w:t xml:space="preserve">Project </w:t>
      </w:r>
      <w:r w:rsidR="009A01E5">
        <w:rPr>
          <w:snapToGrid w:val="0"/>
        </w:rPr>
        <w:t>Impact Analysis</w:t>
      </w:r>
      <w:bookmarkEnd w:id="295"/>
      <w:r w:rsidR="009A01E5">
        <w:rPr>
          <w:snapToGrid w:val="0"/>
        </w:rPr>
        <w:t xml:space="preserve"> </w:t>
      </w:r>
      <w:bookmarkEnd w:id="294"/>
    </w:p>
    <w:p w14:paraId="5E09E28A" w14:textId="69A57A29" w:rsidR="009A01E5" w:rsidRDefault="009A01E5">
      <w:pPr>
        <w:rPr>
          <w:snapToGrid w:val="0"/>
        </w:rPr>
      </w:pPr>
      <w:proofErr w:type="gramStart"/>
      <w:r>
        <w:rPr>
          <w:snapToGrid w:val="0"/>
        </w:rPr>
        <w:t xml:space="preserve">The </w:t>
      </w:r>
      <w:r w:rsidR="0048008A">
        <w:rPr>
          <w:snapToGrid w:val="0"/>
        </w:rPr>
        <w:t>project</w:t>
      </w:r>
      <w:proofErr w:type="gramEnd"/>
      <w:r w:rsidR="0048008A">
        <w:rPr>
          <w:snapToGrid w:val="0"/>
        </w:rPr>
        <w:t xml:space="preserve"> </w:t>
      </w:r>
      <w:r>
        <w:rPr>
          <w:snapToGrid w:val="0"/>
        </w:rPr>
        <w:t>impact analysis</w:t>
      </w:r>
      <w:r w:rsidR="00DB48B6">
        <w:rPr>
          <w:rStyle w:val="FootnoteReference"/>
          <w:snapToGrid w:val="0"/>
        </w:rPr>
        <w:footnoteReference w:id="100"/>
      </w:r>
      <w:r>
        <w:rPr>
          <w:snapToGrid w:val="0"/>
        </w:rPr>
        <w:t xml:space="preserve"> is conducted on a pollutant-by-pollutant basis. The analysis is relatively straightforward. </w:t>
      </w:r>
    </w:p>
    <w:p w14:paraId="3C44B5D4" w14:textId="28E17C00" w:rsidR="009A01E5" w:rsidRDefault="009A01E5" w:rsidP="007B2BB9">
      <w:pPr>
        <w:numPr>
          <w:ilvl w:val="0"/>
          <w:numId w:val="33"/>
        </w:numPr>
        <w:tabs>
          <w:tab w:val="clear" w:pos="720"/>
        </w:tabs>
        <w:rPr>
          <w:snapToGrid w:val="0"/>
        </w:rPr>
      </w:pPr>
      <w:r>
        <w:rPr>
          <w:snapToGrid w:val="0"/>
        </w:rPr>
        <w:t xml:space="preserve">Ensure that the highest model-predicted impacts were used for comparison with the </w:t>
      </w:r>
      <w:r w:rsidR="00120782">
        <w:rPr>
          <w:snapToGrid w:val="0"/>
        </w:rPr>
        <w:t>significant impact level (SIL),</w:t>
      </w:r>
      <w:r>
        <w:rPr>
          <w:snapToGrid w:val="0"/>
        </w:rPr>
        <w:t xml:space="preserve"> not </w:t>
      </w:r>
      <w:r w:rsidR="00120782">
        <w:rPr>
          <w:snapToGrid w:val="0"/>
        </w:rPr>
        <w:t xml:space="preserve">the </w:t>
      </w:r>
      <w:r w:rsidR="00F02C3B">
        <w:rPr>
          <w:snapToGrid w:val="0"/>
        </w:rPr>
        <w:t>H</w:t>
      </w:r>
      <w:r>
        <w:rPr>
          <w:snapToGrid w:val="0"/>
        </w:rPr>
        <w:t>2</w:t>
      </w:r>
      <w:r w:rsidR="00F02C3B">
        <w:rPr>
          <w:snapToGrid w:val="0"/>
        </w:rPr>
        <w:t>H</w:t>
      </w:r>
      <w:r>
        <w:rPr>
          <w:snapToGrid w:val="0"/>
        </w:rPr>
        <w:t xml:space="preserve"> concentration.  </w:t>
      </w:r>
    </w:p>
    <w:p w14:paraId="33005CDC" w14:textId="77777777" w:rsidR="009A01E5" w:rsidRDefault="009A01E5">
      <w:pPr>
        <w:rPr>
          <w:snapToGrid w:val="0"/>
        </w:rPr>
      </w:pPr>
      <w:r>
        <w:rPr>
          <w:snapToGrid w:val="0"/>
        </w:rPr>
        <w:lastRenderedPageBreak/>
        <w:t xml:space="preserve">Emissions should be based upon potential-to-emit emission rates and corresponding stack parameters, unless the source is subject to load screening, in which case the emissions scenario with the maximum ambient impact should have been used.  </w:t>
      </w:r>
    </w:p>
    <w:p w14:paraId="2FF72B68" w14:textId="1DD15C53" w:rsidR="009A01E5" w:rsidRDefault="009A01E5">
      <w:pPr>
        <w:rPr>
          <w:snapToGrid w:val="0"/>
        </w:rPr>
      </w:pPr>
      <w:r>
        <w:rPr>
          <w:snapToGrid w:val="0"/>
        </w:rPr>
        <w:t xml:space="preserve">The </w:t>
      </w:r>
      <w:r w:rsidR="00120782">
        <w:rPr>
          <w:snapToGrid w:val="0"/>
        </w:rPr>
        <w:t xml:space="preserve">SIL for </w:t>
      </w:r>
      <w:r w:rsidR="001A0631">
        <w:rPr>
          <w:snapToGrid w:val="0"/>
        </w:rPr>
        <w:t xml:space="preserve">AAAQS </w:t>
      </w:r>
      <w:r w:rsidR="00120782">
        <w:rPr>
          <w:snapToGrid w:val="0"/>
        </w:rPr>
        <w:t>and Class II assessments</w:t>
      </w:r>
      <w:r>
        <w:rPr>
          <w:snapToGrid w:val="0"/>
        </w:rPr>
        <w:t xml:space="preserve"> are identified in </w:t>
      </w:r>
      <w:hyperlink r:id="rId174" w:history="1">
        <w:r w:rsidRPr="00726E81">
          <w:rPr>
            <w:rStyle w:val="Hyperlink"/>
            <w:snapToGrid w:val="0"/>
          </w:rPr>
          <w:t>18 AAC 50.</w:t>
        </w:r>
        <w:r w:rsidR="00120782" w:rsidRPr="00726E81">
          <w:rPr>
            <w:rStyle w:val="Hyperlink"/>
            <w:snapToGrid w:val="0"/>
          </w:rPr>
          <w:t>215</w:t>
        </w:r>
      </w:hyperlink>
      <w:r>
        <w:rPr>
          <w:snapToGrid w:val="0"/>
        </w:rPr>
        <w:t xml:space="preserve">(d) </w:t>
      </w:r>
      <w:r w:rsidR="00120782">
        <w:rPr>
          <w:snapToGrid w:val="0"/>
        </w:rPr>
        <w:t xml:space="preserve">– </w:t>
      </w:r>
      <w:r>
        <w:rPr>
          <w:snapToGrid w:val="0"/>
        </w:rPr>
        <w:t xml:space="preserve">Table </w:t>
      </w:r>
      <w:r w:rsidR="00120782">
        <w:rPr>
          <w:snapToGrid w:val="0"/>
        </w:rPr>
        <w:t>5</w:t>
      </w:r>
      <w:r>
        <w:rPr>
          <w:snapToGrid w:val="0"/>
        </w:rPr>
        <w:t xml:space="preserve">. </w:t>
      </w:r>
      <w:r w:rsidR="00D828D5">
        <w:rPr>
          <w:snapToGrid w:val="0"/>
        </w:rPr>
        <w:t xml:space="preserve"> </w:t>
      </w:r>
      <w:r>
        <w:rPr>
          <w:snapToGrid w:val="0"/>
        </w:rPr>
        <w:t>While EPA has es</w:t>
      </w:r>
      <w:r w:rsidR="00C974F4">
        <w:rPr>
          <w:snapToGrid w:val="0"/>
        </w:rPr>
        <w:t xml:space="preserve">tablished </w:t>
      </w:r>
      <w:r>
        <w:rPr>
          <w:snapToGrid w:val="0"/>
        </w:rPr>
        <w:t xml:space="preserve">SILs for Class II areas, </w:t>
      </w:r>
      <w:r w:rsidR="00120782">
        <w:rPr>
          <w:snapToGrid w:val="0"/>
        </w:rPr>
        <w:t xml:space="preserve">they </w:t>
      </w:r>
      <w:r w:rsidR="00023659">
        <w:rPr>
          <w:snapToGrid w:val="0"/>
        </w:rPr>
        <w:t xml:space="preserve">are </w:t>
      </w:r>
      <w:r>
        <w:rPr>
          <w:snapToGrid w:val="0"/>
        </w:rPr>
        <w:t>only proposed but not yet finalized SILs for Class I areas</w:t>
      </w:r>
      <w:r w:rsidR="00D3160D">
        <w:rPr>
          <w:snapToGrid w:val="0"/>
        </w:rPr>
        <w:t>.</w:t>
      </w:r>
      <w:r w:rsidR="00227D4A">
        <w:rPr>
          <w:rStyle w:val="FootnoteReference"/>
          <w:snapToGrid w:val="0"/>
        </w:rPr>
        <w:footnoteReference w:id="101"/>
      </w:r>
      <w:r>
        <w:rPr>
          <w:snapToGrid w:val="0"/>
        </w:rPr>
        <w:t xml:space="preserve">  Refer to </w:t>
      </w:r>
      <w:r w:rsidRPr="00364C05">
        <w:rPr>
          <w:snapToGrid w:val="0"/>
        </w:rPr>
        <w:t xml:space="preserve">Section </w:t>
      </w:r>
      <w:r w:rsidR="0072246A">
        <w:rPr>
          <w:snapToGrid w:val="0"/>
        </w:rPr>
        <w:fldChar w:fldCharType="begin"/>
      </w:r>
      <w:r w:rsidR="0072246A">
        <w:rPr>
          <w:snapToGrid w:val="0"/>
        </w:rPr>
        <w:instrText xml:space="preserve"> REF _Ref474397396 \w \h </w:instrText>
      </w:r>
      <w:r w:rsidR="0072246A">
        <w:rPr>
          <w:snapToGrid w:val="0"/>
        </w:rPr>
      </w:r>
      <w:r w:rsidR="0072246A">
        <w:rPr>
          <w:snapToGrid w:val="0"/>
        </w:rPr>
        <w:fldChar w:fldCharType="separate"/>
      </w:r>
      <w:r w:rsidR="00135FFD">
        <w:rPr>
          <w:snapToGrid w:val="0"/>
        </w:rPr>
        <w:t>2.15</w:t>
      </w:r>
      <w:r w:rsidR="0072246A">
        <w:rPr>
          <w:snapToGrid w:val="0"/>
        </w:rPr>
        <w:fldChar w:fldCharType="end"/>
      </w:r>
      <w:r>
        <w:rPr>
          <w:snapToGrid w:val="0"/>
        </w:rPr>
        <w:t xml:space="preserve"> of this document for a discussion of the proposed Class I area SILs. </w:t>
      </w:r>
    </w:p>
    <w:p w14:paraId="51F206BB" w14:textId="4396D9E7" w:rsidR="009A01E5" w:rsidRDefault="00A97DCA" w:rsidP="007B60B6">
      <w:pPr>
        <w:pStyle w:val="Heading3"/>
        <w:spacing w:after="120"/>
        <w:rPr>
          <w:snapToGrid w:val="0"/>
        </w:rPr>
      </w:pPr>
      <w:bookmarkStart w:id="296" w:name="_Toc43521234"/>
      <w:r>
        <w:rPr>
          <w:snapToGrid w:val="0"/>
        </w:rPr>
        <w:tab/>
      </w:r>
      <w:bookmarkStart w:id="297" w:name="_Ref489945212"/>
      <w:bookmarkStart w:id="298" w:name="_Toc526778301"/>
      <w:bookmarkEnd w:id="296"/>
      <w:r w:rsidR="009D6234">
        <w:rPr>
          <w:snapToGrid w:val="0"/>
        </w:rPr>
        <w:t xml:space="preserve">Cumulative </w:t>
      </w:r>
      <w:r w:rsidR="009B3EF9">
        <w:rPr>
          <w:snapToGrid w:val="0"/>
        </w:rPr>
        <w:t xml:space="preserve">Impact </w:t>
      </w:r>
      <w:r w:rsidR="009D6234">
        <w:rPr>
          <w:snapToGrid w:val="0"/>
        </w:rPr>
        <w:t>Analyses</w:t>
      </w:r>
      <w:bookmarkEnd w:id="297"/>
      <w:bookmarkEnd w:id="298"/>
    </w:p>
    <w:p w14:paraId="229098A4" w14:textId="4F2EDF06" w:rsidR="009D6234" w:rsidRDefault="00A30C1C" w:rsidP="009D6234">
      <w:r w:rsidRPr="008E3429">
        <w:t xml:space="preserve">The </w:t>
      </w:r>
      <w:r>
        <w:t xml:space="preserve">air quality </w:t>
      </w:r>
      <w:r w:rsidRPr="008E3429">
        <w:t xml:space="preserve">impact from </w:t>
      </w:r>
      <w:r>
        <w:t xml:space="preserve">natural and regional sources, along with </w:t>
      </w:r>
      <w:r w:rsidRPr="008E3429">
        <w:t>long-range transport</w:t>
      </w:r>
      <w:r>
        <w:t xml:space="preserve"> from far away sources,</w:t>
      </w:r>
      <w:r w:rsidRPr="008E3429">
        <w:t xml:space="preserve"> must be accounted for in a cumulative </w:t>
      </w:r>
      <w:r>
        <w:t>AAAQS demonstration</w:t>
      </w:r>
      <w:r w:rsidRPr="008E3429">
        <w:t xml:space="preserve">. </w:t>
      </w:r>
      <w:r>
        <w:t xml:space="preserve">The increment consuming impact from off-site anthropogenic sources must likewise be accounted for in a cumulative increment demonstration. The approach for incorporating these impacts </w:t>
      </w:r>
      <w:r w:rsidR="009D6234">
        <w:rPr>
          <w:snapToGrid w:val="0"/>
        </w:rPr>
        <w:t xml:space="preserve">are described in Sections 8.2 </w:t>
      </w:r>
      <w:r w:rsidR="00130EEE">
        <w:rPr>
          <w:snapToGrid w:val="0"/>
        </w:rPr>
        <w:t xml:space="preserve">and 8.3 </w:t>
      </w:r>
      <w:r w:rsidR="009D6234">
        <w:rPr>
          <w:snapToGrid w:val="0"/>
        </w:rPr>
        <w:t xml:space="preserve">of the </w:t>
      </w:r>
      <w:hyperlink r:id="rId175" w:history="1">
        <w:r w:rsidR="009D6234" w:rsidRPr="00C42099">
          <w:rPr>
            <w:rStyle w:val="Hyperlink"/>
            <w:snapToGrid w:val="0"/>
          </w:rPr>
          <w:t>Guideline</w:t>
        </w:r>
      </w:hyperlink>
      <w:r w:rsidR="009D6234">
        <w:rPr>
          <w:snapToGrid w:val="0"/>
        </w:rPr>
        <w:t>.</w:t>
      </w:r>
      <w:r>
        <w:rPr>
          <w:snapToGrid w:val="0"/>
        </w:rPr>
        <w:t xml:space="preserve">  The approach must be evaluated on a case-specific basis </w:t>
      </w:r>
      <w:r w:rsidR="009D6234">
        <w:t xml:space="preserve">for each pollutant </w:t>
      </w:r>
      <w:r>
        <w:t xml:space="preserve">and averaging period </w:t>
      </w:r>
      <w:r w:rsidR="009D6234">
        <w:t xml:space="preserve">with impacts greater than the SIL.  </w:t>
      </w:r>
      <w:r w:rsidR="008863A2">
        <w:t>Various aspects of this evaluation are described below.</w:t>
      </w:r>
    </w:p>
    <w:p w14:paraId="203CA2DF" w14:textId="456F9794" w:rsidR="009D6234" w:rsidRDefault="00130EEE" w:rsidP="009D6234">
      <w:pPr>
        <w:keepNext/>
        <w:spacing w:after="120"/>
        <w:rPr>
          <w:b/>
          <w:u w:val="single"/>
        </w:rPr>
      </w:pPr>
      <w:r>
        <w:rPr>
          <w:b/>
          <w:u w:val="single"/>
        </w:rPr>
        <w:t>Cumulative AAAQS Analysis</w:t>
      </w:r>
    </w:p>
    <w:p w14:paraId="51410FF0" w14:textId="41364DC8" w:rsidR="009D6234" w:rsidRDefault="00A30C1C" w:rsidP="007F03A3">
      <w:pPr>
        <w:rPr>
          <w:snapToGrid w:val="0"/>
        </w:rPr>
      </w:pPr>
      <w:r>
        <w:t>Section</w:t>
      </w:r>
      <w:r w:rsidR="00EB6D04">
        <w:t> </w:t>
      </w:r>
      <w:r>
        <w:t>8.</w:t>
      </w:r>
      <w:r w:rsidR="00A32A4D">
        <w:t>3</w:t>
      </w:r>
      <w:r w:rsidR="00B04678">
        <w:t>.3</w:t>
      </w:r>
      <w:r>
        <w:t xml:space="preserve"> of the </w:t>
      </w:r>
      <w:r w:rsidRPr="00C42099">
        <w:t>Guideline</w:t>
      </w:r>
      <w:r>
        <w:t xml:space="preserve"> discusses how the off-site impacts could be incorporated for purposes of demonstrating compliance with an air quality standard. </w:t>
      </w:r>
      <w:r w:rsidR="00B04678">
        <w:t xml:space="preserve"> In summary, the off-site impacts must either be represented through ambient monitoring data or through modeling.  </w:t>
      </w:r>
      <w:r w:rsidR="00EB6D04">
        <w:t>EPA state</w:t>
      </w:r>
      <w:r w:rsidR="00DB4154">
        <w:t>s</w:t>
      </w:r>
      <w:r w:rsidR="00EB6D04">
        <w:t xml:space="preserve"> in </w:t>
      </w:r>
      <w:r w:rsidRPr="008E3429">
        <w:t>Section</w:t>
      </w:r>
      <w:r w:rsidR="00EB6D04">
        <w:t> </w:t>
      </w:r>
      <w:r w:rsidRPr="008E3429">
        <w:t>8.</w:t>
      </w:r>
      <w:r w:rsidR="00EB6D04">
        <w:t>3</w:t>
      </w:r>
      <w:r w:rsidRPr="008E3429">
        <w:t>.3</w:t>
      </w:r>
      <w:r w:rsidR="00EB6D04">
        <w:t xml:space="preserve">(b)(iii) of the </w:t>
      </w:r>
      <w:r w:rsidR="00EB6D04" w:rsidRPr="00C42099">
        <w:t>Guideline</w:t>
      </w:r>
      <w:r w:rsidR="00DB4154">
        <w:t xml:space="preserve"> that</w:t>
      </w:r>
      <w:r w:rsidRPr="008E3429">
        <w:t>, “</w:t>
      </w:r>
      <w:r w:rsidR="00EB6D04">
        <w:t xml:space="preserve">The number of nearby sources to be explicitly modeled in the air quality analysis is expected to be few except in unusual situations.” </w:t>
      </w:r>
      <w:r w:rsidR="007F03A3">
        <w:t xml:space="preserve"> They further state in Section 8.3.3(b) that, “</w:t>
      </w:r>
      <w:r w:rsidRPr="00FF5887">
        <w:rPr>
          <w:i/>
        </w:rPr>
        <w:t xml:space="preserve">…sources </w:t>
      </w:r>
      <w:r w:rsidR="007F03A3">
        <w:rPr>
          <w:i/>
        </w:rPr>
        <w:t xml:space="preserve">that </w:t>
      </w:r>
      <w:r w:rsidRPr="00FF5887">
        <w:rPr>
          <w:i/>
        </w:rPr>
        <w:t xml:space="preserve">cause a significant concentration gradient in the vicinity of the [applicant’s source] </w:t>
      </w:r>
      <w:r w:rsidR="007F03A3">
        <w:rPr>
          <w:i/>
        </w:rPr>
        <w:t>are not likely to be adequately characterized by the monitored data due to the high degree of variability of the source’s impact</w:t>
      </w:r>
      <w:r w:rsidRPr="00FF5887">
        <w:rPr>
          <w:i/>
        </w:rPr>
        <w:t>.</w:t>
      </w:r>
      <w:r w:rsidRPr="008E3429">
        <w:t xml:space="preserve">” </w:t>
      </w:r>
      <w:r w:rsidR="009D6234">
        <w:rPr>
          <w:snapToGrid w:val="0"/>
        </w:rPr>
        <w:t xml:space="preserve"> </w:t>
      </w:r>
    </w:p>
    <w:p w14:paraId="22A0A732" w14:textId="77777777" w:rsidR="00BD19A0" w:rsidRDefault="00BD19A0" w:rsidP="00BD19A0">
      <w:r>
        <w:t xml:space="preserve">Once the background concentration is determined (see below), it is added to the modeled concentration to estimate the total ambient concentration.  Hence, background concentrations are typically needed for all air pollutants included in an AAAQS compliance demonstration, regardless of </w:t>
      </w:r>
      <w:proofErr w:type="gramStart"/>
      <w:r>
        <w:t>whether or not</w:t>
      </w:r>
      <w:proofErr w:type="gramEnd"/>
      <w:r>
        <w:t xml:space="preserve"> PSD pre-construction monitoring was required.  The data used to represent </w:t>
      </w:r>
      <w:proofErr w:type="gramStart"/>
      <w:r>
        <w:t>the background</w:t>
      </w:r>
      <w:proofErr w:type="gramEnd"/>
      <w:r>
        <w:t xml:space="preserve"> concentration may come from the pre-construction monitoring effort or from some other ambient monitoring effort that represents the non-modeled sources.</w:t>
      </w:r>
    </w:p>
    <w:p w14:paraId="5782567A" w14:textId="77777777" w:rsidR="00BD19A0" w:rsidRDefault="00BD19A0" w:rsidP="00BD19A0">
      <w:pPr>
        <w:rPr>
          <w:snapToGrid w:val="0"/>
        </w:rPr>
      </w:pPr>
      <w:r>
        <w:t xml:space="preserve">The modeled emission rate used for the off-site sources may need to be adjusted for the given averaging period.  Applicants may also be able to exclude off-site sources that do not concurrently operate within the given averaging period.  See Table 8-2 and Section 8.3.3(c) of the </w:t>
      </w:r>
      <w:r w:rsidRPr="00C42099">
        <w:t>Guideline</w:t>
      </w:r>
      <w:r>
        <w:t xml:space="preserve"> for additional information.  </w:t>
      </w:r>
      <w:r>
        <w:rPr>
          <w:snapToGrid w:val="0"/>
        </w:rPr>
        <w:t>Actual emissions may also be used for modeling nearby sources, per Section</w:t>
      </w:r>
      <w:r>
        <w:t> </w:t>
      </w:r>
      <w:r>
        <w:rPr>
          <w:snapToGrid w:val="0"/>
        </w:rPr>
        <w:t>8.2.2(c) and Table</w:t>
      </w:r>
      <w:r>
        <w:t> </w:t>
      </w:r>
      <w:r>
        <w:rPr>
          <w:snapToGrid w:val="0"/>
        </w:rPr>
        <w:t xml:space="preserve">8-2 of the </w:t>
      </w:r>
      <w:r w:rsidRPr="00C42099">
        <w:rPr>
          <w:snapToGrid w:val="0"/>
        </w:rPr>
        <w:t>Guideline</w:t>
      </w:r>
      <w:r>
        <w:rPr>
          <w:snapToGrid w:val="0"/>
        </w:rPr>
        <w:t xml:space="preserve">. </w:t>
      </w:r>
    </w:p>
    <w:p w14:paraId="6688A14B" w14:textId="77777777" w:rsidR="00BD19A0" w:rsidRDefault="00BD19A0" w:rsidP="007F03A3">
      <w:pPr>
        <w:rPr>
          <w:snapToGrid w:val="0"/>
        </w:rPr>
      </w:pPr>
    </w:p>
    <w:p w14:paraId="096E5617" w14:textId="02D70E27" w:rsidR="00130EEE" w:rsidRDefault="00C75676" w:rsidP="00130EEE">
      <w:r w:rsidRPr="00B455E2">
        <w:rPr>
          <w:i/>
          <w:noProof/>
          <w:snapToGrid w:val="0"/>
        </w:rPr>
        <w:lastRenderedPageBreak/>
        <mc:AlternateContent>
          <mc:Choice Requires="wps">
            <w:drawing>
              <wp:anchor distT="45720" distB="45720" distL="114300" distR="114300" simplePos="0" relativeHeight="251706368" behindDoc="0" locked="0" layoutInCell="1" allowOverlap="1" wp14:anchorId="0E5D3A02" wp14:editId="2CFBE9F1">
                <wp:simplePos x="0" y="0"/>
                <wp:positionH relativeFrom="margin">
                  <wp:align>center</wp:align>
                </wp:positionH>
                <wp:positionV relativeFrom="paragraph">
                  <wp:posOffset>104</wp:posOffset>
                </wp:positionV>
                <wp:extent cx="5124450" cy="4972050"/>
                <wp:effectExtent l="0" t="0" r="19050" b="1905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4972050"/>
                        </a:xfrm>
                        <a:prstGeom prst="rect">
                          <a:avLst/>
                        </a:prstGeom>
                        <a:solidFill>
                          <a:srgbClr val="FFFFFF"/>
                        </a:solidFill>
                        <a:ln w="9525">
                          <a:solidFill>
                            <a:srgbClr val="000000"/>
                          </a:solidFill>
                          <a:miter lim="800000"/>
                          <a:headEnd/>
                          <a:tailEnd/>
                        </a:ln>
                      </wps:spPr>
                      <wps:txbx>
                        <w:txbxContent>
                          <w:p w14:paraId="7FFFBABC" w14:textId="1134D968" w:rsidR="004830EA" w:rsidRPr="00014BC0" w:rsidRDefault="004830EA">
                            <w:pPr>
                              <w:rPr>
                                <w:b/>
                              </w:rPr>
                            </w:pPr>
                            <w:r w:rsidRPr="00014BC0">
                              <w:rPr>
                                <w:b/>
                              </w:rPr>
                              <w:t>Obsolete Past Practices</w:t>
                            </w:r>
                          </w:p>
                          <w:p w14:paraId="046308D3" w14:textId="6A894E35" w:rsidR="004830EA" w:rsidRDefault="004830EA" w:rsidP="00014BC0">
                            <w:pPr>
                              <w:rPr>
                                <w:snapToGrid w:val="0"/>
                              </w:rPr>
                            </w:pPr>
                            <w:r>
                              <w:rPr>
                                <w:snapToGrid w:val="0"/>
                              </w:rPr>
                              <w:t xml:space="preserve">Previous guidance defining a </w:t>
                            </w:r>
                            <w:proofErr w:type="gramStart"/>
                            <w:r>
                              <w:rPr>
                                <w:snapToGrid w:val="0"/>
                              </w:rPr>
                              <w:t>fairly rigid</w:t>
                            </w:r>
                            <w:proofErr w:type="gramEnd"/>
                            <w:r>
                              <w:rPr>
                                <w:snapToGrid w:val="0"/>
                              </w:rPr>
                              <w:t xml:space="preserve"> circular area to consider can now be disregarded.  The use of a “Q/d” analysis for culling the off-site inventory should also be discouraged.  </w:t>
                            </w:r>
                            <w:r>
                              <w:t xml:space="preserve">Q/d was developed in the 1980’s by the North Carolina Department of Natural Resources and Community Development as a screening tool for culling off-site sources from a cumulative impact analysis. The Department obtained permission from R10 in 1997 to use Q/d since strict adherence to EPA’s 1990 draft </w:t>
                            </w:r>
                            <w:r w:rsidRPr="00294826">
                              <w:rPr>
                                <w:i/>
                              </w:rPr>
                              <w:t>New Source Review Manual</w:t>
                            </w:r>
                            <w:r>
                              <w:t xml:space="preserve"> sometimes led to unmanageably large off-site inventories. However, the Q/d approach is no longer needed. EPA clarified in their March 2011 memorandum, </w:t>
                            </w:r>
                            <w:r w:rsidRPr="00B04678">
                              <w:rPr>
                                <w:i/>
                              </w:rPr>
                              <w:t xml:space="preserve">Additional Clarification Regarding Application of Appendix W Modeling Guidance for the 1-hour </w:t>
                            </w:r>
                            <w:r>
                              <w:rPr>
                                <w:i/>
                                <w:iCs/>
                              </w:rPr>
                              <w:t>NO</w:t>
                            </w:r>
                            <w:r w:rsidRPr="00BE5BFF">
                              <w:rPr>
                                <w:i/>
                                <w:iCs/>
                                <w:vertAlign w:val="subscript"/>
                              </w:rPr>
                              <w:t>2</w:t>
                            </w:r>
                            <w:r>
                              <w:rPr>
                                <w:i/>
                                <w:iCs/>
                              </w:rPr>
                              <w:t>,</w:t>
                            </w:r>
                            <w:r>
                              <w:t xml:space="preserve"> that using the concentration gradient approach in Section 8.2.3 of the 2005 </w:t>
                            </w:r>
                            <w:r w:rsidRPr="00C42099">
                              <w:t>Guideline</w:t>
                            </w:r>
                            <w:r>
                              <w:t xml:space="preserve"> provides a more reasonable means for selecting the off-site inventory than the 1990 draft procedure.</w:t>
                            </w:r>
                          </w:p>
                          <w:p w14:paraId="2CE92B8C" w14:textId="04E395D9" w:rsidR="004830EA" w:rsidRDefault="004830EA" w:rsidP="00014BC0">
                            <w:r>
                              <w:t xml:space="preserve">Q/d provides no information regarding concentration </w:t>
                            </w:r>
                            <w:r w:rsidRPr="009833EA">
                              <w:rPr>
                                <w:i/>
                              </w:rPr>
                              <w:t>gradients</w:t>
                            </w:r>
                            <w:r>
                              <w:t xml:space="preserve"> – i.e., how quickly a concentration changes with distance. It is essentially a crude tool for trying to estimate the </w:t>
                            </w:r>
                            <w:r w:rsidRPr="009833EA">
                              <w:rPr>
                                <w:i/>
                              </w:rPr>
                              <w:t>range</w:t>
                            </w:r>
                            <w:r>
                              <w:t xml:space="preserve"> of a significant impact area. When the concentration gradient is shallow – i.e., there is little change in ambient concentration with distance – then the concentration within that area can be represented by a single data point – e.g., the concentration measured at a monitoring station. However, single data points cannot generally be used to represent the wide variation that occurs in areas with steep concentration gradients – i.e., where the concentration rapidly changes with distance. Modeling is typically a better approach for assessing the cumulative impact in areas with widely varying concentrations. Within Alaska, steep concentration gradients are generally associated with downwash.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5D3A02" id="_x0000_s1048" type="#_x0000_t202" style="position:absolute;margin-left:0;margin-top:0;width:403.5pt;height:391.5pt;z-index:2517063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">
                <v:textbox>
                  <w:txbxContent>
                    <w:p w14:paraId="7FFFBABC" w14:textId="1134D968" w:rsidR="004830EA" w:rsidRPr="00014BC0" w:rsidRDefault="004830EA">
                      <w:pPr>
                        <w:rPr>
                          <w:b/>
                        </w:rPr>
                      </w:pPr>
                      <w:r w:rsidRPr="00014BC0">
                        <w:rPr>
                          <w:b/>
                        </w:rPr>
                        <w:t>Obsolete Past Practices</w:t>
                      </w:r>
                    </w:p>
                    <w:p w14:paraId="046308D3" w14:textId="6A894E35" w:rsidR="004830EA" w:rsidRDefault="004830EA" w:rsidP="00014BC0">
                      <w:pPr>
                        <w:rPr>
                          <w:snapToGrid w:val="0"/>
                        </w:rPr>
                      </w:pPr>
                      <w:r>
                        <w:rPr>
                          <w:snapToGrid w:val="0"/>
                        </w:rPr>
                        <w:t xml:space="preserve">Previous guidance defining a </w:t>
                      </w:r>
                      <w:proofErr w:type="gramStart"/>
                      <w:r>
                        <w:rPr>
                          <w:snapToGrid w:val="0"/>
                        </w:rPr>
                        <w:t>fairly rigid</w:t>
                      </w:r>
                      <w:proofErr w:type="gramEnd"/>
                      <w:r>
                        <w:rPr>
                          <w:snapToGrid w:val="0"/>
                        </w:rPr>
                        <w:t xml:space="preserve"> circular area to consider can now be disregarded.  The use of a “Q/d” analysis for culling the off-site inventory should also be discouraged.  </w:t>
                      </w:r>
                      <w:r>
                        <w:t xml:space="preserve">Q/d was developed in the 1980’s by the North Carolina Department of Natural Resources and Community Development as a screening tool for culling off-site sources from a cumulative impact analysis. The Department obtained permission from R10 in 1997 to use Q/d since strict adherence to EPA’s 1990 draft </w:t>
                      </w:r>
                      <w:r w:rsidRPr="00294826">
                        <w:rPr>
                          <w:i/>
                        </w:rPr>
                        <w:t>New Source Review Manual</w:t>
                      </w:r>
                      <w:r>
                        <w:t xml:space="preserve"> sometimes led to unmanageably large off-site inventories. However, the Q/d approach is no longer needed. EPA clarified in their March 2011 memorandum, </w:t>
                      </w:r>
                      <w:r w:rsidRPr="00B04678">
                        <w:rPr>
                          <w:i/>
                        </w:rPr>
                        <w:t xml:space="preserve">Additional Clarification Regarding Application of Appendix W Modeling Guidance for the 1-hour </w:t>
                      </w:r>
                      <w:r>
                        <w:rPr>
                          <w:i/>
                          <w:iCs/>
                        </w:rPr>
                        <w:t>NO</w:t>
                      </w:r>
                      <w:r w:rsidRPr="00BE5BFF">
                        <w:rPr>
                          <w:i/>
                          <w:iCs/>
                          <w:vertAlign w:val="subscript"/>
                        </w:rPr>
                        <w:t>2</w:t>
                      </w:r>
                      <w:r>
                        <w:rPr>
                          <w:i/>
                          <w:iCs/>
                        </w:rPr>
                        <w:t>,</w:t>
                      </w:r>
                      <w:r>
                        <w:t xml:space="preserve"> that using the concentration gradient approach in Section 8.2.3 of the 2005 </w:t>
                      </w:r>
                      <w:r w:rsidRPr="00C42099">
                        <w:t>Guideline</w:t>
                      </w:r>
                      <w:r>
                        <w:t xml:space="preserve"> provides a more reasonable means for selecting the off-site inventory than the 1990 draft procedure.</w:t>
                      </w:r>
                    </w:p>
                    <w:p w14:paraId="2CE92B8C" w14:textId="04E395D9" w:rsidR="004830EA" w:rsidRDefault="004830EA" w:rsidP="00014BC0">
                      <w:r>
                        <w:t xml:space="preserve">Q/d provides no information regarding concentration </w:t>
                      </w:r>
                      <w:r w:rsidRPr="009833EA">
                        <w:rPr>
                          <w:i/>
                        </w:rPr>
                        <w:t>gradients</w:t>
                      </w:r>
                      <w:r>
                        <w:t xml:space="preserve"> – i.e., how quickly a concentration changes with distance. It is essentially a crude tool for trying to estimate the </w:t>
                      </w:r>
                      <w:r w:rsidRPr="009833EA">
                        <w:rPr>
                          <w:i/>
                        </w:rPr>
                        <w:t>range</w:t>
                      </w:r>
                      <w:r>
                        <w:t xml:space="preserve"> of a significant impact area. When the concentration gradient is shallow – i.e., there is little change in ambient concentration with distance – then the concentration within that area can be represented by a single data point – e.g., the concentration measured at a monitoring station. However, single data points cannot generally be used to represent the wide variation that occurs in areas with steep concentration gradients – i.e., where the concentration rapidly changes with distance. Modeling is typically a better approach for assessing the cumulative impact in areas with widely varying concentrations. Within Alaska, steep concentration gradients are generally associated with downwash.</w:t>
                      </w:r>
                    </w:p>
                  </w:txbxContent>
                </v:textbox>
                <w10:wrap type="topAndBottom" anchorx="margin"/>
              </v:shape>
            </w:pict>
          </mc:Fallback>
        </mc:AlternateContent>
      </w:r>
      <w:r>
        <w:br/>
      </w:r>
      <w:r w:rsidR="00130EEE">
        <w:t xml:space="preserve">ADEC does not </w:t>
      </w:r>
      <w:r w:rsidR="000A74AA">
        <w:t xml:space="preserve">currently </w:t>
      </w:r>
      <w:r w:rsidR="00130EEE">
        <w:t>maintain a master emission</w:t>
      </w:r>
      <w:r w:rsidR="000A74AA">
        <w:t>s</w:t>
      </w:r>
      <w:r w:rsidR="00130EEE">
        <w:t xml:space="preserve"> inventory database that can be used to import modeling-related information for off-site sources based on the applicant’s geographical location.</w:t>
      </w:r>
      <w:r w:rsidR="00130EEE">
        <w:rPr>
          <w:rStyle w:val="FootnoteReference"/>
        </w:rPr>
        <w:footnoteReference w:id="102"/>
      </w:r>
      <w:r w:rsidR="00130EEE">
        <w:t xml:space="preserve">  However, given the limited number of “nearby sources” in typical Alaska modeling assessments, ADEC has generally provided case-by-case guidance to applicants when identifying sources to be included in the cumulative impact analysis. </w:t>
      </w:r>
    </w:p>
    <w:p w14:paraId="19B2BD05" w14:textId="2CD40A97" w:rsidR="00130EEE" w:rsidRPr="00130EEE" w:rsidRDefault="00130EEE" w:rsidP="00130EEE">
      <w:pPr>
        <w:numPr>
          <w:ilvl w:val="0"/>
          <w:numId w:val="21"/>
        </w:numPr>
        <w:spacing w:before="120" w:after="120"/>
        <w:rPr>
          <w:snapToGrid w:val="0"/>
        </w:rPr>
      </w:pPr>
      <w:r w:rsidRPr="00130EEE">
        <w:rPr>
          <w:snapToGrid w:val="0"/>
        </w:rPr>
        <w:t xml:space="preserve">If you are uncertain of what other sources may exist in the area, (1) ask the lead permit engineer, (2) review any recent construction permit applications that may have been submitted </w:t>
      </w:r>
      <w:proofErr w:type="gramStart"/>
      <w:r w:rsidRPr="00130EEE">
        <w:rPr>
          <w:snapToGrid w:val="0"/>
        </w:rPr>
        <w:t>for</w:t>
      </w:r>
      <w:proofErr w:type="gramEnd"/>
      <w:r w:rsidRPr="00130EEE">
        <w:rPr>
          <w:snapToGrid w:val="0"/>
        </w:rPr>
        <w:t xml:space="preserve"> other sources, and (3) check aerial photographs, topographic maps, or local agency resources. </w:t>
      </w:r>
    </w:p>
    <w:p w14:paraId="078D0957" w14:textId="0257D898" w:rsidR="00130EEE" w:rsidRDefault="00130EEE" w:rsidP="009D6234">
      <w:r>
        <w:rPr>
          <w:snapToGrid w:val="0"/>
        </w:rPr>
        <w:lastRenderedPageBreak/>
        <w:t xml:space="preserve">Source emission rates and stack parameters may frequently be obtained from existing permit documents (permits, TARs, permit applications) or previously submitted modeling files. </w:t>
      </w:r>
    </w:p>
    <w:p w14:paraId="34BE8A3E" w14:textId="77777777" w:rsidR="009D6234" w:rsidRDefault="009D6234" w:rsidP="009D6234">
      <w:pPr>
        <w:keepNext/>
        <w:spacing w:after="120"/>
        <w:rPr>
          <w:b/>
          <w:u w:val="single"/>
        </w:rPr>
      </w:pPr>
      <w:r>
        <w:rPr>
          <w:b/>
          <w:u w:val="single"/>
        </w:rPr>
        <w:t xml:space="preserve">Cumulative PSD Increment Analysis </w:t>
      </w:r>
    </w:p>
    <w:p w14:paraId="2F543826" w14:textId="694934B0" w:rsidR="00DC1201" w:rsidRDefault="00DC1201" w:rsidP="009D6234">
      <w:r>
        <w:t xml:space="preserve">Background data </w:t>
      </w:r>
      <w:r w:rsidR="008806AF">
        <w:t xml:space="preserve">has not been </w:t>
      </w:r>
      <w:r>
        <w:t xml:space="preserve">generally used in </w:t>
      </w:r>
      <w:r w:rsidR="00681AC1">
        <w:t>past</w:t>
      </w:r>
      <w:r>
        <w:t xml:space="preserve"> cumulative increment analysis since it typically overstates the offsite increment consumption – i.e., it reflects </w:t>
      </w:r>
      <w:r w:rsidR="00B742C7">
        <w:t>the total</w:t>
      </w:r>
      <w:r>
        <w:t xml:space="preserve"> air quality concentration rather than the </w:t>
      </w:r>
      <w:r w:rsidRPr="00DC1201">
        <w:rPr>
          <w:i/>
        </w:rPr>
        <w:t>change</w:t>
      </w:r>
      <w:r>
        <w:t xml:space="preserve"> in concentration subsequent to the applicable baseline date (see related discussion in Section </w:t>
      </w:r>
      <w:r>
        <w:fldChar w:fldCharType="begin"/>
      </w:r>
      <w:r>
        <w:instrText xml:space="preserve"> REF _Ref489953826 \w \h </w:instrText>
      </w:r>
      <w:r>
        <w:fldChar w:fldCharType="separate"/>
      </w:r>
      <w:r w:rsidR="00135FFD">
        <w:t>2.1.4</w:t>
      </w:r>
      <w:r>
        <w:fldChar w:fldCharType="end"/>
      </w:r>
      <w:r>
        <w:t xml:space="preserve">).  Applicants </w:t>
      </w:r>
      <w:r w:rsidR="008806AF">
        <w:t xml:space="preserve">have </w:t>
      </w:r>
      <w:r>
        <w:t>instead typically model</w:t>
      </w:r>
      <w:r w:rsidR="008806AF">
        <w:t>ed</w:t>
      </w:r>
      <w:r>
        <w:t xml:space="preserve"> the offsite increment consuming, and </w:t>
      </w:r>
      <w:r w:rsidR="008806AF">
        <w:t xml:space="preserve">when warranted – the </w:t>
      </w:r>
      <w:r>
        <w:t xml:space="preserve">offsite increment expanding, sources of concern. </w:t>
      </w:r>
      <w:r w:rsidR="0095309D">
        <w:t xml:space="preserve"> The cumulative impacts </w:t>
      </w:r>
      <w:r w:rsidR="00681AC1">
        <w:t>we</w:t>
      </w:r>
      <w:r w:rsidR="0095309D">
        <w:t>re then compared to the applicable maximum allowable increase, which are found in Table</w:t>
      </w:r>
      <w:r w:rsidR="00D82ECA">
        <w:t> </w:t>
      </w:r>
      <w:r w:rsidR="0095309D">
        <w:t>2 of</w:t>
      </w:r>
      <w:r w:rsidR="00D82ECA">
        <w:t xml:space="preserve"> </w:t>
      </w:r>
      <w:hyperlink r:id="rId176" w:history="1">
        <w:r w:rsidR="0095309D" w:rsidRPr="00F17E9E">
          <w:rPr>
            <w:rStyle w:val="Hyperlink"/>
          </w:rPr>
          <w:t>18</w:t>
        </w:r>
        <w:r w:rsidR="00D82ECA" w:rsidRPr="005210D4">
          <w:rPr>
            <w:u w:val="single"/>
          </w:rPr>
          <w:t> </w:t>
        </w:r>
        <w:r w:rsidR="0095309D" w:rsidRPr="00F17E9E">
          <w:rPr>
            <w:rStyle w:val="Hyperlink"/>
          </w:rPr>
          <w:t>AAC</w:t>
        </w:r>
        <w:r w:rsidR="00D82ECA" w:rsidRPr="005210D4">
          <w:rPr>
            <w:u w:val="single"/>
          </w:rPr>
          <w:t> </w:t>
        </w:r>
        <w:r w:rsidR="0095309D" w:rsidRPr="00F17E9E">
          <w:rPr>
            <w:rStyle w:val="Hyperlink"/>
          </w:rPr>
          <w:t>50.020</w:t>
        </w:r>
      </w:hyperlink>
      <w:r w:rsidR="0095309D">
        <w:t>.</w:t>
      </w:r>
    </w:p>
    <w:p w14:paraId="5E355868" w14:textId="3E3A9FDF" w:rsidR="008806AF" w:rsidRDefault="00681AC1" w:rsidP="009D6234">
      <w:r>
        <w:t xml:space="preserve">While </w:t>
      </w:r>
      <w:r w:rsidR="008806AF">
        <w:t>Section 8.3.1(a) of the</w:t>
      </w:r>
      <w:r>
        <w:t xml:space="preserve"> 2016</w:t>
      </w:r>
      <w:r w:rsidR="008806AF">
        <w:t xml:space="preserve"> </w:t>
      </w:r>
      <w:r w:rsidR="008806AF" w:rsidRPr="00C42099">
        <w:t>Guideline</w:t>
      </w:r>
      <w:r w:rsidR="008806AF">
        <w:t xml:space="preserve"> implies that background data can now be used to represent the increment consumption from offsite sources</w:t>
      </w:r>
      <w:r>
        <w:t>, this approach should be used with caution since it likely</w:t>
      </w:r>
      <w:r w:rsidR="00660A4D">
        <w:t xml:space="preserve"> provides </w:t>
      </w:r>
      <w:r>
        <w:t>overly conservative</w:t>
      </w:r>
      <w:r w:rsidR="00660A4D">
        <w:t xml:space="preserve"> results</w:t>
      </w:r>
      <w:r w:rsidR="008806AF">
        <w:t>.  Section</w:t>
      </w:r>
      <w:r w:rsidR="00D82ECA">
        <w:t> </w:t>
      </w:r>
      <w:r w:rsidR="008806AF">
        <w:t xml:space="preserve">9.2.3 </w:t>
      </w:r>
      <w:r>
        <w:t xml:space="preserve">of the Guideline is a better reference for </w:t>
      </w:r>
      <w:r w:rsidR="00660A4D">
        <w:t xml:space="preserve">conducting a </w:t>
      </w:r>
      <w:r>
        <w:t xml:space="preserve">cumulative increment assessment.  </w:t>
      </w:r>
      <w:r w:rsidR="00660A4D">
        <w:t>This section</w:t>
      </w:r>
      <w:r>
        <w:t xml:space="preserve"> continues to endorse the past practice by stating</w:t>
      </w:r>
      <w:r w:rsidR="00660A4D">
        <w:t xml:space="preserve"> in paragraph (d), </w:t>
      </w:r>
      <w:r w:rsidR="008806AF">
        <w:t>“</w:t>
      </w:r>
      <w:r w:rsidR="00660A4D">
        <w:t xml:space="preserve">… </w:t>
      </w:r>
      <w:r w:rsidR="008806AF">
        <w:t xml:space="preserve">the applicant should </w:t>
      </w:r>
      <w:r w:rsidR="008806AF" w:rsidRPr="00660A4D">
        <w:rPr>
          <w:i/>
        </w:rPr>
        <w:t>model</w:t>
      </w:r>
      <w:r w:rsidR="008806AF">
        <w:t xml:space="preserve"> the existing or permitted nearby increment-consuming and increment-expanding sources…” </w:t>
      </w:r>
      <w:r w:rsidR="00660A4D">
        <w:t xml:space="preserve">(emphasis added). </w:t>
      </w:r>
      <w:r w:rsidR="008806AF">
        <w:t xml:space="preserve"> </w:t>
      </w:r>
      <w:r w:rsidR="00660A4D" w:rsidRPr="00660A4D">
        <w:rPr>
          <w:u w:val="single"/>
        </w:rPr>
        <w:t>Note</w:t>
      </w:r>
      <w:r w:rsidR="00660A4D">
        <w:t>:  t</w:t>
      </w:r>
      <w:r w:rsidR="008806AF">
        <w:t xml:space="preserve">he rest of the sentence indicates that applicants should </w:t>
      </w:r>
      <w:r w:rsidR="00660A4D">
        <w:t>utilize</w:t>
      </w:r>
      <w:r w:rsidR="008806AF">
        <w:t xml:space="preserve"> on a </w:t>
      </w:r>
      <w:r w:rsidR="008806AF" w:rsidRPr="00660A4D">
        <w:rPr>
          <w:i/>
        </w:rPr>
        <w:t>current</w:t>
      </w:r>
      <w:r w:rsidR="008806AF">
        <w:t xml:space="preserve"> modeling analysis</w:t>
      </w:r>
      <w:r w:rsidR="00660A4D">
        <w:t xml:space="preserve"> of the off-site sources</w:t>
      </w:r>
      <w:r w:rsidR="008806AF">
        <w:t xml:space="preserve"> rather than a previous modeling analysis, </w:t>
      </w:r>
      <w:proofErr w:type="gramStart"/>
      <w:r w:rsidR="00660A4D">
        <w:t>in order to</w:t>
      </w:r>
      <w:proofErr w:type="gramEnd"/>
      <w:r w:rsidR="00660A4D">
        <w:t xml:space="preserve"> incorporate newly acquired data or improved modeling techniques </w:t>
      </w:r>
      <w:r w:rsidR="008E5E2A">
        <w:t>“</w:t>
      </w:r>
      <w:r w:rsidR="00660A4D">
        <w:t>if such data and/or techniques have become available….”</w:t>
      </w:r>
      <w:r w:rsidR="008806AF">
        <w:t xml:space="preserve"> </w:t>
      </w:r>
    </w:p>
    <w:p w14:paraId="6F92AAE6" w14:textId="55E1E7AD" w:rsidR="00B16542" w:rsidRDefault="00EB7B50" w:rsidP="009D6234">
      <w:r>
        <w:t xml:space="preserve">The details regarding a cumulative increment analysis will need to be worked through on a case-specific basis.  Section 9.2.1 of the </w:t>
      </w:r>
      <w:r w:rsidRPr="00C42099">
        <w:t>Guideline</w:t>
      </w:r>
      <w:r>
        <w:t xml:space="preserve"> encourages the use of modeling protocols to work through the various aspects of a PSD modeling analysis.  The use of a modeling protocol provides an excellent opportunity to work through </w:t>
      </w:r>
      <w:r w:rsidR="00857D8F">
        <w:t>increment modeling issues</w:t>
      </w:r>
      <w:r>
        <w:t>.</w:t>
      </w:r>
    </w:p>
    <w:p w14:paraId="0CCA4757" w14:textId="7AA9BC5D" w:rsidR="009D6234" w:rsidRDefault="00B16542" w:rsidP="009D6234">
      <w:r>
        <w:t xml:space="preserve">The offsite inventory can generally be limited to </w:t>
      </w:r>
      <w:r w:rsidR="009D6234">
        <w:t xml:space="preserve">those stationary sources with actual emission (or stack parameter) changes that have occurred since the minor source baseline date.  However, it should be remembered that certain actual emissions changes occurring before the minor source baseline date (i.e., at major stationary point sources) can </w:t>
      </w:r>
      <w:r w:rsidR="006F604B">
        <w:t xml:space="preserve">also </w:t>
      </w:r>
      <w:r w:rsidR="009D6234">
        <w:t xml:space="preserve">affect the increment. </w:t>
      </w:r>
      <w:r>
        <w:t xml:space="preserve"> Within this increment-consuming/expanding subset, </w:t>
      </w:r>
      <w:r w:rsidR="003021CF">
        <w:t xml:space="preserve">the applicant will likely need to model </w:t>
      </w:r>
      <w:r>
        <w:t xml:space="preserve">those </w:t>
      </w:r>
      <w:r w:rsidR="003021CF">
        <w:t xml:space="preserve">nearby </w:t>
      </w:r>
      <w:r>
        <w:t xml:space="preserve">sources that </w:t>
      </w:r>
      <w:r w:rsidR="003021CF">
        <w:t xml:space="preserve">are expected </w:t>
      </w:r>
      <w:proofErr w:type="gramStart"/>
      <w:r w:rsidR="003021CF">
        <w:t>have</w:t>
      </w:r>
      <w:proofErr w:type="gramEnd"/>
      <w:r>
        <w:t xml:space="preserve"> a significant concentration gradient in the vicinity of the</w:t>
      </w:r>
      <w:r w:rsidR="003021CF">
        <w:t>ir</w:t>
      </w:r>
      <w:r>
        <w:t xml:space="preserve"> stationary source.</w:t>
      </w:r>
      <w:r w:rsidR="003021CF">
        <w:t xml:space="preserve">  The applicant will </w:t>
      </w:r>
      <w:r w:rsidR="00D3547D">
        <w:t xml:space="preserve">also </w:t>
      </w:r>
      <w:r w:rsidR="003021CF">
        <w:t xml:space="preserve">likely need to model other off-site sources if the increment is threatened and it appears that the off-site source could cause or contribute to a violation.  Past modeling assessments, if available, or simple sensitivity modeling assessments, can be used to help assess which off-site sources should be included in a cumulative PSD increment analysis.   </w:t>
      </w:r>
    </w:p>
    <w:p w14:paraId="471F8DC7" w14:textId="09577F8C" w:rsidR="009D6234" w:rsidRDefault="00AE114F" w:rsidP="009D6234">
      <w:r>
        <w:t xml:space="preserve">Per Section 8.2.2(c) of the </w:t>
      </w:r>
      <w:r w:rsidRPr="00C42099">
        <w:t>Guideline</w:t>
      </w:r>
      <w:r>
        <w:t xml:space="preserve">, applicants may use actual emissions, rather than allowable emissions, for characterizing the off-site increment </w:t>
      </w:r>
      <w:r w:rsidRPr="00AE114F">
        <w:t>consuming</w:t>
      </w:r>
      <w:r>
        <w:t xml:space="preserve"> sources.  ADEC has nevertheless allowed applicants to use allowable/maximum emission rates if </w:t>
      </w:r>
      <w:proofErr w:type="gramStart"/>
      <w:r>
        <w:t>they so</w:t>
      </w:r>
      <w:proofErr w:type="gramEnd"/>
      <w:r>
        <w:t xml:space="preserve"> desired since that is generally easier to obtain.  However, actual emissions must always be used when modeling increment </w:t>
      </w:r>
      <w:r w:rsidRPr="00D3547D">
        <w:rPr>
          <w:i/>
        </w:rPr>
        <w:t>expanding</w:t>
      </w:r>
      <w:r>
        <w:t xml:space="preserve"> sources, since the use of allowable </w:t>
      </w:r>
      <w:r>
        <w:lastRenderedPageBreak/>
        <w:t xml:space="preserve">emissions would likely overstate the amount of available increment.  </w:t>
      </w:r>
      <w:r w:rsidR="004F0E92">
        <w:t>In many cases, a</w:t>
      </w:r>
      <w:r w:rsidR="00D3547D">
        <w:t xml:space="preserve">pplicants could alternatively model the </w:t>
      </w:r>
      <w:r w:rsidR="00D3547D" w:rsidRPr="00D3547D">
        <w:rPr>
          <w:i/>
        </w:rPr>
        <w:t>change</w:t>
      </w:r>
      <w:r w:rsidR="00D3547D">
        <w:t xml:space="preserve"> in actual emissions </w:t>
      </w:r>
      <w:r w:rsidR="009D6234">
        <w:t xml:space="preserve">that have occurred since the applicable baseline date.  </w:t>
      </w:r>
      <w:r w:rsidR="004F0E92">
        <w:t xml:space="preserve">However, modeling the change in emissions (rather than the current actuals and the baseline actual) should not be used if the release/stack parameters have changed over time. </w:t>
      </w:r>
    </w:p>
    <w:p w14:paraId="208ED579" w14:textId="77777777" w:rsidR="009D6234" w:rsidRDefault="009D6234" w:rsidP="009D6234">
      <w:pPr>
        <w:keepNext/>
        <w:spacing w:before="120" w:after="120"/>
        <w:ind w:firstLine="720"/>
        <w:rPr>
          <w:i/>
        </w:rPr>
      </w:pPr>
      <w:r>
        <w:rPr>
          <w:i/>
        </w:rPr>
        <w:t>Key point:</w:t>
      </w:r>
    </w:p>
    <w:p w14:paraId="08F2922E" w14:textId="4A0F847E" w:rsidR="009D6234" w:rsidRDefault="006B3DD6" w:rsidP="00A45F27">
      <w:pPr>
        <w:pStyle w:val="BodyTextIndent2"/>
        <w:keepNext/>
        <w:spacing w:after="120"/>
      </w:pPr>
      <w:r>
        <w:t xml:space="preserve"> A commonly used approach</w:t>
      </w:r>
      <w:r w:rsidR="009D6234">
        <w:t xml:space="preserve"> is to first model increment consumption using allowable emissions for nearby </w:t>
      </w:r>
      <w:r>
        <w:t xml:space="preserve">stationary </w:t>
      </w:r>
      <w:r w:rsidR="009D6234">
        <w:t xml:space="preserve">sources. </w:t>
      </w:r>
      <w:r w:rsidR="00C558E6">
        <w:t xml:space="preserve">However, the applicant may need to </w:t>
      </w:r>
      <w:r>
        <w:t>refine the</w:t>
      </w:r>
      <w:r w:rsidR="00C558E6">
        <w:t>ir</w:t>
      </w:r>
      <w:r>
        <w:t xml:space="preserve"> analysis by obtaining the actual emissions for each </w:t>
      </w:r>
      <w:r w:rsidR="00066A72">
        <w:t>EU</w:t>
      </w:r>
      <w:r>
        <w:t xml:space="preserve"> at the </w:t>
      </w:r>
      <w:r w:rsidR="009D6234">
        <w:t xml:space="preserve">nearby </w:t>
      </w:r>
      <w:r>
        <w:t xml:space="preserve">stationary </w:t>
      </w:r>
      <w:r w:rsidR="009D6234">
        <w:t>sources</w:t>
      </w:r>
      <w:r w:rsidR="00C558E6">
        <w:t xml:space="preserve"> if this conservative approach leads to modeled violations</w:t>
      </w:r>
      <w:r w:rsidR="009D6234">
        <w:t xml:space="preserve">.  </w:t>
      </w:r>
    </w:p>
    <w:p w14:paraId="5CDE9A78" w14:textId="07E1902D" w:rsidR="009D6234" w:rsidRDefault="003021CF" w:rsidP="009D6234">
      <w:r>
        <w:t xml:space="preserve">Per Section 8.2.2(c) of the </w:t>
      </w:r>
      <w:r w:rsidRPr="00C42099">
        <w:t>Guideline</w:t>
      </w:r>
      <w:r>
        <w:t xml:space="preserve">, </w:t>
      </w:r>
      <w:r w:rsidR="009D6234">
        <w:t>applicant</w:t>
      </w:r>
      <w:r>
        <w:t>s</w:t>
      </w:r>
      <w:r w:rsidR="009D6234">
        <w:t xml:space="preserve"> should </w:t>
      </w:r>
      <w:r w:rsidR="00AE114F">
        <w:t xml:space="preserve">generally </w:t>
      </w:r>
      <w:r w:rsidR="009D6234">
        <w:t xml:space="preserve">use the most recent two-year averaging period for determining current actual emissions.  The cumulative PSD increment modeling analysis sometimes also requires modeling “increment expansion” due to the shutdown of </w:t>
      </w:r>
      <w:r w:rsidR="00ED104E">
        <w:t>EU</w:t>
      </w:r>
      <w:r w:rsidR="009D6234">
        <w:t xml:space="preserve">s that were operational in the baseline period. This increment expansion is modeled using the estimated actual emissions that occurred during the baseline year, modeled as negative rates.   </w:t>
      </w:r>
    </w:p>
    <w:p w14:paraId="62D8CA6E" w14:textId="70612DEA" w:rsidR="009D6234" w:rsidRPr="00DD2C12" w:rsidRDefault="009D6234" w:rsidP="009D6234">
      <w:r>
        <w:t>If the increment analysis is for NO</w:t>
      </w:r>
      <w:r w:rsidRPr="00711454">
        <w:rPr>
          <w:vertAlign w:val="subscript"/>
        </w:rPr>
        <w:t>2</w:t>
      </w:r>
      <w:r>
        <w:t xml:space="preserve">, </w:t>
      </w:r>
      <w:r w:rsidR="002F4D9F">
        <w:t xml:space="preserve">additional </w:t>
      </w:r>
      <w:r>
        <w:t xml:space="preserve">care must be taken with AERMOD to not overestimate the credit if the PVMRM option is used.  As noted in </w:t>
      </w:r>
      <w:r w:rsidR="00F773B4">
        <w:t>Section</w:t>
      </w:r>
      <w:r w:rsidR="00CA59E0" w:rsidRPr="00CA59E0">
        <w:t> </w:t>
      </w:r>
      <w:r w:rsidR="00F773B4">
        <w:t xml:space="preserve">3.3.7 of </w:t>
      </w:r>
      <w:r>
        <w:t xml:space="preserve">the </w:t>
      </w:r>
      <w:hyperlink r:id="rId177" w:history="1">
        <w:r w:rsidR="00DD2C12" w:rsidRPr="00F773B4">
          <w:rPr>
            <w:rStyle w:val="Hyperlink"/>
          </w:rPr>
          <w:t>AERMOD User’s Guide</w:t>
        </w:r>
      </w:hyperlink>
      <w:r w:rsidRPr="00DD2C12">
        <w:t xml:space="preserve">: </w:t>
      </w:r>
    </w:p>
    <w:p w14:paraId="5B32F9E8" w14:textId="77777777" w:rsidR="008E0D66" w:rsidRDefault="009D6234" w:rsidP="008E0D66">
      <w:pPr>
        <w:spacing w:before="120" w:after="120"/>
        <w:ind w:left="360"/>
      </w:pPr>
      <w:r w:rsidRPr="00342381">
        <w:t>Due to the ozone-limiting effects of the PVMRM option, the predicted concentrations of</w:t>
      </w:r>
      <w:r>
        <w:t xml:space="preserve"> </w:t>
      </w:r>
      <w:r w:rsidRPr="00342381">
        <w:t>NO</w:t>
      </w:r>
      <w:r w:rsidRPr="00342381">
        <w:rPr>
          <w:vertAlign w:val="subscript"/>
        </w:rPr>
        <w:t>2</w:t>
      </w:r>
      <w:r w:rsidRPr="00342381">
        <w:t xml:space="preserve"> are not linearly proportional to the emission rate. Therefore, the approach of modeling NO</w:t>
      </w:r>
      <w:r w:rsidRPr="00342381">
        <w:rPr>
          <w:vertAlign w:val="subscript"/>
        </w:rPr>
        <w:t>2</w:t>
      </w:r>
      <w:r>
        <w:t xml:space="preserve"> </w:t>
      </w:r>
      <w:r w:rsidRPr="00342381">
        <w:t xml:space="preserve">increment consumption with PSD credits </w:t>
      </w:r>
      <w:proofErr w:type="gramStart"/>
      <w:r w:rsidRPr="00342381">
        <w:t>through the use of</w:t>
      </w:r>
      <w:proofErr w:type="gramEnd"/>
      <w:r w:rsidRPr="00342381">
        <w:t xml:space="preserve"> a negative emission rate for credit</w:t>
      </w:r>
      <w:r>
        <w:t xml:space="preserve"> </w:t>
      </w:r>
      <w:r w:rsidRPr="00342381">
        <w:t>sources cannot be used with the PVMRM option. However, the draft PSDCREDIT option</w:t>
      </w:r>
      <w:r>
        <w:t xml:space="preserve"> </w:t>
      </w:r>
      <w:r w:rsidRPr="00342381">
        <w:t>allows modeling PSD increment credits for NO</w:t>
      </w:r>
      <w:r w:rsidRPr="00342381">
        <w:rPr>
          <w:vertAlign w:val="subscript"/>
        </w:rPr>
        <w:t>2</w:t>
      </w:r>
      <w:r w:rsidRPr="00342381">
        <w:t xml:space="preserve"> when the PVMRM option is specified</w:t>
      </w:r>
      <w:r>
        <w:t xml:space="preserve">.  </w:t>
      </w:r>
    </w:p>
    <w:p w14:paraId="69903B9D" w14:textId="77777777" w:rsidR="008E0D66" w:rsidRPr="008E0D66" w:rsidRDefault="008E0D66" w:rsidP="008E0D66">
      <w:pPr>
        <w:spacing w:before="120" w:after="120"/>
        <w:ind w:left="360"/>
        <w:rPr>
          <w:sz w:val="2"/>
          <w:szCs w:val="2"/>
        </w:rPr>
      </w:pPr>
    </w:p>
    <w:p w14:paraId="2F17A1A7" w14:textId="27760ADB" w:rsidR="009D6234" w:rsidRDefault="009D6234" w:rsidP="008E0D66">
      <w:pPr>
        <w:spacing w:before="120" w:after="120"/>
      </w:pPr>
      <w:r>
        <w:t>The PSDCREDIT option is only valid with PVMRM.</w:t>
      </w:r>
      <w:r w:rsidR="002F4D9F">
        <w:t xml:space="preserve">  As further stated by EPA in Section 3.3.7 of the AERMOD User’s Guide, “[The PSDCREDIT] option is not valid if the OLM option is specified, and no comparable option is available for modeling increment credits with the OLM option.” </w:t>
      </w:r>
    </w:p>
    <w:p w14:paraId="1436CF70" w14:textId="02CC9E71" w:rsidR="009D6234" w:rsidRPr="00167BBA" w:rsidRDefault="00DC1201" w:rsidP="008E0D66">
      <w:pPr>
        <w:keepNext/>
        <w:keepLines/>
        <w:spacing w:after="120"/>
        <w:rPr>
          <w:b/>
          <w:snapToGrid w:val="0"/>
          <w:u w:val="single"/>
        </w:rPr>
      </w:pPr>
      <w:r>
        <w:rPr>
          <w:b/>
          <w:u w:val="single"/>
        </w:rPr>
        <w:t xml:space="preserve">Additional Discussion Regarding </w:t>
      </w:r>
      <w:r w:rsidR="009D6234" w:rsidRPr="00167BBA">
        <w:rPr>
          <w:b/>
          <w:u w:val="single"/>
        </w:rPr>
        <w:t>Background Data</w:t>
      </w:r>
    </w:p>
    <w:p w14:paraId="15C0C126" w14:textId="1C60D85C" w:rsidR="009D6234" w:rsidRDefault="00DB4154" w:rsidP="009D6234">
      <w:pPr>
        <w:rPr>
          <w:snapToGrid w:val="0"/>
        </w:rPr>
      </w:pPr>
      <w:r>
        <w:rPr>
          <w:snapToGrid w:val="0"/>
        </w:rPr>
        <w:t>As previously discussed, b</w:t>
      </w:r>
      <w:r w:rsidR="009D6234">
        <w:rPr>
          <w:snapToGrid w:val="0"/>
        </w:rPr>
        <w:t xml:space="preserve">ackground air quality data is needed to supplement a cumulative AAAQS analysis.  </w:t>
      </w:r>
      <w:r>
        <w:rPr>
          <w:snapToGrid w:val="0"/>
        </w:rPr>
        <w:t xml:space="preserve">Section 8.3.2(b) of the </w:t>
      </w:r>
      <w:r w:rsidRPr="00C42099">
        <w:rPr>
          <w:snapToGrid w:val="0"/>
        </w:rPr>
        <w:t>Guideline</w:t>
      </w:r>
      <w:r>
        <w:rPr>
          <w:snapToGrid w:val="0"/>
        </w:rPr>
        <w:t xml:space="preserve"> states, “If there are no monitors located in the vicinity of the new or modifying source, a ‘regional site’ may be used to determine background concentrations. A regional site is one that is located away from the area of interest but is impacted by similar or adequately representative sources.”</w:t>
      </w:r>
    </w:p>
    <w:p w14:paraId="1EBE90E5" w14:textId="77777777" w:rsidR="009D6234" w:rsidRDefault="009D6234" w:rsidP="009D6234">
      <w:pPr>
        <w:pStyle w:val="BodyTextIndent2"/>
        <w:keepNext/>
        <w:spacing w:before="120" w:after="120"/>
        <w:rPr>
          <w:snapToGrid w:val="0"/>
        </w:rPr>
      </w:pPr>
      <w:r>
        <w:rPr>
          <w:snapToGrid w:val="0"/>
        </w:rPr>
        <w:t>Key point:</w:t>
      </w:r>
    </w:p>
    <w:p w14:paraId="432245FC" w14:textId="22A15691" w:rsidR="004A1A0F" w:rsidRDefault="009D6234" w:rsidP="004A1A0F">
      <w:pPr>
        <w:keepNext/>
        <w:spacing w:before="120" w:after="120"/>
        <w:ind w:left="720"/>
        <w:rPr>
          <w:i/>
          <w:snapToGrid w:val="0"/>
        </w:rPr>
      </w:pPr>
      <w:r>
        <w:rPr>
          <w:i/>
          <w:snapToGrid w:val="0"/>
        </w:rPr>
        <w:t xml:space="preserve">The background concentration should be representative of the impacts from sources not included in the modeling analysis.  Typical examples include (1) </w:t>
      </w:r>
      <w:r>
        <w:rPr>
          <w:i/>
          <w:snapToGrid w:val="0"/>
        </w:rPr>
        <w:lastRenderedPageBreak/>
        <w:t>natural sources, (2) nearby, non-modeled sources, and (3) unidentified sources of air pollution (e.g., long-range transport).</w:t>
      </w:r>
    </w:p>
    <w:p w14:paraId="2E7CFAB3" w14:textId="77777777" w:rsidR="004A1A0F" w:rsidRPr="004A1A0F" w:rsidRDefault="004A1A0F" w:rsidP="004A1A0F">
      <w:pPr>
        <w:keepNext/>
        <w:spacing w:before="120" w:after="120"/>
        <w:ind w:left="720"/>
        <w:rPr>
          <w:i/>
          <w:snapToGrid w:val="0"/>
          <w:sz w:val="2"/>
          <w:szCs w:val="2"/>
        </w:rPr>
      </w:pPr>
    </w:p>
    <w:p w14:paraId="3AF2A816" w14:textId="037E50C9" w:rsidR="009D6234" w:rsidRDefault="009D6234" w:rsidP="009D6234">
      <w:pPr>
        <w:rPr>
          <w:snapToGrid w:val="0"/>
        </w:rPr>
      </w:pPr>
      <w:r>
        <w:rPr>
          <w:snapToGrid w:val="0"/>
        </w:rPr>
        <w:t xml:space="preserve">Once the background concentration is determined, it is added to the modeled concentration to estimate the total ambient concentration.  Hence, background concentrations are typically needed for all air pollutants included in a cumulative AAAQS compliance demonstration, regardless of </w:t>
      </w:r>
      <w:proofErr w:type="gramStart"/>
      <w:r>
        <w:rPr>
          <w:snapToGrid w:val="0"/>
        </w:rPr>
        <w:t>whether or not</w:t>
      </w:r>
      <w:proofErr w:type="gramEnd"/>
      <w:r>
        <w:rPr>
          <w:snapToGrid w:val="0"/>
        </w:rPr>
        <w:t xml:space="preserve"> PSD pre-construction monitoring is required.  </w:t>
      </w:r>
    </w:p>
    <w:p w14:paraId="0A271E8D" w14:textId="1280C36D" w:rsidR="009D6234" w:rsidRDefault="009D6234" w:rsidP="009D6234">
      <w:pPr>
        <w:rPr>
          <w:snapToGrid w:val="0"/>
        </w:rPr>
      </w:pPr>
      <w:r>
        <w:rPr>
          <w:snapToGrid w:val="0"/>
        </w:rPr>
        <w:t>Section 8.</w:t>
      </w:r>
      <w:r w:rsidR="00A32A4D">
        <w:rPr>
          <w:snapToGrid w:val="0"/>
        </w:rPr>
        <w:t>3</w:t>
      </w:r>
      <w:r w:rsidR="00CA59E0">
        <w:rPr>
          <w:snapToGrid w:val="0"/>
        </w:rPr>
        <w:t>.2(b)</w:t>
      </w:r>
      <w:r>
        <w:rPr>
          <w:snapToGrid w:val="0"/>
        </w:rPr>
        <w:t xml:space="preserve"> of the </w:t>
      </w:r>
      <w:r w:rsidRPr="00C42099">
        <w:rPr>
          <w:snapToGrid w:val="0"/>
        </w:rPr>
        <w:t>Guideline</w:t>
      </w:r>
      <w:r>
        <w:rPr>
          <w:snapToGrid w:val="0"/>
        </w:rPr>
        <w:t xml:space="preserve"> </w:t>
      </w:r>
      <w:r w:rsidR="00CA59E0">
        <w:rPr>
          <w:snapToGrid w:val="0"/>
        </w:rPr>
        <w:t>states the data used to represent the background concentration should be recent and quality assured.  The quality assured aspect is also required under State rule per 18</w:t>
      </w:r>
      <w:r w:rsidR="00CA59E0" w:rsidRPr="00CA59E0">
        <w:rPr>
          <w:snapToGrid w:val="0"/>
        </w:rPr>
        <w:t> </w:t>
      </w:r>
      <w:r w:rsidR="00CA59E0">
        <w:rPr>
          <w:snapToGrid w:val="0"/>
        </w:rPr>
        <w:t>AAC</w:t>
      </w:r>
      <w:r w:rsidR="00CA59E0" w:rsidRPr="00CA59E0">
        <w:rPr>
          <w:snapToGrid w:val="0"/>
        </w:rPr>
        <w:t> </w:t>
      </w:r>
      <w:r w:rsidR="00CA59E0">
        <w:rPr>
          <w:snapToGrid w:val="0"/>
        </w:rPr>
        <w:t>50.215(a)</w:t>
      </w:r>
      <w:r>
        <w:rPr>
          <w:snapToGrid w:val="0"/>
        </w:rPr>
        <w:t xml:space="preserve">. </w:t>
      </w:r>
    </w:p>
    <w:p w14:paraId="0C69AE1D" w14:textId="60E02E18" w:rsidR="00202600" w:rsidRDefault="00E3608F" w:rsidP="009D6234">
      <w:pPr>
        <w:rPr>
          <w:snapToGrid w:val="0"/>
        </w:rPr>
      </w:pPr>
      <w:r>
        <w:rPr>
          <w:snapToGrid w:val="0"/>
        </w:rPr>
        <w:t xml:space="preserve">The 2016 version of the </w:t>
      </w:r>
      <w:r w:rsidRPr="00C42099">
        <w:rPr>
          <w:snapToGrid w:val="0"/>
        </w:rPr>
        <w:t>Guideline</w:t>
      </w:r>
      <w:r>
        <w:rPr>
          <w:snapToGrid w:val="0"/>
        </w:rPr>
        <w:t xml:space="preserve"> contains numerous options for deriving </w:t>
      </w:r>
      <w:proofErr w:type="gramStart"/>
      <w:r>
        <w:rPr>
          <w:snapToGrid w:val="0"/>
        </w:rPr>
        <w:t>a background</w:t>
      </w:r>
      <w:proofErr w:type="gramEnd"/>
      <w:r>
        <w:rPr>
          <w:snapToGrid w:val="0"/>
        </w:rPr>
        <w:t xml:space="preserve"> concentration from an ambient </w:t>
      </w:r>
      <w:r w:rsidR="00AB446A">
        <w:rPr>
          <w:snapToGrid w:val="0"/>
        </w:rPr>
        <w:t>dataset</w:t>
      </w:r>
      <w:r>
        <w:rPr>
          <w:snapToGrid w:val="0"/>
        </w:rPr>
        <w:t xml:space="preserve">.  The goal is to avoid </w:t>
      </w:r>
      <w:proofErr w:type="gramStart"/>
      <w:r>
        <w:rPr>
          <w:snapToGrid w:val="0"/>
        </w:rPr>
        <w:t>double-counting</w:t>
      </w:r>
      <w:proofErr w:type="gramEnd"/>
      <w:r>
        <w:rPr>
          <w:snapToGrid w:val="0"/>
        </w:rPr>
        <w:t xml:space="preserve"> the impact from modeled, or non-representative, sources.</w:t>
      </w:r>
      <w:r w:rsidR="004F563A">
        <w:rPr>
          <w:snapToGrid w:val="0"/>
        </w:rPr>
        <w:t xml:space="preserve"> </w:t>
      </w:r>
      <w:r>
        <w:rPr>
          <w:snapToGrid w:val="0"/>
        </w:rPr>
        <w:t xml:space="preserve"> </w:t>
      </w:r>
      <w:r w:rsidR="00202600">
        <w:rPr>
          <w:snapToGrid w:val="0"/>
        </w:rPr>
        <w:t>Most of the options and concepts are too new to meaningfully discuss at this point, other than saying:</w:t>
      </w:r>
    </w:p>
    <w:p w14:paraId="5E0B86C3" w14:textId="77777777" w:rsidR="009A7FBB" w:rsidRDefault="00202600" w:rsidP="009A7FBB">
      <w:pPr>
        <w:pStyle w:val="ListParagraph"/>
        <w:numPr>
          <w:ilvl w:val="0"/>
          <w:numId w:val="48"/>
        </w:numPr>
        <w:rPr>
          <w:snapToGrid w:val="0"/>
        </w:rPr>
      </w:pPr>
      <w:r>
        <w:rPr>
          <w:snapToGrid w:val="0"/>
        </w:rPr>
        <w:t xml:space="preserve">ADEC does not need to maintain the </w:t>
      </w:r>
      <w:proofErr w:type="gramStart"/>
      <w:r>
        <w:rPr>
          <w:snapToGrid w:val="0"/>
        </w:rPr>
        <w:t>past-practice</w:t>
      </w:r>
      <w:proofErr w:type="gramEnd"/>
      <w:r>
        <w:rPr>
          <w:snapToGrid w:val="0"/>
        </w:rPr>
        <w:t xml:space="preserve"> of encouraging applicants to use the true maximum measured concentration, rather than the measured design concentration, as the initial background concentration.  </w:t>
      </w:r>
    </w:p>
    <w:p w14:paraId="64525FC3" w14:textId="7B3DDD13" w:rsidR="00202600" w:rsidRDefault="00202600" w:rsidP="009A7FBB">
      <w:pPr>
        <w:pStyle w:val="ListParagraph"/>
        <w:numPr>
          <w:ilvl w:val="1"/>
          <w:numId w:val="48"/>
        </w:numPr>
        <w:rPr>
          <w:snapToGrid w:val="0"/>
        </w:rPr>
      </w:pPr>
      <w:r>
        <w:rPr>
          <w:snapToGrid w:val="0"/>
        </w:rPr>
        <w:t>As stated in Section</w:t>
      </w:r>
      <w:r w:rsidRPr="00CA59E0">
        <w:rPr>
          <w:snapToGrid w:val="0"/>
        </w:rPr>
        <w:t> </w:t>
      </w:r>
      <w:r>
        <w:rPr>
          <w:snapToGrid w:val="0"/>
        </w:rPr>
        <w:t xml:space="preserve">8.3.2(c) of the </w:t>
      </w:r>
      <w:r w:rsidRPr="00C42099">
        <w:rPr>
          <w:snapToGrid w:val="0"/>
        </w:rPr>
        <w:t>Guideline</w:t>
      </w:r>
      <w:r>
        <w:rPr>
          <w:snapToGrid w:val="0"/>
        </w:rPr>
        <w:t xml:space="preserve">, the measured design concentration provides “the best starting point.” </w:t>
      </w:r>
      <w:r w:rsidRPr="00202600">
        <w:rPr>
          <w:snapToGrid w:val="0"/>
        </w:rPr>
        <w:t xml:space="preserve">  </w:t>
      </w:r>
    </w:p>
    <w:p w14:paraId="0062816B" w14:textId="77777777" w:rsidR="009A7FBB" w:rsidRDefault="009A7FBB" w:rsidP="009A7FBB">
      <w:pPr>
        <w:pStyle w:val="ListParagraph"/>
        <w:rPr>
          <w:snapToGrid w:val="0"/>
        </w:rPr>
      </w:pPr>
    </w:p>
    <w:p w14:paraId="2B6478C7" w14:textId="534652D6" w:rsidR="00F4513F" w:rsidRDefault="00202600" w:rsidP="009A7FBB">
      <w:pPr>
        <w:pStyle w:val="ListParagraph"/>
        <w:numPr>
          <w:ilvl w:val="0"/>
          <w:numId w:val="48"/>
        </w:numPr>
        <w:rPr>
          <w:snapToGrid w:val="0"/>
        </w:rPr>
      </w:pPr>
      <w:r>
        <w:rPr>
          <w:snapToGrid w:val="0"/>
        </w:rPr>
        <w:t xml:space="preserve">You will likely </w:t>
      </w:r>
      <w:r w:rsidRPr="00202600">
        <w:rPr>
          <w:snapToGrid w:val="0"/>
        </w:rPr>
        <w:t xml:space="preserve">need to request AM&amp;QA assistance for working through the details of any request to derive </w:t>
      </w:r>
      <w:proofErr w:type="gramStart"/>
      <w:r>
        <w:rPr>
          <w:snapToGrid w:val="0"/>
        </w:rPr>
        <w:t>a</w:t>
      </w:r>
      <w:r w:rsidRPr="00202600">
        <w:rPr>
          <w:snapToGrid w:val="0"/>
        </w:rPr>
        <w:t xml:space="preserve"> background</w:t>
      </w:r>
      <w:proofErr w:type="gramEnd"/>
      <w:r w:rsidRPr="00202600">
        <w:rPr>
          <w:snapToGrid w:val="0"/>
        </w:rPr>
        <w:t xml:space="preserve"> concentration from an</w:t>
      </w:r>
      <w:r>
        <w:rPr>
          <w:snapToGrid w:val="0"/>
        </w:rPr>
        <w:t xml:space="preserve">y type of </w:t>
      </w:r>
      <w:r w:rsidRPr="00202600">
        <w:rPr>
          <w:snapToGrid w:val="0"/>
        </w:rPr>
        <w:t xml:space="preserve">ambient data subset.  </w:t>
      </w:r>
      <w:r w:rsidR="00F4513F">
        <w:rPr>
          <w:snapToGrid w:val="0"/>
        </w:rPr>
        <w:t xml:space="preserve">Since many of the options are relatively new, we need to make sure that we are: </w:t>
      </w:r>
    </w:p>
    <w:p w14:paraId="4372C71B" w14:textId="566A628D" w:rsidR="00F4513F" w:rsidRPr="00F4513F" w:rsidRDefault="009A7FBB" w:rsidP="009A7FBB">
      <w:pPr>
        <w:pStyle w:val="ListParagraph"/>
        <w:numPr>
          <w:ilvl w:val="0"/>
          <w:numId w:val="78"/>
        </w:numPr>
        <w:rPr>
          <w:snapToGrid w:val="0"/>
        </w:rPr>
      </w:pPr>
      <w:r>
        <w:rPr>
          <w:snapToGrid w:val="0"/>
        </w:rPr>
        <w:t>approving</w:t>
      </w:r>
      <w:r w:rsidR="00F4513F" w:rsidRPr="00F4513F">
        <w:rPr>
          <w:snapToGrid w:val="0"/>
        </w:rPr>
        <w:t xml:space="preserve"> technically sound and justifiable approaches, and </w:t>
      </w:r>
    </w:p>
    <w:p w14:paraId="5FA54013" w14:textId="54877919" w:rsidR="004F563A" w:rsidRPr="00F4513F" w:rsidRDefault="00F4513F" w:rsidP="009A7FBB">
      <w:pPr>
        <w:pStyle w:val="ListParagraph"/>
        <w:numPr>
          <w:ilvl w:val="0"/>
          <w:numId w:val="78"/>
        </w:numPr>
        <w:rPr>
          <w:snapToGrid w:val="0"/>
        </w:rPr>
      </w:pPr>
      <w:r>
        <w:rPr>
          <w:snapToGrid w:val="0"/>
        </w:rPr>
        <w:t xml:space="preserve">not </w:t>
      </w:r>
      <w:r w:rsidRPr="00F4513F">
        <w:rPr>
          <w:snapToGrid w:val="0"/>
        </w:rPr>
        <w:t>inadvertently set</w:t>
      </w:r>
      <w:r>
        <w:rPr>
          <w:snapToGrid w:val="0"/>
        </w:rPr>
        <w:t>ting</w:t>
      </w:r>
      <w:r w:rsidRPr="00F4513F">
        <w:rPr>
          <w:snapToGrid w:val="0"/>
        </w:rPr>
        <w:t xml:space="preserve"> an unwarranted precedent. </w:t>
      </w:r>
      <w:r w:rsidR="00E3608F" w:rsidRPr="00F4513F">
        <w:rPr>
          <w:snapToGrid w:val="0"/>
        </w:rPr>
        <w:t xml:space="preserve"> </w:t>
      </w:r>
    </w:p>
    <w:p w14:paraId="3395F45B" w14:textId="48F59A19" w:rsidR="008268E6" w:rsidRDefault="009A7FBB" w:rsidP="0064540D">
      <w:pPr>
        <w:rPr>
          <w:snapToGrid w:val="0"/>
        </w:rPr>
      </w:pPr>
      <w:r>
        <w:rPr>
          <w:snapToGrid w:val="0"/>
        </w:rPr>
        <w:t xml:space="preserve">ADEC has compiled the design concentrations from the most recent 10 years of ambient monitoring data submitted by industry and approved </w:t>
      </w:r>
      <w:r w:rsidR="00B453F4">
        <w:rPr>
          <w:snapToGrid w:val="0"/>
        </w:rPr>
        <w:t xml:space="preserve">as “PSD quality” </w:t>
      </w:r>
      <w:r>
        <w:rPr>
          <w:snapToGrid w:val="0"/>
        </w:rPr>
        <w:t>under 18</w:t>
      </w:r>
      <w:r w:rsidR="00B453F4" w:rsidRPr="00CA59E0">
        <w:rPr>
          <w:snapToGrid w:val="0"/>
        </w:rPr>
        <w:t> </w:t>
      </w:r>
      <w:r>
        <w:rPr>
          <w:snapToGrid w:val="0"/>
        </w:rPr>
        <w:t>AAC</w:t>
      </w:r>
      <w:r w:rsidR="00B453F4" w:rsidRPr="00CA59E0">
        <w:rPr>
          <w:snapToGrid w:val="0"/>
        </w:rPr>
        <w:t> </w:t>
      </w:r>
      <w:r>
        <w:rPr>
          <w:snapToGrid w:val="0"/>
        </w:rPr>
        <w:t xml:space="preserve">50.215(a). </w:t>
      </w:r>
      <w:r w:rsidR="00B453F4">
        <w:rPr>
          <w:snapToGrid w:val="0"/>
        </w:rPr>
        <w:t xml:space="preserve"> The compilation is posted as a spreadsheet </w:t>
      </w:r>
      <w:r w:rsidR="00961A4B">
        <w:rPr>
          <w:snapToGrid w:val="0"/>
        </w:rPr>
        <w:t xml:space="preserve">titled </w:t>
      </w:r>
      <w:r w:rsidR="00961A4B" w:rsidRPr="00631074">
        <w:rPr>
          <w:i/>
          <w:snapToGrid w:val="0"/>
          <w:u w:val="single"/>
        </w:rPr>
        <w:t>Industrial Data Summary</w:t>
      </w:r>
      <w:r w:rsidR="00961A4B">
        <w:rPr>
          <w:snapToGrid w:val="0"/>
        </w:rPr>
        <w:t xml:space="preserve"> </w:t>
      </w:r>
      <w:r w:rsidR="00B453F4">
        <w:rPr>
          <w:snapToGrid w:val="0"/>
        </w:rPr>
        <w:t xml:space="preserve">in several places, including the APP page at: </w:t>
      </w:r>
      <w:hyperlink r:id="rId178" w:history="1">
        <w:r w:rsidR="00E1142C">
          <w:rPr>
            <w:rStyle w:val="Hyperlink"/>
            <w:snapToGrid w:val="0"/>
          </w:rPr>
          <w:t>http://dec.alaska.gov/air/air-permit/</w:t>
        </w:r>
      </w:hyperlink>
      <w:r w:rsidR="00B453F4">
        <w:rPr>
          <w:snapToGrid w:val="0"/>
        </w:rPr>
        <w:t xml:space="preserve">.  The posting of this data does not establish any type of pre-approval regarding the use of any dataset, but it may help staff and applicants to know what existing </w:t>
      </w:r>
      <w:r w:rsidR="00AB446A">
        <w:rPr>
          <w:snapToGrid w:val="0"/>
        </w:rPr>
        <w:t>dataset</w:t>
      </w:r>
      <w:r w:rsidR="00B453F4">
        <w:rPr>
          <w:snapToGrid w:val="0"/>
        </w:rPr>
        <w:t xml:space="preserve">s are available for possible consideration.  As noted in the spreadsheet, “Applicants who desire to use a reported concentration for their project need to demonstrate to ADEC’s satisfaction that the monitoring site and data adequately meet the given regulatory requirements for their project.”  </w:t>
      </w:r>
    </w:p>
    <w:p w14:paraId="3FB28988" w14:textId="77777777" w:rsidR="009A01E5" w:rsidRDefault="00A97DCA" w:rsidP="000F2745">
      <w:pPr>
        <w:pStyle w:val="Heading3"/>
        <w:rPr>
          <w:snapToGrid w:val="0"/>
        </w:rPr>
      </w:pPr>
      <w:r>
        <w:rPr>
          <w:snapToGrid w:val="0"/>
        </w:rPr>
        <w:tab/>
      </w:r>
      <w:bookmarkStart w:id="299" w:name="_Toc526778302"/>
      <w:r w:rsidR="00BC6BE2">
        <w:rPr>
          <w:snapToGrid w:val="0"/>
        </w:rPr>
        <w:t>Additional Impact Analyses</w:t>
      </w:r>
      <w:r w:rsidR="009A01E5">
        <w:rPr>
          <w:snapToGrid w:val="0"/>
        </w:rPr>
        <w:t xml:space="preserve"> (PSD Sources Only)</w:t>
      </w:r>
      <w:bookmarkEnd w:id="299"/>
    </w:p>
    <w:p w14:paraId="0D84F4A5" w14:textId="77777777" w:rsidR="0018097F" w:rsidRDefault="0018097F" w:rsidP="0018097F">
      <w:pPr>
        <w:rPr>
          <w:snapToGrid w:val="0"/>
        </w:rPr>
      </w:pPr>
      <w:r>
        <w:rPr>
          <w:snapToGrid w:val="0"/>
        </w:rPr>
        <w:t>PSD applicants must provide an analysis “…</w:t>
      </w:r>
      <w:r w:rsidRPr="00500CF6">
        <w:rPr>
          <w:i/>
          <w:snapToGrid w:val="0"/>
        </w:rPr>
        <w:t>of the impairment to visibility, soils and vegetation that would occur as a result of the source or modification and general commercial, residential, industrial and other growth associated with the source or modification</w:t>
      </w:r>
      <w:r>
        <w:rPr>
          <w:snapToGrid w:val="0"/>
        </w:rPr>
        <w:t xml:space="preserve">” under </w:t>
      </w:r>
      <w:hyperlink r:id="rId179" w:history="1">
        <w:r w:rsidRPr="00FB2639">
          <w:rPr>
            <w:rStyle w:val="Hyperlink"/>
            <w:snapToGrid w:val="0"/>
          </w:rPr>
          <w:t>40 CFR 52.21</w:t>
        </w:r>
      </w:hyperlink>
      <w:r>
        <w:rPr>
          <w:snapToGrid w:val="0"/>
        </w:rPr>
        <w:t xml:space="preserve">(o).  The focus is on potential impacts within the general area of the stationary source, rather than the Class I AQRV analyses which a </w:t>
      </w:r>
      <w:r>
        <w:rPr>
          <w:snapToGrid w:val="0"/>
        </w:rPr>
        <w:lastRenderedPageBreak/>
        <w:t>FLM may request under 40</w:t>
      </w:r>
      <w:r w:rsidRPr="00CA59E0">
        <w:rPr>
          <w:snapToGrid w:val="0"/>
        </w:rPr>
        <w:t> </w:t>
      </w:r>
      <w:r>
        <w:rPr>
          <w:snapToGrid w:val="0"/>
        </w:rPr>
        <w:t>CFR</w:t>
      </w:r>
      <w:r w:rsidRPr="00CA59E0">
        <w:rPr>
          <w:snapToGrid w:val="0"/>
        </w:rPr>
        <w:t> </w:t>
      </w:r>
      <w:r>
        <w:rPr>
          <w:snapToGrid w:val="0"/>
        </w:rPr>
        <w:t>52.21(p).  40</w:t>
      </w:r>
      <w:r w:rsidRPr="00CA59E0">
        <w:rPr>
          <w:snapToGrid w:val="0"/>
        </w:rPr>
        <w:t> </w:t>
      </w:r>
      <w:r>
        <w:rPr>
          <w:snapToGrid w:val="0"/>
        </w:rPr>
        <w:t>CFR</w:t>
      </w:r>
      <w:r w:rsidRPr="00CA59E0">
        <w:rPr>
          <w:snapToGrid w:val="0"/>
        </w:rPr>
        <w:t> </w:t>
      </w:r>
      <w:r>
        <w:rPr>
          <w:snapToGrid w:val="0"/>
        </w:rPr>
        <w:t>52.21(o) also clarifies that the applicant “</w:t>
      </w:r>
      <w:r w:rsidRPr="00896D60">
        <w:rPr>
          <w:i/>
          <w:snapToGrid w:val="0"/>
        </w:rPr>
        <w:t xml:space="preserve">need not provide an </w:t>
      </w:r>
      <w:proofErr w:type="gramStart"/>
      <w:r w:rsidRPr="00896D60">
        <w:rPr>
          <w:i/>
          <w:snapToGrid w:val="0"/>
        </w:rPr>
        <w:t>analyses of the impact</w:t>
      </w:r>
      <w:proofErr w:type="gramEnd"/>
      <w:r w:rsidRPr="00896D60">
        <w:rPr>
          <w:i/>
          <w:snapToGrid w:val="0"/>
        </w:rPr>
        <w:t xml:space="preserve"> on vegetation having no significant commercial or recreational value</w:t>
      </w:r>
      <w:r>
        <w:rPr>
          <w:snapToGrid w:val="0"/>
        </w:rPr>
        <w:t>.”</w:t>
      </w:r>
    </w:p>
    <w:p w14:paraId="40AA213A" w14:textId="77777777" w:rsidR="0018097F" w:rsidRDefault="0018097F" w:rsidP="0018097F">
      <w:pPr>
        <w:tabs>
          <w:tab w:val="left" w:pos="-748"/>
          <w:tab w:val="right" w:pos="-225"/>
          <w:tab w:val="left" w:pos="-4"/>
          <w:tab w:val="right" w:pos="5724"/>
          <w:tab w:val="left" w:pos="5967"/>
        </w:tabs>
      </w:pPr>
      <w:r>
        <w:t xml:space="preserve">Neither EPA nor ADEC has adopted a formal methodology for </w:t>
      </w:r>
      <w:proofErr w:type="gramStart"/>
      <w:r>
        <w:t>actually conducting</w:t>
      </w:r>
      <w:proofErr w:type="gramEnd"/>
      <w:r>
        <w:t xml:space="preserve"> the analyses required under </w:t>
      </w:r>
      <w:r>
        <w:rPr>
          <w:snapToGrid w:val="0"/>
        </w:rPr>
        <w:t>40</w:t>
      </w:r>
      <w:r w:rsidRPr="00CA59E0">
        <w:rPr>
          <w:snapToGrid w:val="0"/>
        </w:rPr>
        <w:t> </w:t>
      </w:r>
      <w:r>
        <w:rPr>
          <w:snapToGrid w:val="0"/>
        </w:rPr>
        <w:t>CFR</w:t>
      </w:r>
      <w:r w:rsidRPr="00CA59E0">
        <w:rPr>
          <w:snapToGrid w:val="0"/>
        </w:rPr>
        <w:t> </w:t>
      </w:r>
      <w:r>
        <w:rPr>
          <w:snapToGrid w:val="0"/>
        </w:rPr>
        <w:t>52.21(o)</w:t>
      </w:r>
      <w:r>
        <w:t xml:space="preserve">.  There are also no formally established “impairment” thresholds, other than the ambient air quality standards. </w:t>
      </w:r>
    </w:p>
    <w:p w14:paraId="59C98C41" w14:textId="77777777" w:rsidR="0018097F" w:rsidRDefault="0018097F" w:rsidP="0018097F">
      <w:pPr>
        <w:tabs>
          <w:tab w:val="left" w:pos="-748"/>
          <w:tab w:val="right" w:pos="-225"/>
          <w:tab w:val="left" w:pos="-4"/>
          <w:tab w:val="right" w:pos="5724"/>
          <w:tab w:val="left" w:pos="5967"/>
        </w:tabs>
      </w:pPr>
      <w:r>
        <w:t xml:space="preserve">Congress established “primary” NAAQS and “secondary” NAAQS in Section 109(b) of the CAA.  The primary NAAQS </w:t>
      </w:r>
      <w:proofErr w:type="gramStart"/>
      <w:r>
        <w:t>protect</w:t>
      </w:r>
      <w:proofErr w:type="gramEnd"/>
      <w:r>
        <w:t xml:space="preserve"> public health, while the secondary NAAQS </w:t>
      </w:r>
      <w:proofErr w:type="gramStart"/>
      <w:r>
        <w:t>protect</w:t>
      </w:r>
      <w:proofErr w:type="gramEnd"/>
      <w:r>
        <w:t xml:space="preserve"> public welfare.  Congress further stated in Section 302(h) of the CAA, “</w:t>
      </w:r>
      <w:r w:rsidRPr="001C42D7">
        <w:rPr>
          <w:i/>
        </w:rPr>
        <w:t xml:space="preserve">All language referring to the effects of </w:t>
      </w:r>
      <w:r w:rsidRPr="00370132">
        <w:rPr>
          <w:b/>
          <w:i/>
        </w:rPr>
        <w:t>welfare</w:t>
      </w:r>
      <w:r w:rsidRPr="001C42D7">
        <w:rPr>
          <w:i/>
        </w:rPr>
        <w:t xml:space="preserve"> includes, but is not limited to, effects on </w:t>
      </w:r>
      <w:r w:rsidRPr="001C42D7">
        <w:rPr>
          <w:b/>
          <w:i/>
        </w:rPr>
        <w:t>soils</w:t>
      </w:r>
      <w:r w:rsidRPr="001C42D7">
        <w:rPr>
          <w:i/>
        </w:rPr>
        <w:t xml:space="preserve">, water, crops, </w:t>
      </w:r>
      <w:r w:rsidRPr="001C42D7">
        <w:rPr>
          <w:b/>
          <w:i/>
        </w:rPr>
        <w:t>vegetation</w:t>
      </w:r>
      <w:r w:rsidRPr="001C42D7">
        <w:rPr>
          <w:i/>
        </w:rPr>
        <w:t xml:space="preserve">, manmade materials, animals, wildlife, weather, </w:t>
      </w:r>
      <w:r w:rsidRPr="001C42D7">
        <w:rPr>
          <w:b/>
          <w:i/>
        </w:rPr>
        <w:t>visibility</w:t>
      </w:r>
      <w:r w:rsidRPr="001C42D7">
        <w:rPr>
          <w:i/>
        </w:rPr>
        <w:t>…</w:t>
      </w:r>
      <w:r>
        <w:t xml:space="preserve">” (emphasis added).  Therefore, an analysis that demonstrates compliance with the secondary NAAQS may generally be considered as adequate for demonstrating that the visibility, soils, and vegetation will not be adversely impacted within the general project area.  However, there may be additional considerations in some circumstances.  </w:t>
      </w:r>
    </w:p>
    <w:p w14:paraId="1D9DEAC3" w14:textId="676BD1E3" w:rsidR="009A01E5" w:rsidRDefault="0018097F">
      <w:pPr>
        <w:tabs>
          <w:tab w:val="left" w:pos="-748"/>
          <w:tab w:val="right" w:pos="-225"/>
          <w:tab w:val="left" w:pos="-4"/>
          <w:tab w:val="right" w:pos="5724"/>
          <w:tab w:val="left" w:pos="5967"/>
        </w:tabs>
      </w:pPr>
      <w:r>
        <w:t xml:space="preserve">This manual cannot predict, nor address, all scenarios that could arise during a PSD review.  However, there is an additional assessment that has been historically conducted for projects with significant </w:t>
      </w:r>
      <w:r w:rsidRPr="00E91523">
        <w:t>SO</w:t>
      </w:r>
      <w:r w:rsidRPr="00E91523">
        <w:rPr>
          <w:vertAlign w:val="subscript"/>
        </w:rPr>
        <w:t>2</w:t>
      </w:r>
      <w:r>
        <w:t xml:space="preserve"> emissions: comparing the annual </w:t>
      </w:r>
      <w:r w:rsidRPr="00E91523">
        <w:t>SO</w:t>
      </w:r>
      <w:r w:rsidRPr="00E91523">
        <w:rPr>
          <w:vertAlign w:val="subscript"/>
        </w:rPr>
        <w:t>2</w:t>
      </w:r>
      <w:r>
        <w:t xml:space="preserve"> impacts </w:t>
      </w:r>
      <w:r w:rsidR="00360E39">
        <w:t xml:space="preserve">to </w:t>
      </w:r>
      <w:r>
        <w:t>the 13</w:t>
      </w:r>
      <w:r w:rsidR="00360E39" w:rsidRPr="00CA59E0">
        <w:rPr>
          <w:snapToGrid w:val="0"/>
        </w:rPr>
        <w:t> </w:t>
      </w:r>
      <w:r>
        <w:sym w:font="Symbol" w:char="F06D"/>
      </w:r>
      <w:r>
        <w:t>g/m</w:t>
      </w:r>
      <w:r>
        <w:rPr>
          <w:vertAlign w:val="superscript"/>
        </w:rPr>
        <w:t>3</w:t>
      </w:r>
      <w:r>
        <w:t xml:space="preserve"> worst-case sensitivity threshold reported by the U.S. Forest Service for some types of southeast Alaska lichens (</w:t>
      </w:r>
      <w:r w:rsidRPr="00613983">
        <w:rPr>
          <w:i/>
        </w:rPr>
        <w:t>Air Quality Monitoring on the Tongass National Forest – Methods and Baselines Using Lichens</w:t>
      </w:r>
      <w:r>
        <w:t xml:space="preserve">; Forest Service Alaska Region; R10-TB-46; September 1994). </w:t>
      </w:r>
      <w:r w:rsidR="00CE05C4">
        <w:t xml:space="preserve"> </w:t>
      </w:r>
      <w:r>
        <w:t>The additional comparison to the lichen threshold is for the following reason</w:t>
      </w:r>
      <w:proofErr w:type="gramStart"/>
      <w:r>
        <w:t>:  lichens</w:t>
      </w:r>
      <w:proofErr w:type="gramEnd"/>
      <w:r>
        <w:t xml:space="preserve"> are more sensitive to air pollutants than vascular plants since they lack roots and derive all growth requirements from the atmosphere.  While it is not known whether all species of lichens found in Alaska have the same sensitivity as what the U.S. Forest Service found for some lichens in the Tongass National Forest, the reported value provides a surrogate measure of the potential sensitivity threshold.</w:t>
      </w:r>
    </w:p>
    <w:p w14:paraId="4E43ED91" w14:textId="5D59F512" w:rsidR="009A01E5" w:rsidRDefault="00FD7D8B">
      <w:pPr>
        <w:rPr>
          <w:snapToGrid w:val="0"/>
        </w:rPr>
      </w:pPr>
      <w:r>
        <w:rPr>
          <w:noProof/>
        </w:rPr>
        <mc:AlternateContent>
          <mc:Choice Requires="wps">
            <w:drawing>
              <wp:anchor distT="0" distB="0" distL="114300" distR="114300" simplePos="0" relativeHeight="251632128" behindDoc="0" locked="0" layoutInCell="1" allowOverlap="1" wp14:anchorId="1CCEE491" wp14:editId="72F21121">
                <wp:simplePos x="0" y="0"/>
                <wp:positionH relativeFrom="margin">
                  <wp:align>left</wp:align>
                </wp:positionH>
                <wp:positionV relativeFrom="paragraph">
                  <wp:posOffset>62998</wp:posOffset>
                </wp:positionV>
                <wp:extent cx="5358810" cy="287079"/>
                <wp:effectExtent l="0" t="0" r="13335" b="17780"/>
                <wp:wrapNone/>
                <wp:docPr id="5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8810" cy="287079"/>
                        </a:xfrm>
                        <a:prstGeom prst="rect">
                          <a:avLst/>
                        </a:prstGeom>
                        <a:solidFill>
                          <a:srgbClr val="FFFFFF"/>
                        </a:solidFill>
                        <a:ln w="9525">
                          <a:solidFill>
                            <a:srgbClr val="000000"/>
                          </a:solidFill>
                          <a:miter lim="800000"/>
                          <a:headEnd/>
                          <a:tailEnd/>
                        </a:ln>
                      </wps:spPr>
                      <wps:txbx>
                        <w:txbxContent>
                          <w:p w14:paraId="47061A47" w14:textId="77777777" w:rsidR="004830EA" w:rsidRDefault="004830EA" w:rsidP="004204A9">
                            <w:pPr>
                              <w:pStyle w:val="BodyText2"/>
                            </w:pPr>
                            <w:r>
                              <w:t>HAVE YOU DOCUMENTED THE RESULTS OF YOUR REVIEW SO FAR?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EE491" id="Text Box 5" o:spid="_x0000_s1049" type="#_x0000_t202" style="position:absolute;margin-left:0;margin-top:4.95pt;width:421.95pt;height:22.6pt;z-index:251632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">
                <v:textbox>
                  <w:txbxContent>
                    <w:p w14:paraId="47061A47" w14:textId="77777777" w:rsidR="004830EA" w:rsidRDefault="004830EA" w:rsidP="004204A9">
                      <w:pPr>
                        <w:pStyle w:val="BodyText2"/>
                      </w:pPr>
                      <w:r>
                        <w:t>HAVE YOU DOCUMENTED THE RESULTS OF YOUR REVIEW SO FAR?</w:t>
                      </w:r>
                    </w:p>
                  </w:txbxContent>
                </v:textbox>
                <w10:wrap anchorx="margin"/>
              </v:shape>
            </w:pict>
          </mc:Fallback>
        </mc:AlternateContent>
      </w:r>
    </w:p>
    <w:p w14:paraId="04CB5492" w14:textId="77777777" w:rsidR="00783B82" w:rsidRDefault="00783B82">
      <w:pPr>
        <w:spacing w:after="0"/>
        <w:rPr>
          <w:snapToGrid w:val="0"/>
        </w:rPr>
      </w:pPr>
      <w:r>
        <w:rPr>
          <w:snapToGrid w:val="0"/>
        </w:rPr>
        <w:br w:type="page"/>
      </w:r>
    </w:p>
    <w:p w14:paraId="07780929" w14:textId="77777777" w:rsidR="00E25D9E" w:rsidRDefault="00E25D9E" w:rsidP="00E25D9E">
      <w:pPr>
        <w:spacing w:after="0"/>
        <w:rPr>
          <w:snapToGrid w:val="0"/>
        </w:rPr>
      </w:pPr>
    </w:p>
    <w:p w14:paraId="23040C24" w14:textId="77777777" w:rsidR="00E25D9E" w:rsidRDefault="00E25D9E" w:rsidP="00E25D9E">
      <w:pPr>
        <w:spacing w:after="0"/>
        <w:rPr>
          <w:snapToGrid w:val="0"/>
        </w:rPr>
      </w:pPr>
    </w:p>
    <w:p w14:paraId="6D5274ED" w14:textId="77777777" w:rsidR="00783B82" w:rsidRDefault="00783B82" w:rsidP="00E25D9E">
      <w:pPr>
        <w:spacing w:after="0"/>
        <w:rPr>
          <w:snapToGrid w:val="0"/>
        </w:rPr>
      </w:pPr>
    </w:p>
    <w:p w14:paraId="0F5C9C9D" w14:textId="77777777" w:rsidR="00783B82" w:rsidRDefault="00783B82" w:rsidP="00E25D9E">
      <w:pPr>
        <w:spacing w:after="0"/>
        <w:rPr>
          <w:snapToGrid w:val="0"/>
        </w:rPr>
      </w:pPr>
    </w:p>
    <w:p w14:paraId="6EF0F7E4" w14:textId="77777777" w:rsidR="00783B82" w:rsidRDefault="00783B82" w:rsidP="00E25D9E">
      <w:pPr>
        <w:spacing w:after="0"/>
        <w:rPr>
          <w:snapToGrid w:val="0"/>
        </w:rPr>
      </w:pPr>
    </w:p>
    <w:p w14:paraId="2D62E342" w14:textId="77777777" w:rsidR="00783B82" w:rsidRDefault="00783B82" w:rsidP="00E25D9E">
      <w:pPr>
        <w:spacing w:after="0"/>
        <w:rPr>
          <w:snapToGrid w:val="0"/>
        </w:rPr>
      </w:pPr>
    </w:p>
    <w:p w14:paraId="45B53783" w14:textId="77777777" w:rsidR="00783B82" w:rsidRDefault="00783B82" w:rsidP="00E25D9E">
      <w:pPr>
        <w:spacing w:after="0"/>
        <w:rPr>
          <w:snapToGrid w:val="0"/>
        </w:rPr>
      </w:pPr>
    </w:p>
    <w:p w14:paraId="541F82F1" w14:textId="77777777" w:rsidR="00783B82" w:rsidRDefault="00783B82" w:rsidP="00E25D9E">
      <w:pPr>
        <w:spacing w:after="0"/>
        <w:rPr>
          <w:snapToGrid w:val="0"/>
        </w:rPr>
      </w:pPr>
    </w:p>
    <w:p w14:paraId="57EF3609" w14:textId="77777777" w:rsidR="00783B82" w:rsidRDefault="00783B82" w:rsidP="00E25D9E">
      <w:pPr>
        <w:spacing w:after="0"/>
        <w:rPr>
          <w:snapToGrid w:val="0"/>
        </w:rPr>
      </w:pPr>
    </w:p>
    <w:p w14:paraId="0EF8D2FC" w14:textId="77777777" w:rsidR="00783B82" w:rsidRDefault="00783B82" w:rsidP="00E25D9E">
      <w:pPr>
        <w:spacing w:after="0"/>
        <w:rPr>
          <w:snapToGrid w:val="0"/>
        </w:rPr>
      </w:pPr>
    </w:p>
    <w:p w14:paraId="7AC2CD9B" w14:textId="77777777" w:rsidR="00783B82" w:rsidRDefault="00783B82" w:rsidP="00E25D9E">
      <w:pPr>
        <w:spacing w:after="0"/>
        <w:rPr>
          <w:snapToGrid w:val="0"/>
        </w:rPr>
      </w:pPr>
    </w:p>
    <w:p w14:paraId="1E56BF21" w14:textId="77777777" w:rsidR="00783B82" w:rsidRDefault="00783B82" w:rsidP="00783B82">
      <w:pPr>
        <w:spacing w:after="0"/>
        <w:jc w:val="center"/>
        <w:rPr>
          <w:snapToGrid w:val="0"/>
        </w:rPr>
      </w:pPr>
      <w:r>
        <w:rPr>
          <w:snapToGrid w:val="0"/>
        </w:rPr>
        <w:t>(This page intentionally left blank)</w:t>
      </w:r>
    </w:p>
    <w:p w14:paraId="00EF065F" w14:textId="69ADFA62" w:rsidR="00104535" w:rsidRDefault="00104535">
      <w:pPr>
        <w:spacing w:after="0"/>
        <w:rPr>
          <w:snapToGrid w:val="0"/>
        </w:rPr>
      </w:pPr>
      <w:r>
        <w:rPr>
          <w:snapToGrid w:val="0"/>
        </w:rPr>
        <w:br w:type="page"/>
      </w:r>
    </w:p>
    <w:p w14:paraId="1ED7785F" w14:textId="77777777" w:rsidR="003C251D" w:rsidRDefault="00A97DCA" w:rsidP="00FB5BC2">
      <w:pPr>
        <w:pStyle w:val="Heading2"/>
        <w:rPr>
          <w:snapToGrid w:val="0"/>
        </w:rPr>
      </w:pPr>
      <w:bookmarkStart w:id="300" w:name="_Toc43521238"/>
      <w:r>
        <w:rPr>
          <w:snapToGrid w:val="0"/>
        </w:rPr>
        <w:lastRenderedPageBreak/>
        <w:tab/>
      </w:r>
      <w:bookmarkStart w:id="301" w:name="_Ref474397396"/>
      <w:bookmarkStart w:id="302" w:name="_Toc526778303"/>
      <w:proofErr w:type="gramStart"/>
      <w:r w:rsidR="009A01E5">
        <w:rPr>
          <w:snapToGrid w:val="0"/>
        </w:rPr>
        <w:t>Class</w:t>
      </w:r>
      <w:proofErr w:type="gramEnd"/>
      <w:r w:rsidR="009A01E5">
        <w:rPr>
          <w:snapToGrid w:val="0"/>
        </w:rPr>
        <w:t xml:space="preserve"> I Air Quality Related Values </w:t>
      </w:r>
      <w:bookmarkEnd w:id="300"/>
      <w:r w:rsidR="009A01E5">
        <w:rPr>
          <w:snapToGrid w:val="0"/>
        </w:rPr>
        <w:t>(PSD Sources Only)</w:t>
      </w:r>
      <w:bookmarkEnd w:id="301"/>
      <w:bookmarkEnd w:id="302"/>
    </w:p>
    <w:p w14:paraId="4D243DDA" w14:textId="406481CF" w:rsidR="00D4784E" w:rsidRDefault="00D4784E">
      <w:r>
        <w:t>As discussed in Section</w:t>
      </w:r>
      <w:r w:rsidR="00744092" w:rsidRPr="00CA59E0">
        <w:rPr>
          <w:snapToGrid w:val="0"/>
        </w:rPr>
        <w:t> </w:t>
      </w:r>
      <w:r>
        <w:fldChar w:fldCharType="begin"/>
      </w:r>
      <w:r>
        <w:instrText xml:space="preserve"> REF _Ref526414689 \w \h </w:instrText>
      </w:r>
      <w:r>
        <w:fldChar w:fldCharType="separate"/>
      </w:r>
      <w:r w:rsidR="00135FFD">
        <w:t>2.1.5</w:t>
      </w:r>
      <w:r>
        <w:fldChar w:fldCharType="end"/>
      </w:r>
      <w:r>
        <w:t xml:space="preserve"> of this Manual, the Department must notify the FLM of any PSD project within 100 km of the Class I area that they manage, or “very large [PSD] sources” located beyond 100 km.  </w:t>
      </w:r>
      <w:r w:rsidR="00611D58">
        <w:t xml:space="preserve">The FLM will then determine whether the PSD applicant needs to submit an AQRV analysis for the Class I area under </w:t>
      </w:r>
      <w:hyperlink r:id="rId180" w:history="1">
        <w:r w:rsidR="00EA18D5" w:rsidRPr="00FB2639">
          <w:rPr>
            <w:rStyle w:val="Hyperlink"/>
          </w:rPr>
          <w:t>40</w:t>
        </w:r>
        <w:r w:rsidR="001530FC" w:rsidRPr="00FB2639">
          <w:rPr>
            <w:rStyle w:val="Hyperlink"/>
          </w:rPr>
          <w:t> </w:t>
        </w:r>
        <w:r w:rsidR="00EA18D5" w:rsidRPr="00FB2639">
          <w:rPr>
            <w:rStyle w:val="Hyperlink"/>
          </w:rPr>
          <w:t>CFR</w:t>
        </w:r>
        <w:r w:rsidR="001530FC" w:rsidRPr="00FB2639">
          <w:rPr>
            <w:rStyle w:val="Hyperlink"/>
          </w:rPr>
          <w:t> </w:t>
        </w:r>
        <w:r w:rsidR="00EA18D5" w:rsidRPr="00FB2639">
          <w:rPr>
            <w:rStyle w:val="Hyperlink"/>
          </w:rPr>
          <w:t>52.21</w:t>
        </w:r>
      </w:hyperlink>
      <w:r w:rsidR="00EA18D5">
        <w:t xml:space="preserve">(p). </w:t>
      </w:r>
      <w:r w:rsidR="002E0820">
        <w:t xml:space="preserve"> </w:t>
      </w:r>
      <w:r w:rsidR="00F93509">
        <w:t xml:space="preserve">The FLM will likely expect the AQRV analysis to comply with the current FLAG guidance. </w:t>
      </w:r>
    </w:p>
    <w:p w14:paraId="78BA4149" w14:textId="77777777" w:rsidR="00216353" w:rsidRDefault="00216353" w:rsidP="00216353">
      <w:pPr>
        <w:rPr>
          <w:snapToGrid w:val="0"/>
        </w:rPr>
      </w:pPr>
      <w:r>
        <w:rPr>
          <w:snapToGrid w:val="0"/>
        </w:rPr>
        <w:t>Your responsibility is to keep the FLM informed of the modeling and AQRV stages of the project.  The following actions should be taken if a proposed project may affect a Class I area.</w:t>
      </w:r>
    </w:p>
    <w:p w14:paraId="1C678495" w14:textId="77777777" w:rsidR="00216353" w:rsidRDefault="00216353" w:rsidP="00216353">
      <w:pPr>
        <w:numPr>
          <w:ilvl w:val="0"/>
          <w:numId w:val="36"/>
        </w:numPr>
        <w:rPr>
          <w:snapToGrid w:val="0"/>
        </w:rPr>
      </w:pPr>
      <w:r>
        <w:rPr>
          <w:snapToGrid w:val="0"/>
        </w:rPr>
        <w:t xml:space="preserve">You should notify the FLM to ensure receipt of the application, including the modeling analysis.  </w:t>
      </w:r>
    </w:p>
    <w:p w14:paraId="4A5613BB" w14:textId="77777777" w:rsidR="00216353" w:rsidRDefault="00216353" w:rsidP="00216353">
      <w:pPr>
        <w:numPr>
          <w:ilvl w:val="0"/>
          <w:numId w:val="40"/>
        </w:numPr>
        <w:rPr>
          <w:snapToGrid w:val="0"/>
        </w:rPr>
      </w:pPr>
      <w:r>
        <w:rPr>
          <w:snapToGrid w:val="0"/>
        </w:rPr>
        <w:t xml:space="preserve">Provide an occasional reminder to the FLMs about upcoming deadlines for comments.   </w:t>
      </w:r>
    </w:p>
    <w:p w14:paraId="633FD156" w14:textId="77777777" w:rsidR="00216353" w:rsidRDefault="00216353" w:rsidP="00216353">
      <w:pPr>
        <w:numPr>
          <w:ilvl w:val="0"/>
          <w:numId w:val="37"/>
        </w:numPr>
        <w:rPr>
          <w:snapToGrid w:val="0"/>
        </w:rPr>
      </w:pPr>
      <w:r>
        <w:rPr>
          <w:snapToGrid w:val="0"/>
        </w:rPr>
        <w:t xml:space="preserve">Be certain to copy the FLM with significant communication such as </w:t>
      </w:r>
      <w:proofErr w:type="gramStart"/>
      <w:r>
        <w:rPr>
          <w:snapToGrid w:val="0"/>
        </w:rPr>
        <w:t>completeness</w:t>
      </w:r>
      <w:proofErr w:type="gramEnd"/>
      <w:r>
        <w:rPr>
          <w:snapToGrid w:val="0"/>
        </w:rPr>
        <w:t xml:space="preserve"> determinations, deficiency notices, changes in emission scenarios, etc.</w:t>
      </w:r>
    </w:p>
    <w:p w14:paraId="0BE72A5B" w14:textId="3BFE348E" w:rsidR="00BF237C" w:rsidRDefault="00BF237C" w:rsidP="00216353">
      <w:pPr>
        <w:numPr>
          <w:ilvl w:val="0"/>
          <w:numId w:val="37"/>
        </w:numPr>
        <w:rPr>
          <w:snapToGrid w:val="0"/>
        </w:rPr>
      </w:pPr>
      <w:r>
        <w:rPr>
          <w:snapToGrid w:val="0"/>
        </w:rPr>
        <w:t xml:space="preserve">Incorporate/reference the FLM’s assessment of the AQRV analyses in the modeling review. </w:t>
      </w:r>
    </w:p>
    <w:p w14:paraId="234F806A" w14:textId="0B2B33EA" w:rsidR="00BF237C" w:rsidRDefault="00BF237C" w:rsidP="00216353">
      <w:pPr>
        <w:numPr>
          <w:ilvl w:val="0"/>
          <w:numId w:val="37"/>
        </w:numPr>
        <w:rPr>
          <w:snapToGrid w:val="0"/>
        </w:rPr>
      </w:pPr>
      <w:r>
        <w:rPr>
          <w:snapToGrid w:val="0"/>
        </w:rPr>
        <w:t xml:space="preserve">Work with the permit engineer to ensure that the operational restrictions needed to protect the AQRVs are incorporated into the permit, if warranted. </w:t>
      </w:r>
    </w:p>
    <w:p w14:paraId="6FA5833B" w14:textId="2E90DDB3" w:rsidR="0071493D" w:rsidRDefault="00CB1D5F">
      <w:pPr>
        <w:rPr>
          <w:snapToGrid w:val="0"/>
        </w:rPr>
      </w:pPr>
      <w:r>
        <w:t xml:space="preserve">Visibility is an AQRV that the FLMs manage. </w:t>
      </w:r>
      <w:r w:rsidR="00744092">
        <w:t xml:space="preserve"> </w:t>
      </w:r>
      <w:r w:rsidR="00AF7CA1" w:rsidDel="0071493D">
        <w:t xml:space="preserve">Visibility impairment means any humanly perceptible change in visibility, i.e. visual range, contrast, or coloration, from that which </w:t>
      </w:r>
      <w:r w:rsidR="00AF7CA1" w:rsidRPr="00B77FA8" w:rsidDel="0071493D">
        <w:rPr>
          <w:snapToGrid w:val="0"/>
        </w:rPr>
        <w:t>would have existed under natural conditions</w:t>
      </w:r>
      <w:r w:rsidR="00AF7CA1" w:rsidDel="0071493D">
        <w:rPr>
          <w:snapToGrid w:val="0"/>
        </w:rPr>
        <w:t xml:space="preserve">; see the definition of </w:t>
      </w:r>
      <w:r w:rsidR="00AF7CA1" w:rsidRPr="002E748B" w:rsidDel="0071493D">
        <w:rPr>
          <w:i/>
          <w:snapToGrid w:val="0"/>
        </w:rPr>
        <w:t>Visibility Impairment</w:t>
      </w:r>
      <w:r w:rsidR="00AF7CA1" w:rsidDel="0071493D">
        <w:rPr>
          <w:snapToGrid w:val="0"/>
        </w:rPr>
        <w:t xml:space="preserve"> under </w:t>
      </w:r>
      <w:hyperlink r:id="rId181" w:history="1">
        <w:r w:rsidR="00AF7CA1" w:rsidRPr="00FB2639" w:rsidDel="0071493D">
          <w:rPr>
            <w:rStyle w:val="Hyperlink"/>
            <w:snapToGrid w:val="0"/>
          </w:rPr>
          <w:t>40 CFR 51.301</w:t>
        </w:r>
      </w:hyperlink>
      <w:r w:rsidR="00AF7CA1" w:rsidRPr="00B77FA8" w:rsidDel="0071493D">
        <w:rPr>
          <w:snapToGrid w:val="0"/>
        </w:rPr>
        <w:t>.</w:t>
      </w:r>
      <w:r w:rsidR="00AF7CA1" w:rsidRPr="00B77FA8">
        <w:rPr>
          <w:snapToGrid w:val="0"/>
        </w:rPr>
        <w:t xml:space="preserve"> </w:t>
      </w:r>
      <w:r w:rsidR="00CE05C4">
        <w:rPr>
          <w:snapToGrid w:val="0"/>
        </w:rPr>
        <w:t xml:space="preserve"> </w:t>
      </w:r>
      <w:r w:rsidR="00AF7CA1" w:rsidDel="00744092">
        <w:rPr>
          <w:snapToGrid w:val="0"/>
        </w:rPr>
        <w:t>Impacts to v</w:t>
      </w:r>
      <w:r w:rsidR="00AF7CA1" w:rsidRPr="00B77FA8" w:rsidDel="00744092">
        <w:rPr>
          <w:snapToGrid w:val="0"/>
        </w:rPr>
        <w:t xml:space="preserve">isibility can </w:t>
      </w:r>
      <w:r w:rsidR="00AF7CA1" w:rsidDel="00744092">
        <w:rPr>
          <w:snapToGrid w:val="0"/>
        </w:rPr>
        <w:t>occur</w:t>
      </w:r>
      <w:r w:rsidR="00AF7CA1" w:rsidRPr="00B77FA8" w:rsidDel="00744092">
        <w:rPr>
          <w:snapToGrid w:val="0"/>
        </w:rPr>
        <w:t xml:space="preserve"> in the form of visible plumes</w:t>
      </w:r>
      <w:r w:rsidR="00AF7CA1" w:rsidDel="00744092">
        <w:rPr>
          <w:snapToGrid w:val="0"/>
        </w:rPr>
        <w:t xml:space="preserve"> </w:t>
      </w:r>
      <w:proofErr w:type="gramStart"/>
      <w:r w:rsidR="00AF7CA1" w:rsidDel="00744092">
        <w:rPr>
          <w:snapToGrid w:val="0"/>
        </w:rPr>
        <w:t>as ‘</w:t>
      </w:r>
      <w:proofErr w:type="gramEnd"/>
      <w:r w:rsidR="00AF7CA1" w:rsidRPr="00B77FA8" w:rsidDel="00744092">
        <w:rPr>
          <w:snapToGrid w:val="0"/>
        </w:rPr>
        <w:t xml:space="preserve">plume </w:t>
      </w:r>
      <w:proofErr w:type="gramStart"/>
      <w:r w:rsidR="00AF7CA1" w:rsidRPr="00B77FA8" w:rsidDel="00744092">
        <w:rPr>
          <w:snapToGrid w:val="0"/>
        </w:rPr>
        <w:t>blight</w:t>
      </w:r>
      <w:r w:rsidR="00AF7CA1" w:rsidDel="00744092">
        <w:rPr>
          <w:snapToGrid w:val="0"/>
        </w:rPr>
        <w:t>’,</w:t>
      </w:r>
      <w:proofErr w:type="gramEnd"/>
      <w:r w:rsidR="00AF7CA1" w:rsidRPr="00B77FA8" w:rsidDel="00744092">
        <w:rPr>
          <w:snapToGrid w:val="0"/>
        </w:rPr>
        <w:t xml:space="preserve"> or in a general, area-wide reduction in visibility</w:t>
      </w:r>
      <w:r w:rsidR="00AF7CA1" w:rsidDel="00744092">
        <w:rPr>
          <w:snapToGrid w:val="0"/>
        </w:rPr>
        <w:t xml:space="preserve"> as ‘</w:t>
      </w:r>
      <w:r w:rsidR="00AF7CA1" w:rsidRPr="00B77FA8" w:rsidDel="00744092">
        <w:rPr>
          <w:snapToGrid w:val="0"/>
        </w:rPr>
        <w:t>regional haze</w:t>
      </w:r>
      <w:r w:rsidR="00AF7CA1" w:rsidDel="00744092">
        <w:rPr>
          <w:snapToGrid w:val="0"/>
        </w:rPr>
        <w:t>’</w:t>
      </w:r>
      <w:r w:rsidR="00744092">
        <w:rPr>
          <w:snapToGrid w:val="0"/>
        </w:rPr>
        <w:t xml:space="preserve">  </w:t>
      </w:r>
    </w:p>
    <w:p w14:paraId="34A38758" w14:textId="2DF0DC12" w:rsidR="0071493D" w:rsidRDefault="00744092">
      <w:pPr>
        <w:rPr>
          <w:snapToGrid w:val="0"/>
        </w:rPr>
      </w:pPr>
      <w:r>
        <w:t>The FLM will likely ask for a</w:t>
      </w:r>
      <w:r w:rsidR="00AF7CA1">
        <w:t xml:space="preserve"> plume blight analysis if the stationary source is located within 50</w:t>
      </w:r>
      <w:r w:rsidR="00492026" w:rsidRPr="00CA59E0">
        <w:rPr>
          <w:snapToGrid w:val="0"/>
        </w:rPr>
        <w:t> </w:t>
      </w:r>
      <w:r w:rsidR="00AF7CA1">
        <w:t>km of the Class</w:t>
      </w:r>
      <w:r w:rsidR="00BA776F" w:rsidRPr="00CA59E0">
        <w:rPr>
          <w:snapToGrid w:val="0"/>
        </w:rPr>
        <w:t> </w:t>
      </w:r>
      <w:r w:rsidR="00AF7CA1">
        <w:t xml:space="preserve">I area.  </w:t>
      </w:r>
      <w:r w:rsidR="0071493D">
        <w:t>The</w:t>
      </w:r>
      <w:r w:rsidR="0071493D" w:rsidRPr="00B77FA8">
        <w:t xml:space="preserve"> typical tool </w:t>
      </w:r>
      <w:r w:rsidR="0071493D">
        <w:t xml:space="preserve">used to </w:t>
      </w:r>
      <w:r w:rsidR="0071493D" w:rsidRPr="00B77FA8">
        <w:t xml:space="preserve">assess plume blight is EPA’s VISCREEN model. </w:t>
      </w:r>
      <w:r w:rsidR="00CE05C4">
        <w:t xml:space="preserve"> </w:t>
      </w:r>
      <w:r w:rsidR="0071493D">
        <w:t xml:space="preserve">The User’s Guide for this tool is contained within the October 1992 EPA document, </w:t>
      </w:r>
      <w:r w:rsidR="0071493D" w:rsidRPr="004C7B6B">
        <w:rPr>
          <w:i/>
        </w:rPr>
        <w:t xml:space="preserve">Workbook </w:t>
      </w:r>
      <w:proofErr w:type="gramStart"/>
      <w:r w:rsidR="0071493D">
        <w:rPr>
          <w:i/>
        </w:rPr>
        <w:t>F</w:t>
      </w:r>
      <w:r w:rsidR="0071493D" w:rsidRPr="004C7B6B">
        <w:rPr>
          <w:i/>
        </w:rPr>
        <w:t>or</w:t>
      </w:r>
      <w:proofErr w:type="gramEnd"/>
      <w:r w:rsidR="0071493D" w:rsidRPr="004C7B6B">
        <w:rPr>
          <w:i/>
        </w:rPr>
        <w:t xml:space="preserve"> Plume Visual Impact Screening and Analysis (Revised)</w:t>
      </w:r>
      <w:r w:rsidR="0071493D" w:rsidRPr="004C7B6B">
        <w:t xml:space="preserve">, </w:t>
      </w:r>
      <w:r w:rsidR="0071493D">
        <w:t>EPA-454/R-92-023.</w:t>
      </w:r>
      <w:r w:rsidR="0071493D">
        <w:rPr>
          <w:rStyle w:val="FootnoteReference"/>
        </w:rPr>
        <w:footnoteReference w:id="103"/>
      </w:r>
    </w:p>
    <w:p w14:paraId="593EE3B5" w14:textId="224420F3" w:rsidR="00240A92" w:rsidRDefault="00CB1D5F" w:rsidP="0071493D">
      <w:r>
        <w:t xml:space="preserve">The </w:t>
      </w:r>
      <w:r w:rsidR="00492026">
        <w:t xml:space="preserve">FLM will likely ask for a </w:t>
      </w:r>
      <w:r>
        <w:t>regional haze</w:t>
      </w:r>
      <w:r w:rsidR="00492026">
        <w:t xml:space="preserve"> analysis if the stationary source is located 50</w:t>
      </w:r>
      <w:r w:rsidR="00492026" w:rsidRPr="00CA59E0">
        <w:rPr>
          <w:snapToGrid w:val="0"/>
        </w:rPr>
        <w:t> </w:t>
      </w:r>
      <w:r w:rsidR="00492026">
        <w:t>km or more from the Class</w:t>
      </w:r>
      <w:r w:rsidR="00BA776F" w:rsidRPr="00CA59E0">
        <w:rPr>
          <w:snapToGrid w:val="0"/>
        </w:rPr>
        <w:t> </w:t>
      </w:r>
      <w:r w:rsidR="00492026">
        <w:t xml:space="preserve">I area.  CALPUFF is the typical tool for assessing regional haze. </w:t>
      </w:r>
    </w:p>
    <w:p w14:paraId="358BDC0C" w14:textId="406C301D" w:rsidR="00BA776F" w:rsidRDefault="00BA776F" w:rsidP="00CE05C4">
      <w:pPr>
        <w:keepNext/>
        <w:spacing w:after="120"/>
        <w:ind w:left="547" w:right="634"/>
      </w:pPr>
      <w:r w:rsidRPr="00AC6401">
        <w:rPr>
          <w:u w:val="single"/>
        </w:rPr>
        <w:lastRenderedPageBreak/>
        <w:t>Note</w:t>
      </w:r>
      <w:r>
        <w:t xml:space="preserve">: </w:t>
      </w:r>
    </w:p>
    <w:p w14:paraId="63EA640E" w14:textId="5CB27B75" w:rsidR="0071493D" w:rsidRDefault="0071493D" w:rsidP="00BA776F">
      <w:pPr>
        <w:ind w:left="540" w:right="630"/>
      </w:pPr>
      <w:r>
        <w:t>Ammonium nitrate and ammonium sulfate are two pollutants which can be a significant component of regional haze and fine particulates.  The transformation of SO</w:t>
      </w:r>
      <w:r>
        <w:rPr>
          <w:vertAlign w:val="subscript"/>
        </w:rPr>
        <w:t>2</w:t>
      </w:r>
      <w:r>
        <w:t xml:space="preserve"> and NOx emissions into these fine particulate species can be assessed using a chemical transport model.  Applicants are encouraged to follow the Interagency Workgroup on Air Quality Modeling (IWAQM)</w:t>
      </w:r>
      <w:r>
        <w:rPr>
          <w:rStyle w:val="FootnoteReference"/>
        </w:rPr>
        <w:footnoteReference w:id="104"/>
      </w:r>
      <w:r>
        <w:t xml:space="preserve"> and </w:t>
      </w:r>
      <w:hyperlink r:id="rId182" w:history="1">
        <w:r w:rsidRPr="0052161F">
          <w:rPr>
            <w:rStyle w:val="Hyperlink"/>
          </w:rPr>
          <w:t>FLAG</w:t>
        </w:r>
      </w:hyperlink>
      <w:r>
        <w:rPr>
          <w:rStyle w:val="FootnoteReference"/>
        </w:rPr>
        <w:footnoteReference w:id="105"/>
      </w:r>
      <w:r>
        <w:t xml:space="preserve"> guidance documents in selecting proper input parameters to correctly account for the formation of these two pollutants.  The FLMs will have the lead on the review of modeling assessments performed for Class I areas.</w:t>
      </w:r>
    </w:p>
    <w:p w14:paraId="00A25FEA" w14:textId="06462B1F" w:rsidR="00BA776F" w:rsidRDefault="00BA776F">
      <w:r>
        <w:t>Changes in air quality may affect other AQRVs in addition to visibility.  T</w:t>
      </w:r>
      <w:r>
        <w:rPr>
          <w:snapToGrid w:val="0"/>
        </w:rPr>
        <w:t xml:space="preserve">he </w:t>
      </w:r>
      <w:r>
        <w:t>2010 version of the Flag Phase I Report</w:t>
      </w:r>
      <w:r w:rsidR="00BB005C">
        <w:t xml:space="preserve"> states AQRVs can include flora, fauna, odor, water, soils, geologic features, and cultural resources. </w:t>
      </w:r>
      <w:r>
        <w:t xml:space="preserve"> </w:t>
      </w:r>
      <w:r w:rsidR="00BB005C">
        <w:t xml:space="preserve">The details regarding additional </w:t>
      </w:r>
      <w:r w:rsidR="0060785B">
        <w:t xml:space="preserve">AQRV </w:t>
      </w:r>
      <w:r w:rsidR="00BB005C">
        <w:t>assessments should be determined under the provisions described in 40</w:t>
      </w:r>
      <w:r w:rsidR="00BB005C" w:rsidRPr="00CA59E0">
        <w:rPr>
          <w:snapToGrid w:val="0"/>
        </w:rPr>
        <w:t> </w:t>
      </w:r>
      <w:r w:rsidR="00BB005C">
        <w:t>CFR</w:t>
      </w:r>
      <w:r w:rsidR="00BB005C" w:rsidRPr="00CA59E0">
        <w:rPr>
          <w:snapToGrid w:val="0"/>
        </w:rPr>
        <w:t> </w:t>
      </w:r>
      <w:r w:rsidR="00BB005C">
        <w:rPr>
          <w:snapToGrid w:val="0"/>
        </w:rPr>
        <w:t>5</w:t>
      </w:r>
      <w:r w:rsidR="00BB005C">
        <w:t xml:space="preserve">2.21(p)(2). </w:t>
      </w:r>
    </w:p>
    <w:p w14:paraId="643EAF8D" w14:textId="51E4DBD9" w:rsidR="00BE7FB3" w:rsidRPr="00DA07D4" w:rsidRDefault="00BE7FB3" w:rsidP="00265A57">
      <w:pPr>
        <w:spacing w:after="120"/>
        <w:ind w:left="720"/>
        <w:rPr>
          <w:i/>
          <w:snapToGrid w:val="0"/>
          <w:sz w:val="2"/>
          <w:szCs w:val="2"/>
        </w:rPr>
      </w:pPr>
    </w:p>
    <w:p w14:paraId="20DFB414" w14:textId="091EB9B2" w:rsidR="00A731F8" w:rsidRDefault="00A731F8" w:rsidP="006003C8">
      <w:pPr>
        <w:rPr>
          <w:snapToGrid w:val="0"/>
        </w:rPr>
      </w:pPr>
      <w:proofErr w:type="gramStart"/>
      <w:r>
        <w:rPr>
          <w:snapToGrid w:val="0"/>
        </w:rPr>
        <w:t>Applicant</w:t>
      </w:r>
      <w:proofErr w:type="gramEnd"/>
      <w:r>
        <w:rPr>
          <w:snapToGrid w:val="0"/>
        </w:rPr>
        <w:t xml:space="preserve"> with PSD sources that may impact a Class I analysis will also need to provide a Class I increment analysis under 40 CFR 52.21(k)(1)(ii).  The review of the Class I increment analysis is our responsibility. </w:t>
      </w:r>
    </w:p>
    <w:p w14:paraId="54F3E024" w14:textId="2C1C16A1" w:rsidR="00ED3D63" w:rsidRDefault="00E807FD" w:rsidP="006003C8">
      <w:pPr>
        <w:rPr>
          <w:snapToGrid w:val="0"/>
        </w:rPr>
      </w:pPr>
      <w:r>
        <w:rPr>
          <w:snapToGrid w:val="0"/>
        </w:rPr>
        <w:t>There are no Class I SILs</w:t>
      </w:r>
      <w:r w:rsidR="00ED3D63">
        <w:rPr>
          <w:snapToGrid w:val="0"/>
        </w:rPr>
        <w:t xml:space="preserve"> in federal or State rule.  However, EPA developed </w:t>
      </w:r>
      <w:r w:rsidR="001E2CEB">
        <w:rPr>
          <w:snapToGrid w:val="0"/>
        </w:rPr>
        <w:t xml:space="preserve">recommended </w:t>
      </w:r>
      <w:r w:rsidR="00ED3D63">
        <w:rPr>
          <w:snapToGrid w:val="0"/>
        </w:rPr>
        <w:t xml:space="preserve">SILs for Class I PM-2.5 increment demonstrations in an April 17, </w:t>
      </w:r>
      <w:proofErr w:type="gramStart"/>
      <w:r w:rsidR="00ED3D63">
        <w:rPr>
          <w:snapToGrid w:val="0"/>
        </w:rPr>
        <w:t>2018</w:t>
      </w:r>
      <w:proofErr w:type="gramEnd"/>
      <w:r w:rsidR="00ED3D63">
        <w:rPr>
          <w:snapToGrid w:val="0"/>
        </w:rPr>
        <w:t xml:space="preserve"> guidance document.</w:t>
      </w:r>
      <w:r w:rsidR="00ED3D63">
        <w:rPr>
          <w:rStyle w:val="FootnoteReference"/>
          <w:snapToGrid w:val="0"/>
        </w:rPr>
        <w:footnoteReference w:id="106"/>
      </w:r>
      <w:r w:rsidR="00ED3D63">
        <w:rPr>
          <w:snapToGrid w:val="0"/>
        </w:rPr>
        <w:t xml:space="preserve">  The </w:t>
      </w:r>
      <w:r w:rsidR="001E2CEB">
        <w:rPr>
          <w:snapToGrid w:val="0"/>
        </w:rPr>
        <w:t xml:space="preserve">recommended </w:t>
      </w:r>
      <w:r w:rsidR="00ED3D63">
        <w:rPr>
          <w:snapToGrid w:val="0"/>
        </w:rPr>
        <w:t xml:space="preserve">values are reiterated in </w:t>
      </w:r>
      <w:r w:rsidR="001E2CEB">
        <w:rPr>
          <w:snapToGrid w:val="0"/>
        </w:rPr>
        <w:fldChar w:fldCharType="begin"/>
      </w:r>
      <w:r w:rsidR="001E2CEB">
        <w:rPr>
          <w:snapToGrid w:val="0"/>
        </w:rPr>
        <w:instrText xml:space="preserve"> REF _Ref524703619 \h </w:instrText>
      </w:r>
      <w:r w:rsidR="001E2CEB">
        <w:rPr>
          <w:snapToGrid w:val="0"/>
        </w:rPr>
      </w:r>
      <w:r w:rsidR="001E2CEB">
        <w:rPr>
          <w:snapToGrid w:val="0"/>
        </w:rPr>
        <w:fldChar w:fldCharType="separate"/>
      </w:r>
      <w:r w:rsidR="00135FFD">
        <w:t xml:space="preserve">Table </w:t>
      </w:r>
      <w:r w:rsidR="00135FFD">
        <w:rPr>
          <w:noProof/>
        </w:rPr>
        <w:t>5</w:t>
      </w:r>
      <w:r w:rsidR="001E2CEB">
        <w:rPr>
          <w:snapToGrid w:val="0"/>
        </w:rPr>
        <w:fldChar w:fldCharType="end"/>
      </w:r>
      <w:r w:rsidR="00ED3D63">
        <w:rPr>
          <w:snapToGrid w:val="0"/>
        </w:rPr>
        <w:t xml:space="preserve"> </w:t>
      </w:r>
      <w:r w:rsidR="001E2CEB">
        <w:rPr>
          <w:snapToGrid w:val="0"/>
        </w:rPr>
        <w:t>below.</w:t>
      </w:r>
    </w:p>
    <w:p w14:paraId="36A55F8C" w14:textId="77777777" w:rsidR="001E2CEB" w:rsidRDefault="001E2CEB" w:rsidP="001E2CEB">
      <w:pPr>
        <w:pStyle w:val="Caption"/>
        <w:keepNext/>
        <w:spacing w:after="60"/>
        <w:jc w:val="center"/>
      </w:pPr>
      <w:bookmarkStart w:id="303" w:name="_Ref524703619"/>
      <w:bookmarkStart w:id="304" w:name="_Toc526778365"/>
      <w:r>
        <w:t xml:space="preserve">Table </w:t>
      </w:r>
      <w:r>
        <w:rPr>
          <w:noProof/>
        </w:rPr>
        <w:fldChar w:fldCharType="begin"/>
      </w:r>
      <w:r>
        <w:rPr>
          <w:noProof/>
        </w:rPr>
        <w:instrText xml:space="preserve"> SEQ Table \* ARABIC </w:instrText>
      </w:r>
      <w:r>
        <w:rPr>
          <w:noProof/>
        </w:rPr>
        <w:fldChar w:fldCharType="separate"/>
      </w:r>
      <w:r w:rsidR="00135FFD">
        <w:rPr>
          <w:noProof/>
        </w:rPr>
        <w:t>5</w:t>
      </w:r>
      <w:r>
        <w:rPr>
          <w:noProof/>
        </w:rPr>
        <w:fldChar w:fldCharType="end"/>
      </w:r>
      <w:bookmarkEnd w:id="303"/>
      <w:r>
        <w:t>.  EPA Recommended SILs for</w:t>
      </w:r>
      <w:bookmarkEnd w:id="304"/>
      <w:r>
        <w:t xml:space="preserve"> </w:t>
      </w:r>
    </w:p>
    <w:p w14:paraId="55241C6E" w14:textId="014F6125" w:rsidR="001E2CEB" w:rsidRDefault="001E2CEB" w:rsidP="001E2CEB">
      <w:pPr>
        <w:pStyle w:val="Caption"/>
        <w:keepNext/>
        <w:spacing w:before="0"/>
        <w:jc w:val="center"/>
      </w:pPr>
      <w:r>
        <w:t>Class I PM-2.5 Increment Demonstrations</w:t>
      </w:r>
    </w:p>
    <w:tbl>
      <w:tblPr>
        <w:tblW w:w="4163" w:type="dxa"/>
        <w:tblInd w:w="2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0"/>
        <w:gridCol w:w="1193"/>
        <w:gridCol w:w="1620"/>
      </w:tblGrid>
      <w:tr w:rsidR="001E2CEB" w14:paraId="40D91F4A" w14:textId="77777777" w:rsidTr="007A7210">
        <w:trPr>
          <w:trHeight w:val="485"/>
        </w:trPr>
        <w:tc>
          <w:tcPr>
            <w:tcW w:w="1350" w:type="dxa"/>
            <w:tcBorders>
              <w:bottom w:val="single" w:sz="12" w:space="0" w:color="auto"/>
            </w:tcBorders>
            <w:shd w:val="pct10" w:color="auto" w:fill="auto"/>
            <w:vAlign w:val="bottom"/>
          </w:tcPr>
          <w:p w14:paraId="65637D61" w14:textId="77777777" w:rsidR="001E2CEB" w:rsidRDefault="001E2CEB" w:rsidP="005A12C0">
            <w:pPr>
              <w:keepNext/>
              <w:keepLines/>
              <w:spacing w:before="120" w:after="0"/>
              <w:jc w:val="center"/>
              <w:rPr>
                <w:b/>
                <w:snapToGrid w:val="0"/>
              </w:rPr>
            </w:pPr>
            <w:r>
              <w:rPr>
                <w:b/>
                <w:snapToGrid w:val="0"/>
              </w:rPr>
              <w:t>Pollutant</w:t>
            </w:r>
          </w:p>
        </w:tc>
        <w:tc>
          <w:tcPr>
            <w:tcW w:w="1193" w:type="dxa"/>
            <w:tcBorders>
              <w:bottom w:val="single" w:sz="12" w:space="0" w:color="auto"/>
            </w:tcBorders>
            <w:shd w:val="pct10" w:color="auto" w:fill="auto"/>
            <w:vAlign w:val="bottom"/>
          </w:tcPr>
          <w:p w14:paraId="34CDCEC7" w14:textId="77777777" w:rsidR="001E2CEB" w:rsidRDefault="001E2CEB" w:rsidP="005A12C0">
            <w:pPr>
              <w:keepNext/>
              <w:keepLines/>
              <w:spacing w:before="120" w:after="0"/>
              <w:jc w:val="center"/>
              <w:rPr>
                <w:b/>
                <w:snapToGrid w:val="0"/>
              </w:rPr>
            </w:pPr>
            <w:r>
              <w:rPr>
                <w:b/>
                <w:snapToGrid w:val="0"/>
              </w:rPr>
              <w:t>Avg. Period</w:t>
            </w:r>
          </w:p>
        </w:tc>
        <w:tc>
          <w:tcPr>
            <w:tcW w:w="1620" w:type="dxa"/>
            <w:tcBorders>
              <w:bottom w:val="single" w:sz="12" w:space="0" w:color="auto"/>
            </w:tcBorders>
            <w:shd w:val="pct10" w:color="auto" w:fill="auto"/>
            <w:vAlign w:val="bottom"/>
          </w:tcPr>
          <w:p w14:paraId="63E770A4" w14:textId="52CDB9AA" w:rsidR="001E2CEB" w:rsidRDefault="001E2CEB" w:rsidP="001E2CEB">
            <w:pPr>
              <w:keepNext/>
              <w:keepLines/>
              <w:spacing w:before="120" w:after="0"/>
              <w:jc w:val="center"/>
              <w:rPr>
                <w:b/>
                <w:snapToGrid w:val="0"/>
              </w:rPr>
            </w:pPr>
            <w:r>
              <w:rPr>
                <w:b/>
                <w:snapToGrid w:val="0"/>
              </w:rPr>
              <w:t>Class I SIL</w:t>
            </w:r>
            <w:r w:rsidR="007A7210">
              <w:rPr>
                <w:b/>
                <w:snapToGrid w:val="0"/>
              </w:rPr>
              <w:t xml:space="preserve"> (</w:t>
            </w:r>
            <w:proofErr w:type="gramStart"/>
            <w:r w:rsidR="007A7210" w:rsidRPr="007A7210">
              <w:rPr>
                <w:b/>
                <w:snapToGrid w:val="0"/>
              </w:rPr>
              <w:t>µg</w:t>
            </w:r>
            <w:proofErr w:type="gramEnd"/>
            <w:r w:rsidR="007A7210" w:rsidRPr="007A7210">
              <w:rPr>
                <w:b/>
                <w:snapToGrid w:val="0"/>
              </w:rPr>
              <w:t>/m</w:t>
            </w:r>
            <w:r w:rsidR="007A7210" w:rsidRPr="007A7210">
              <w:rPr>
                <w:b/>
                <w:snapToGrid w:val="0"/>
                <w:vertAlign w:val="superscript"/>
              </w:rPr>
              <w:t>3</w:t>
            </w:r>
            <w:r w:rsidR="007A7210">
              <w:rPr>
                <w:b/>
                <w:snapToGrid w:val="0"/>
              </w:rPr>
              <w:t>)</w:t>
            </w:r>
          </w:p>
        </w:tc>
      </w:tr>
      <w:tr w:rsidR="001E2CEB" w14:paraId="21FC2023" w14:textId="77777777" w:rsidTr="001E2CEB">
        <w:tc>
          <w:tcPr>
            <w:tcW w:w="1350" w:type="dxa"/>
            <w:vMerge w:val="restart"/>
            <w:vAlign w:val="center"/>
          </w:tcPr>
          <w:p w14:paraId="5084EDD9" w14:textId="77777777" w:rsidR="001E2CEB" w:rsidRPr="0049563C" w:rsidRDefault="001E2CEB" w:rsidP="005A12C0">
            <w:pPr>
              <w:keepNext/>
              <w:keepLines/>
              <w:spacing w:before="100" w:beforeAutospacing="1" w:after="60"/>
              <w:rPr>
                <w:snapToGrid w:val="0"/>
              </w:rPr>
            </w:pPr>
            <w:r>
              <w:rPr>
                <w:snapToGrid w:val="0"/>
              </w:rPr>
              <w:t>PM-2.5</w:t>
            </w:r>
          </w:p>
        </w:tc>
        <w:tc>
          <w:tcPr>
            <w:tcW w:w="1193" w:type="dxa"/>
            <w:vAlign w:val="center"/>
          </w:tcPr>
          <w:p w14:paraId="16A57700" w14:textId="77777777" w:rsidR="001E2CEB" w:rsidRDefault="001E2CEB" w:rsidP="005A12C0">
            <w:pPr>
              <w:keepNext/>
              <w:keepLines/>
              <w:spacing w:before="100" w:beforeAutospacing="1" w:after="60"/>
              <w:jc w:val="center"/>
              <w:rPr>
                <w:snapToGrid w:val="0"/>
              </w:rPr>
            </w:pPr>
            <w:r>
              <w:rPr>
                <w:snapToGrid w:val="0"/>
              </w:rPr>
              <w:t>24-hour</w:t>
            </w:r>
          </w:p>
        </w:tc>
        <w:tc>
          <w:tcPr>
            <w:tcW w:w="1620" w:type="dxa"/>
            <w:vAlign w:val="center"/>
          </w:tcPr>
          <w:p w14:paraId="0BF3C5E9" w14:textId="0E6BE988" w:rsidR="001E2CEB" w:rsidRDefault="001E2CEB" w:rsidP="007A7210">
            <w:pPr>
              <w:keepNext/>
              <w:keepLines/>
              <w:spacing w:before="100" w:beforeAutospacing="1" w:after="60"/>
              <w:jc w:val="center"/>
              <w:rPr>
                <w:snapToGrid w:val="0"/>
              </w:rPr>
            </w:pPr>
            <w:r>
              <w:rPr>
                <w:snapToGrid w:val="0"/>
              </w:rPr>
              <w:t xml:space="preserve">0.27 </w:t>
            </w:r>
          </w:p>
        </w:tc>
      </w:tr>
      <w:tr w:rsidR="001E2CEB" w14:paraId="5C9C136A" w14:textId="77777777" w:rsidTr="001E2CEB">
        <w:tc>
          <w:tcPr>
            <w:tcW w:w="1350" w:type="dxa"/>
            <w:vMerge/>
            <w:vAlign w:val="center"/>
          </w:tcPr>
          <w:p w14:paraId="6069A3CC" w14:textId="77777777" w:rsidR="001E2CEB" w:rsidRPr="0049563C" w:rsidRDefault="001E2CEB" w:rsidP="005A12C0">
            <w:pPr>
              <w:keepNext/>
              <w:keepLines/>
              <w:spacing w:before="100" w:beforeAutospacing="1" w:after="60"/>
              <w:rPr>
                <w:snapToGrid w:val="0"/>
              </w:rPr>
            </w:pPr>
          </w:p>
        </w:tc>
        <w:tc>
          <w:tcPr>
            <w:tcW w:w="1193" w:type="dxa"/>
            <w:vAlign w:val="center"/>
          </w:tcPr>
          <w:p w14:paraId="4FBDB515" w14:textId="77777777" w:rsidR="001E2CEB" w:rsidRDefault="001E2CEB" w:rsidP="005A12C0">
            <w:pPr>
              <w:keepNext/>
              <w:keepLines/>
              <w:spacing w:before="100" w:beforeAutospacing="1" w:after="60"/>
              <w:jc w:val="center"/>
              <w:rPr>
                <w:snapToGrid w:val="0"/>
              </w:rPr>
            </w:pPr>
            <w:r>
              <w:rPr>
                <w:snapToGrid w:val="0"/>
              </w:rPr>
              <w:t>Annual</w:t>
            </w:r>
          </w:p>
        </w:tc>
        <w:tc>
          <w:tcPr>
            <w:tcW w:w="1620" w:type="dxa"/>
            <w:vAlign w:val="center"/>
          </w:tcPr>
          <w:p w14:paraId="03E3FE36" w14:textId="5CEAB10A" w:rsidR="001E2CEB" w:rsidRDefault="001E2CEB" w:rsidP="007A7210">
            <w:pPr>
              <w:keepNext/>
              <w:keepLines/>
              <w:spacing w:before="100" w:beforeAutospacing="1" w:after="60"/>
              <w:jc w:val="center"/>
              <w:rPr>
                <w:snapToGrid w:val="0"/>
              </w:rPr>
            </w:pPr>
            <w:r>
              <w:rPr>
                <w:snapToGrid w:val="0"/>
              </w:rPr>
              <w:t xml:space="preserve">0.05 </w:t>
            </w:r>
          </w:p>
        </w:tc>
      </w:tr>
    </w:tbl>
    <w:p w14:paraId="08E4AC42" w14:textId="77777777" w:rsidR="00ED3D63" w:rsidRDefault="00ED3D63" w:rsidP="006003C8">
      <w:pPr>
        <w:rPr>
          <w:snapToGrid w:val="0"/>
        </w:rPr>
      </w:pPr>
    </w:p>
    <w:p w14:paraId="248E1E21" w14:textId="5B97AF1D" w:rsidR="009A01E5" w:rsidRDefault="009A01E5" w:rsidP="006003C8">
      <w:pPr>
        <w:rPr>
          <w:snapToGrid w:val="0"/>
        </w:rPr>
      </w:pPr>
      <w:r>
        <w:rPr>
          <w:snapToGrid w:val="0"/>
        </w:rPr>
        <w:t xml:space="preserve">EPA </w:t>
      </w:r>
      <w:r w:rsidR="005A12C0">
        <w:rPr>
          <w:snapToGrid w:val="0"/>
        </w:rPr>
        <w:t xml:space="preserve">previously </w:t>
      </w:r>
      <w:r>
        <w:rPr>
          <w:snapToGrid w:val="0"/>
        </w:rPr>
        <w:t xml:space="preserve">proposed </w:t>
      </w:r>
      <w:r w:rsidR="005A12C0">
        <w:rPr>
          <w:snapToGrid w:val="0"/>
        </w:rPr>
        <w:t xml:space="preserve">Class I SILs </w:t>
      </w:r>
      <w:r w:rsidR="00F53717">
        <w:rPr>
          <w:snapToGrid w:val="0"/>
        </w:rPr>
        <w:t xml:space="preserve">for the other increment-consuming pollutants </w:t>
      </w:r>
      <w:r w:rsidR="002E7949">
        <w:rPr>
          <w:snapToGrid w:val="0"/>
        </w:rPr>
        <w:t>in 1996</w:t>
      </w:r>
      <w:r w:rsidR="005A12C0">
        <w:rPr>
          <w:snapToGrid w:val="0"/>
        </w:rPr>
        <w:t>, but they</w:t>
      </w:r>
      <w:r w:rsidR="002E7949">
        <w:rPr>
          <w:snapToGrid w:val="0"/>
        </w:rPr>
        <w:t xml:space="preserve"> never finalized the proposal.</w:t>
      </w:r>
      <w:r>
        <w:rPr>
          <w:snapToGrid w:val="0"/>
        </w:rPr>
        <w:t xml:space="preserve">  </w:t>
      </w:r>
      <w:r w:rsidR="005A12C0">
        <w:rPr>
          <w:snapToGrid w:val="0"/>
        </w:rPr>
        <w:t>ADEC is nevertheless providing</w:t>
      </w:r>
      <w:r w:rsidR="007A7210">
        <w:rPr>
          <w:snapToGrid w:val="0"/>
        </w:rPr>
        <w:t xml:space="preserve"> the </w:t>
      </w:r>
      <w:r w:rsidR="00F53717">
        <w:rPr>
          <w:snapToGrid w:val="0"/>
        </w:rPr>
        <w:t xml:space="preserve">1996 </w:t>
      </w:r>
      <w:r w:rsidR="007A7210">
        <w:rPr>
          <w:snapToGrid w:val="0"/>
        </w:rPr>
        <w:t xml:space="preserve">proposed values for the </w:t>
      </w:r>
      <w:r w:rsidR="007A7210" w:rsidRPr="007A7210">
        <w:rPr>
          <w:snapToGrid w:val="0"/>
        </w:rPr>
        <w:t>NO</w:t>
      </w:r>
      <w:r w:rsidR="007A7210" w:rsidRPr="007A7210">
        <w:rPr>
          <w:snapToGrid w:val="0"/>
          <w:vertAlign w:val="subscript"/>
        </w:rPr>
        <w:t>2</w:t>
      </w:r>
      <w:r w:rsidR="007A7210">
        <w:rPr>
          <w:snapToGrid w:val="0"/>
        </w:rPr>
        <w:t xml:space="preserve">, </w:t>
      </w:r>
      <w:r w:rsidR="007A7210" w:rsidRPr="007A7210">
        <w:rPr>
          <w:snapToGrid w:val="0"/>
        </w:rPr>
        <w:t>SO</w:t>
      </w:r>
      <w:r w:rsidR="007A7210" w:rsidRPr="007A7210">
        <w:rPr>
          <w:snapToGrid w:val="0"/>
          <w:vertAlign w:val="subscript"/>
        </w:rPr>
        <w:t>2</w:t>
      </w:r>
      <w:r w:rsidR="007A7210">
        <w:rPr>
          <w:snapToGrid w:val="0"/>
        </w:rPr>
        <w:t xml:space="preserve">, and PM-10 Class I SILs </w:t>
      </w:r>
      <w:r>
        <w:rPr>
          <w:snapToGrid w:val="0"/>
        </w:rPr>
        <w:t xml:space="preserve">in </w:t>
      </w:r>
      <w:r w:rsidR="00522F0B">
        <w:rPr>
          <w:snapToGrid w:val="0"/>
        </w:rPr>
        <w:fldChar w:fldCharType="begin"/>
      </w:r>
      <w:r w:rsidR="00522F0B">
        <w:rPr>
          <w:snapToGrid w:val="0"/>
        </w:rPr>
        <w:instrText xml:space="preserve"> REF _Ref524506779 \h </w:instrText>
      </w:r>
      <w:r w:rsidR="00522F0B">
        <w:rPr>
          <w:snapToGrid w:val="0"/>
        </w:rPr>
      </w:r>
      <w:r w:rsidR="00522F0B">
        <w:rPr>
          <w:snapToGrid w:val="0"/>
        </w:rPr>
        <w:fldChar w:fldCharType="separate"/>
      </w:r>
      <w:r w:rsidR="00135FFD">
        <w:t xml:space="preserve">Table </w:t>
      </w:r>
      <w:r w:rsidR="00135FFD">
        <w:rPr>
          <w:noProof/>
        </w:rPr>
        <w:t>6</w:t>
      </w:r>
      <w:r w:rsidR="00522F0B">
        <w:rPr>
          <w:snapToGrid w:val="0"/>
        </w:rPr>
        <w:fldChar w:fldCharType="end"/>
      </w:r>
      <w:r>
        <w:rPr>
          <w:snapToGrid w:val="0"/>
        </w:rPr>
        <w:t xml:space="preserve"> below. </w:t>
      </w:r>
    </w:p>
    <w:p w14:paraId="4761354F" w14:textId="5A337171" w:rsidR="007A7210" w:rsidRDefault="00265A57" w:rsidP="007A7210">
      <w:pPr>
        <w:pStyle w:val="Caption"/>
        <w:keepNext/>
        <w:spacing w:after="60"/>
        <w:jc w:val="center"/>
      </w:pPr>
      <w:bookmarkStart w:id="305" w:name="_Ref524506779"/>
      <w:bookmarkStart w:id="306" w:name="_Toc526778366"/>
      <w:r>
        <w:lastRenderedPageBreak/>
        <w:t xml:space="preserve">Table </w:t>
      </w:r>
      <w:r w:rsidR="000C0EF6">
        <w:fldChar w:fldCharType="begin"/>
      </w:r>
      <w:r w:rsidR="00B95EAA">
        <w:instrText xml:space="preserve"> SEQ Table \* ARABIC </w:instrText>
      </w:r>
      <w:r w:rsidR="000C0EF6">
        <w:fldChar w:fldCharType="separate"/>
      </w:r>
      <w:r w:rsidR="00135FFD">
        <w:rPr>
          <w:noProof/>
        </w:rPr>
        <w:t>6</w:t>
      </w:r>
      <w:r w:rsidR="000C0EF6">
        <w:rPr>
          <w:noProof/>
        </w:rPr>
        <w:fldChar w:fldCharType="end"/>
      </w:r>
      <w:bookmarkEnd w:id="305"/>
      <w:r>
        <w:t xml:space="preserve">. </w:t>
      </w:r>
      <w:r w:rsidR="00167DB2">
        <w:t xml:space="preserve"> </w:t>
      </w:r>
      <w:r w:rsidR="007A7210">
        <w:t xml:space="preserve">EPA’s 1996 </w:t>
      </w:r>
      <w:r>
        <w:t xml:space="preserve">Proposed </w:t>
      </w:r>
      <w:r w:rsidR="007A7210">
        <w:t>SILs</w:t>
      </w:r>
      <w:bookmarkEnd w:id="306"/>
    </w:p>
    <w:p w14:paraId="7B26949A" w14:textId="53C0333B" w:rsidR="00265A57" w:rsidRDefault="00265A57" w:rsidP="007A7210">
      <w:pPr>
        <w:pStyle w:val="Caption"/>
        <w:keepNext/>
        <w:spacing w:before="0"/>
        <w:jc w:val="center"/>
      </w:pPr>
      <w:r>
        <w:t>for Class I Areas</w:t>
      </w:r>
    </w:p>
    <w:tbl>
      <w:tblPr>
        <w:tblW w:w="4402" w:type="dxa"/>
        <w:tblInd w:w="2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5"/>
        <w:gridCol w:w="1175"/>
        <w:gridCol w:w="1972"/>
      </w:tblGrid>
      <w:tr w:rsidR="009A01E5" w14:paraId="27EFAEDF" w14:textId="77777777" w:rsidTr="007A7210">
        <w:trPr>
          <w:cantSplit/>
        </w:trPr>
        <w:tc>
          <w:tcPr>
            <w:tcW w:w="1255" w:type="dxa"/>
            <w:tcBorders>
              <w:bottom w:val="single" w:sz="12" w:space="0" w:color="auto"/>
            </w:tcBorders>
            <w:shd w:val="pct10" w:color="auto" w:fill="auto"/>
            <w:vAlign w:val="bottom"/>
          </w:tcPr>
          <w:p w14:paraId="121FD621" w14:textId="77777777" w:rsidR="009A01E5" w:rsidRDefault="009A01E5" w:rsidP="000D3751">
            <w:pPr>
              <w:keepNext/>
              <w:keepLines/>
              <w:spacing w:after="60"/>
              <w:jc w:val="center"/>
              <w:rPr>
                <w:b/>
                <w:snapToGrid w:val="0"/>
              </w:rPr>
            </w:pPr>
            <w:r>
              <w:rPr>
                <w:b/>
                <w:snapToGrid w:val="0"/>
              </w:rPr>
              <w:t>Pollutant</w:t>
            </w:r>
          </w:p>
        </w:tc>
        <w:tc>
          <w:tcPr>
            <w:tcW w:w="1175" w:type="dxa"/>
            <w:tcBorders>
              <w:bottom w:val="single" w:sz="12" w:space="0" w:color="auto"/>
            </w:tcBorders>
            <w:shd w:val="pct10" w:color="auto" w:fill="auto"/>
            <w:vAlign w:val="bottom"/>
          </w:tcPr>
          <w:p w14:paraId="6A665EF7" w14:textId="50147516" w:rsidR="009A01E5" w:rsidRDefault="007A7210" w:rsidP="000D3751">
            <w:pPr>
              <w:keepNext/>
              <w:keepLines/>
              <w:spacing w:after="60"/>
              <w:jc w:val="center"/>
              <w:rPr>
                <w:b/>
                <w:snapToGrid w:val="0"/>
              </w:rPr>
            </w:pPr>
            <w:r>
              <w:rPr>
                <w:b/>
                <w:snapToGrid w:val="0"/>
              </w:rPr>
              <w:t>Avg.</w:t>
            </w:r>
            <w:r w:rsidR="009A01E5">
              <w:rPr>
                <w:b/>
                <w:snapToGrid w:val="0"/>
              </w:rPr>
              <w:t xml:space="preserve"> Period</w:t>
            </w:r>
          </w:p>
        </w:tc>
        <w:tc>
          <w:tcPr>
            <w:tcW w:w="1972" w:type="dxa"/>
            <w:tcBorders>
              <w:bottom w:val="single" w:sz="12" w:space="0" w:color="auto"/>
            </w:tcBorders>
            <w:shd w:val="pct10" w:color="auto" w:fill="auto"/>
            <w:vAlign w:val="bottom"/>
          </w:tcPr>
          <w:p w14:paraId="745625A9" w14:textId="77777777" w:rsidR="009A01E5" w:rsidRDefault="009A01E5" w:rsidP="000D3751">
            <w:pPr>
              <w:keepNext/>
              <w:keepLines/>
              <w:spacing w:after="60"/>
              <w:jc w:val="center"/>
              <w:rPr>
                <w:b/>
                <w:snapToGrid w:val="0"/>
              </w:rPr>
            </w:pPr>
            <w:r>
              <w:rPr>
                <w:b/>
                <w:snapToGrid w:val="0"/>
              </w:rPr>
              <w:t>Proposed Class I SIL (</w:t>
            </w:r>
            <w:r w:rsidR="00F93839" w:rsidRPr="00F93839">
              <w:rPr>
                <w:b/>
                <w:snapToGrid w:val="0"/>
              </w:rPr>
              <w:sym w:font="Symbol" w:char="F06D"/>
            </w:r>
            <w:r w:rsidR="00F93839" w:rsidRPr="00F93839">
              <w:rPr>
                <w:b/>
                <w:snapToGrid w:val="0"/>
              </w:rPr>
              <w:t>g/m</w:t>
            </w:r>
            <w:r w:rsidR="00F93839" w:rsidRPr="00F93839">
              <w:rPr>
                <w:b/>
                <w:snapToGrid w:val="0"/>
                <w:vertAlign w:val="superscript"/>
              </w:rPr>
              <w:t>3</w:t>
            </w:r>
            <w:r>
              <w:rPr>
                <w:b/>
                <w:snapToGrid w:val="0"/>
              </w:rPr>
              <w:t>)</w:t>
            </w:r>
          </w:p>
        </w:tc>
      </w:tr>
      <w:tr w:rsidR="00E0734F" w14:paraId="76C97555" w14:textId="77777777" w:rsidTr="007A7210">
        <w:trPr>
          <w:cantSplit/>
        </w:trPr>
        <w:tc>
          <w:tcPr>
            <w:tcW w:w="1255" w:type="dxa"/>
            <w:vMerge w:val="restart"/>
            <w:vAlign w:val="center"/>
          </w:tcPr>
          <w:p w14:paraId="71DAE12A" w14:textId="0676ACFD" w:rsidR="00E0734F" w:rsidRDefault="00E0734F" w:rsidP="007A7210">
            <w:pPr>
              <w:keepNext/>
              <w:keepLines/>
              <w:spacing w:after="60"/>
              <w:rPr>
                <w:snapToGrid w:val="0"/>
              </w:rPr>
            </w:pPr>
            <w:r w:rsidRPr="00E0734F">
              <w:rPr>
                <w:snapToGrid w:val="0"/>
              </w:rPr>
              <w:t>SO</w:t>
            </w:r>
            <w:r w:rsidRPr="00E0734F">
              <w:rPr>
                <w:snapToGrid w:val="0"/>
                <w:vertAlign w:val="subscript"/>
              </w:rPr>
              <w:t>2</w:t>
            </w:r>
            <w:r>
              <w:rPr>
                <w:snapToGrid w:val="0"/>
              </w:rPr>
              <w:t xml:space="preserve"> </w:t>
            </w:r>
          </w:p>
        </w:tc>
        <w:tc>
          <w:tcPr>
            <w:tcW w:w="1175" w:type="dxa"/>
          </w:tcPr>
          <w:p w14:paraId="74FCF979" w14:textId="29A7371D" w:rsidR="00E0734F" w:rsidRDefault="00E0734F" w:rsidP="000D3751">
            <w:pPr>
              <w:keepNext/>
              <w:keepLines/>
              <w:spacing w:after="60"/>
              <w:jc w:val="center"/>
              <w:rPr>
                <w:snapToGrid w:val="0"/>
              </w:rPr>
            </w:pPr>
            <w:r>
              <w:rPr>
                <w:snapToGrid w:val="0"/>
              </w:rPr>
              <w:t>3-hour</w:t>
            </w:r>
          </w:p>
        </w:tc>
        <w:tc>
          <w:tcPr>
            <w:tcW w:w="1972" w:type="dxa"/>
          </w:tcPr>
          <w:p w14:paraId="27FB827B" w14:textId="0EFA297B" w:rsidR="00E0734F" w:rsidRDefault="00E0734F" w:rsidP="000D3751">
            <w:pPr>
              <w:keepNext/>
              <w:keepLines/>
              <w:spacing w:after="60"/>
              <w:jc w:val="center"/>
              <w:rPr>
                <w:snapToGrid w:val="0"/>
              </w:rPr>
            </w:pPr>
            <w:r>
              <w:rPr>
                <w:snapToGrid w:val="0"/>
              </w:rPr>
              <w:t>1.0</w:t>
            </w:r>
          </w:p>
        </w:tc>
      </w:tr>
      <w:tr w:rsidR="009A01E5" w14:paraId="4EE88759" w14:textId="77777777" w:rsidTr="007A7210">
        <w:trPr>
          <w:cantSplit/>
        </w:trPr>
        <w:tc>
          <w:tcPr>
            <w:tcW w:w="1255" w:type="dxa"/>
            <w:vMerge/>
            <w:vAlign w:val="center"/>
          </w:tcPr>
          <w:p w14:paraId="667F3F05" w14:textId="77777777" w:rsidR="009A01E5" w:rsidRDefault="009A01E5" w:rsidP="007A7210">
            <w:pPr>
              <w:keepNext/>
              <w:keepLines/>
              <w:spacing w:after="60"/>
              <w:rPr>
                <w:snapToGrid w:val="0"/>
              </w:rPr>
            </w:pPr>
          </w:p>
        </w:tc>
        <w:tc>
          <w:tcPr>
            <w:tcW w:w="1175" w:type="dxa"/>
          </w:tcPr>
          <w:p w14:paraId="3AA18B58" w14:textId="77777777" w:rsidR="009A01E5" w:rsidRDefault="009A01E5" w:rsidP="000D3751">
            <w:pPr>
              <w:keepNext/>
              <w:keepLines/>
              <w:spacing w:after="60"/>
              <w:jc w:val="center"/>
              <w:rPr>
                <w:snapToGrid w:val="0"/>
              </w:rPr>
            </w:pPr>
            <w:r>
              <w:rPr>
                <w:snapToGrid w:val="0"/>
              </w:rPr>
              <w:t>24-hour</w:t>
            </w:r>
          </w:p>
        </w:tc>
        <w:tc>
          <w:tcPr>
            <w:tcW w:w="1972" w:type="dxa"/>
          </w:tcPr>
          <w:p w14:paraId="626B715A" w14:textId="77777777" w:rsidR="009A01E5" w:rsidRDefault="009A01E5" w:rsidP="000D3751">
            <w:pPr>
              <w:keepNext/>
              <w:keepLines/>
              <w:spacing w:after="60"/>
              <w:jc w:val="center"/>
              <w:rPr>
                <w:snapToGrid w:val="0"/>
              </w:rPr>
            </w:pPr>
            <w:r>
              <w:rPr>
                <w:snapToGrid w:val="0"/>
              </w:rPr>
              <w:t>0.2</w:t>
            </w:r>
          </w:p>
        </w:tc>
      </w:tr>
      <w:tr w:rsidR="009A01E5" w14:paraId="7A0BD2EC" w14:textId="77777777" w:rsidTr="007A7210">
        <w:trPr>
          <w:cantSplit/>
        </w:trPr>
        <w:tc>
          <w:tcPr>
            <w:tcW w:w="1255" w:type="dxa"/>
            <w:vMerge/>
            <w:vAlign w:val="center"/>
          </w:tcPr>
          <w:p w14:paraId="499D52A0" w14:textId="77777777" w:rsidR="009A01E5" w:rsidRDefault="009A01E5" w:rsidP="007A7210">
            <w:pPr>
              <w:keepNext/>
              <w:keepLines/>
              <w:spacing w:after="60"/>
              <w:rPr>
                <w:snapToGrid w:val="0"/>
              </w:rPr>
            </w:pPr>
          </w:p>
        </w:tc>
        <w:tc>
          <w:tcPr>
            <w:tcW w:w="1175" w:type="dxa"/>
          </w:tcPr>
          <w:p w14:paraId="3377902E" w14:textId="4F22D3EE" w:rsidR="009A01E5" w:rsidRDefault="00E0734F" w:rsidP="000D3751">
            <w:pPr>
              <w:keepNext/>
              <w:keepLines/>
              <w:spacing w:after="60"/>
              <w:jc w:val="center"/>
              <w:rPr>
                <w:snapToGrid w:val="0"/>
              </w:rPr>
            </w:pPr>
            <w:r>
              <w:rPr>
                <w:snapToGrid w:val="0"/>
              </w:rPr>
              <w:t>Annual</w:t>
            </w:r>
          </w:p>
        </w:tc>
        <w:tc>
          <w:tcPr>
            <w:tcW w:w="1972" w:type="dxa"/>
          </w:tcPr>
          <w:p w14:paraId="0CE2F634" w14:textId="1947665B" w:rsidR="009A01E5" w:rsidRDefault="00E0734F" w:rsidP="00E0734F">
            <w:pPr>
              <w:keepNext/>
              <w:keepLines/>
              <w:spacing w:after="60"/>
              <w:jc w:val="center"/>
              <w:rPr>
                <w:snapToGrid w:val="0"/>
              </w:rPr>
            </w:pPr>
            <w:r>
              <w:rPr>
                <w:snapToGrid w:val="0"/>
              </w:rPr>
              <w:t>0.1</w:t>
            </w:r>
          </w:p>
        </w:tc>
      </w:tr>
      <w:tr w:rsidR="009A01E5" w14:paraId="514308F2" w14:textId="77777777" w:rsidTr="007A7210">
        <w:trPr>
          <w:cantSplit/>
        </w:trPr>
        <w:tc>
          <w:tcPr>
            <w:tcW w:w="1255" w:type="dxa"/>
            <w:vMerge w:val="restart"/>
            <w:vAlign w:val="center"/>
          </w:tcPr>
          <w:p w14:paraId="32A7A41E" w14:textId="3891EB05" w:rsidR="009A01E5" w:rsidRDefault="009A01E5" w:rsidP="007A7210">
            <w:pPr>
              <w:keepNext/>
              <w:keepLines/>
              <w:spacing w:after="60"/>
              <w:rPr>
                <w:snapToGrid w:val="0"/>
              </w:rPr>
            </w:pPr>
            <w:r>
              <w:rPr>
                <w:snapToGrid w:val="0"/>
              </w:rPr>
              <w:t>PM</w:t>
            </w:r>
            <w:r w:rsidR="00696215">
              <w:rPr>
                <w:snapToGrid w:val="0"/>
              </w:rPr>
              <w:t>-</w:t>
            </w:r>
            <w:r>
              <w:rPr>
                <w:snapToGrid w:val="0"/>
              </w:rPr>
              <w:t>10</w:t>
            </w:r>
          </w:p>
        </w:tc>
        <w:tc>
          <w:tcPr>
            <w:tcW w:w="1175" w:type="dxa"/>
          </w:tcPr>
          <w:p w14:paraId="644FDA74" w14:textId="1B1832BD" w:rsidR="009A01E5" w:rsidRDefault="00E0734F" w:rsidP="000D3751">
            <w:pPr>
              <w:keepNext/>
              <w:keepLines/>
              <w:spacing w:after="60"/>
              <w:jc w:val="center"/>
              <w:rPr>
                <w:snapToGrid w:val="0"/>
              </w:rPr>
            </w:pPr>
            <w:r>
              <w:rPr>
                <w:snapToGrid w:val="0"/>
              </w:rPr>
              <w:t>24-hour</w:t>
            </w:r>
          </w:p>
        </w:tc>
        <w:tc>
          <w:tcPr>
            <w:tcW w:w="1972" w:type="dxa"/>
          </w:tcPr>
          <w:p w14:paraId="667C7FE3" w14:textId="5E4431B2" w:rsidR="009A01E5" w:rsidRDefault="00E0734F" w:rsidP="000D3751">
            <w:pPr>
              <w:keepNext/>
              <w:keepLines/>
              <w:spacing w:after="60"/>
              <w:jc w:val="center"/>
              <w:rPr>
                <w:snapToGrid w:val="0"/>
              </w:rPr>
            </w:pPr>
            <w:r>
              <w:rPr>
                <w:snapToGrid w:val="0"/>
              </w:rPr>
              <w:t>0.3</w:t>
            </w:r>
          </w:p>
        </w:tc>
      </w:tr>
      <w:tr w:rsidR="009A01E5" w14:paraId="32649104" w14:textId="77777777" w:rsidTr="007A7210">
        <w:trPr>
          <w:cantSplit/>
        </w:trPr>
        <w:tc>
          <w:tcPr>
            <w:tcW w:w="1255" w:type="dxa"/>
            <w:vMerge/>
            <w:vAlign w:val="center"/>
          </w:tcPr>
          <w:p w14:paraId="13BB11D2" w14:textId="77777777" w:rsidR="009A01E5" w:rsidRDefault="009A01E5" w:rsidP="007A7210">
            <w:pPr>
              <w:keepNext/>
              <w:keepLines/>
              <w:spacing w:after="60"/>
              <w:rPr>
                <w:snapToGrid w:val="0"/>
              </w:rPr>
            </w:pPr>
          </w:p>
        </w:tc>
        <w:tc>
          <w:tcPr>
            <w:tcW w:w="1175" w:type="dxa"/>
          </w:tcPr>
          <w:p w14:paraId="0AA759F8" w14:textId="149BF815" w:rsidR="009A01E5" w:rsidRDefault="00E0734F" w:rsidP="000D3751">
            <w:pPr>
              <w:keepNext/>
              <w:keepLines/>
              <w:spacing w:after="60"/>
              <w:jc w:val="center"/>
              <w:rPr>
                <w:snapToGrid w:val="0"/>
              </w:rPr>
            </w:pPr>
            <w:r>
              <w:rPr>
                <w:snapToGrid w:val="0"/>
              </w:rPr>
              <w:t>Annual</w:t>
            </w:r>
          </w:p>
        </w:tc>
        <w:tc>
          <w:tcPr>
            <w:tcW w:w="1972" w:type="dxa"/>
          </w:tcPr>
          <w:p w14:paraId="513326CE" w14:textId="34925937" w:rsidR="009A01E5" w:rsidRDefault="00E0734F" w:rsidP="000D3751">
            <w:pPr>
              <w:keepNext/>
              <w:keepLines/>
              <w:spacing w:after="60"/>
              <w:jc w:val="center"/>
              <w:rPr>
                <w:snapToGrid w:val="0"/>
              </w:rPr>
            </w:pPr>
            <w:r>
              <w:rPr>
                <w:snapToGrid w:val="0"/>
              </w:rPr>
              <w:t>0.2</w:t>
            </w:r>
          </w:p>
        </w:tc>
      </w:tr>
      <w:tr w:rsidR="009A01E5" w14:paraId="3CE297FE" w14:textId="77777777" w:rsidTr="007A7210">
        <w:trPr>
          <w:cantSplit/>
        </w:trPr>
        <w:tc>
          <w:tcPr>
            <w:tcW w:w="1255" w:type="dxa"/>
            <w:vAlign w:val="center"/>
          </w:tcPr>
          <w:p w14:paraId="2EA28E92" w14:textId="2E367E7F" w:rsidR="009A01E5" w:rsidRDefault="009A01E5" w:rsidP="007A7210">
            <w:pPr>
              <w:keepNext/>
              <w:keepLines/>
              <w:spacing w:after="60"/>
              <w:rPr>
                <w:snapToGrid w:val="0"/>
              </w:rPr>
            </w:pPr>
            <w:r>
              <w:rPr>
                <w:snapToGrid w:val="0"/>
              </w:rPr>
              <w:t>NO</w:t>
            </w:r>
            <w:r>
              <w:rPr>
                <w:snapToGrid w:val="0"/>
                <w:vertAlign w:val="subscript"/>
              </w:rPr>
              <w:t>2</w:t>
            </w:r>
          </w:p>
        </w:tc>
        <w:tc>
          <w:tcPr>
            <w:tcW w:w="1175" w:type="dxa"/>
          </w:tcPr>
          <w:p w14:paraId="2D4439F4" w14:textId="77777777" w:rsidR="009A01E5" w:rsidRDefault="009A01E5" w:rsidP="000D3751">
            <w:pPr>
              <w:keepNext/>
              <w:keepLines/>
              <w:spacing w:after="60"/>
              <w:jc w:val="center"/>
              <w:rPr>
                <w:snapToGrid w:val="0"/>
              </w:rPr>
            </w:pPr>
            <w:r>
              <w:rPr>
                <w:snapToGrid w:val="0"/>
              </w:rPr>
              <w:t>Annual</w:t>
            </w:r>
          </w:p>
        </w:tc>
        <w:tc>
          <w:tcPr>
            <w:tcW w:w="1972" w:type="dxa"/>
          </w:tcPr>
          <w:p w14:paraId="2D7000FC" w14:textId="77777777" w:rsidR="009A01E5" w:rsidRDefault="009A01E5" w:rsidP="000D3751">
            <w:pPr>
              <w:keepNext/>
              <w:keepLines/>
              <w:spacing w:after="60"/>
              <w:jc w:val="center"/>
              <w:rPr>
                <w:snapToGrid w:val="0"/>
              </w:rPr>
            </w:pPr>
            <w:r>
              <w:rPr>
                <w:snapToGrid w:val="0"/>
              </w:rPr>
              <w:t>0.1</w:t>
            </w:r>
          </w:p>
        </w:tc>
      </w:tr>
    </w:tbl>
    <w:p w14:paraId="5E913B00" w14:textId="77777777" w:rsidR="00783B82" w:rsidRDefault="00783B82">
      <w:pPr>
        <w:rPr>
          <w:snapToGrid w:val="0"/>
        </w:rPr>
      </w:pPr>
      <w:bookmarkStart w:id="307" w:name="_Toc43521239"/>
    </w:p>
    <w:p w14:paraId="47D36912" w14:textId="039CBC7B" w:rsidR="00104535" w:rsidRDefault="00104535">
      <w:pPr>
        <w:spacing w:after="0"/>
      </w:pPr>
      <w:r>
        <w:br w:type="page"/>
      </w:r>
    </w:p>
    <w:p w14:paraId="2EF7714F" w14:textId="77777777" w:rsidR="00104535" w:rsidRDefault="00104535" w:rsidP="00104535">
      <w:pPr>
        <w:spacing w:after="0"/>
      </w:pPr>
    </w:p>
    <w:p w14:paraId="1472B61A" w14:textId="77777777" w:rsidR="00104535" w:rsidRDefault="00104535" w:rsidP="00104535">
      <w:pPr>
        <w:spacing w:after="0"/>
      </w:pPr>
    </w:p>
    <w:p w14:paraId="0FC0BFC4" w14:textId="77777777" w:rsidR="00104535" w:rsidRDefault="00104535" w:rsidP="00104535">
      <w:pPr>
        <w:spacing w:after="0"/>
      </w:pPr>
    </w:p>
    <w:p w14:paraId="70897E25" w14:textId="77777777" w:rsidR="00104535" w:rsidRDefault="00104535" w:rsidP="00104535">
      <w:pPr>
        <w:spacing w:after="0"/>
      </w:pPr>
    </w:p>
    <w:p w14:paraId="65B93744" w14:textId="77777777" w:rsidR="00104535" w:rsidRDefault="00104535" w:rsidP="00104535">
      <w:pPr>
        <w:spacing w:after="0"/>
      </w:pPr>
    </w:p>
    <w:p w14:paraId="0D8A2637" w14:textId="77777777" w:rsidR="00104535" w:rsidRDefault="00104535" w:rsidP="00104535">
      <w:pPr>
        <w:spacing w:after="0"/>
      </w:pPr>
    </w:p>
    <w:p w14:paraId="07E8BEC9" w14:textId="77777777" w:rsidR="00104535" w:rsidRDefault="00104535" w:rsidP="00104535">
      <w:pPr>
        <w:spacing w:after="0"/>
      </w:pPr>
    </w:p>
    <w:p w14:paraId="06EBDE58" w14:textId="77777777" w:rsidR="00104535" w:rsidRDefault="00104535" w:rsidP="00104535">
      <w:pPr>
        <w:spacing w:after="0"/>
      </w:pPr>
    </w:p>
    <w:p w14:paraId="21BD87B9" w14:textId="77777777" w:rsidR="00104535" w:rsidRDefault="00104535" w:rsidP="00104535">
      <w:pPr>
        <w:spacing w:after="0"/>
      </w:pPr>
    </w:p>
    <w:p w14:paraId="7F0C8F0F" w14:textId="77777777" w:rsidR="00104535" w:rsidRDefault="00104535" w:rsidP="00104535">
      <w:pPr>
        <w:spacing w:after="0"/>
      </w:pPr>
    </w:p>
    <w:p w14:paraId="1FD91DE6" w14:textId="77777777" w:rsidR="00104535" w:rsidRDefault="00104535" w:rsidP="00104535">
      <w:pPr>
        <w:spacing w:after="0"/>
      </w:pPr>
    </w:p>
    <w:p w14:paraId="675CC650" w14:textId="77777777" w:rsidR="00104535" w:rsidRDefault="00104535" w:rsidP="00104535">
      <w:pPr>
        <w:spacing w:after="0"/>
        <w:jc w:val="center"/>
      </w:pPr>
      <w:r>
        <w:rPr>
          <w:snapToGrid w:val="0"/>
        </w:rPr>
        <w:t>(This page intentionally left blank)</w:t>
      </w:r>
    </w:p>
    <w:p w14:paraId="6D30C905" w14:textId="77777777" w:rsidR="00104535" w:rsidRDefault="00104535" w:rsidP="00104535">
      <w:pPr>
        <w:spacing w:after="0"/>
      </w:pPr>
      <w:r>
        <w:br w:type="page"/>
      </w:r>
    </w:p>
    <w:p w14:paraId="14BDD887" w14:textId="77777777" w:rsidR="007A7210" w:rsidRDefault="007A7210">
      <w:pPr>
        <w:rPr>
          <w:snapToGrid w:val="0"/>
        </w:rPr>
      </w:pPr>
    </w:p>
    <w:p w14:paraId="54BE109D" w14:textId="124C5139" w:rsidR="003C251D" w:rsidRDefault="00A97DCA" w:rsidP="00FB5BC2">
      <w:pPr>
        <w:pStyle w:val="Heading2"/>
        <w:rPr>
          <w:snapToGrid w:val="0"/>
        </w:rPr>
      </w:pPr>
      <w:r>
        <w:rPr>
          <w:snapToGrid w:val="0"/>
        </w:rPr>
        <w:tab/>
      </w:r>
      <w:bookmarkStart w:id="308" w:name="_Toc526778304"/>
      <w:r w:rsidR="0017729A">
        <w:rPr>
          <w:snapToGrid w:val="0"/>
        </w:rPr>
        <w:t>[Reserved]</w:t>
      </w:r>
      <w:bookmarkEnd w:id="308"/>
      <w:r w:rsidR="009A01E5">
        <w:rPr>
          <w:snapToGrid w:val="0"/>
        </w:rPr>
        <w:t xml:space="preserve"> </w:t>
      </w:r>
      <w:bookmarkEnd w:id="307"/>
    </w:p>
    <w:p w14:paraId="052D4FAC" w14:textId="14D4B36E" w:rsidR="009A01E5" w:rsidRDefault="0032756A" w:rsidP="0032756A">
      <w:pPr>
        <w:rPr>
          <w:snapToGrid w:val="0"/>
        </w:rPr>
      </w:pPr>
      <w:r>
        <w:rPr>
          <w:snapToGrid w:val="0"/>
        </w:rPr>
        <w:t xml:space="preserve"> </w:t>
      </w:r>
    </w:p>
    <w:p w14:paraId="36562279" w14:textId="77777777" w:rsidR="009A01E5" w:rsidRDefault="009A01E5">
      <w:pPr>
        <w:rPr>
          <w:snapToGrid w:val="0"/>
        </w:rPr>
      </w:pPr>
    </w:p>
    <w:p w14:paraId="21753D26" w14:textId="77777777" w:rsidR="00783B82" w:rsidRDefault="00783B82">
      <w:pPr>
        <w:spacing w:after="0"/>
        <w:rPr>
          <w:snapToGrid w:val="0"/>
        </w:rPr>
      </w:pPr>
      <w:r>
        <w:rPr>
          <w:snapToGrid w:val="0"/>
        </w:rPr>
        <w:br w:type="page"/>
      </w:r>
    </w:p>
    <w:p w14:paraId="29B78F55" w14:textId="77777777" w:rsidR="00783B82" w:rsidRDefault="00783B82" w:rsidP="00783B82">
      <w:pPr>
        <w:spacing w:after="0"/>
        <w:rPr>
          <w:snapToGrid w:val="0"/>
        </w:rPr>
      </w:pPr>
    </w:p>
    <w:p w14:paraId="02027006" w14:textId="77777777" w:rsidR="00783B82" w:rsidRDefault="00783B82" w:rsidP="00783B82">
      <w:pPr>
        <w:spacing w:after="0"/>
        <w:rPr>
          <w:snapToGrid w:val="0"/>
        </w:rPr>
      </w:pPr>
    </w:p>
    <w:p w14:paraId="329035E0" w14:textId="77777777" w:rsidR="00783B82" w:rsidRDefault="00783B82" w:rsidP="00783B82">
      <w:pPr>
        <w:spacing w:after="0"/>
        <w:rPr>
          <w:snapToGrid w:val="0"/>
        </w:rPr>
      </w:pPr>
    </w:p>
    <w:p w14:paraId="616FA5D9" w14:textId="77777777" w:rsidR="00783B82" w:rsidRDefault="00783B82" w:rsidP="00783B82">
      <w:pPr>
        <w:spacing w:after="0"/>
        <w:rPr>
          <w:snapToGrid w:val="0"/>
        </w:rPr>
      </w:pPr>
    </w:p>
    <w:p w14:paraId="133A4DA7" w14:textId="77777777" w:rsidR="00783B82" w:rsidRDefault="00783B82" w:rsidP="00783B82">
      <w:pPr>
        <w:spacing w:after="0"/>
        <w:rPr>
          <w:snapToGrid w:val="0"/>
        </w:rPr>
      </w:pPr>
    </w:p>
    <w:p w14:paraId="3EC1AEA6" w14:textId="77777777" w:rsidR="00783B82" w:rsidRDefault="00783B82" w:rsidP="00783B82">
      <w:pPr>
        <w:spacing w:after="0"/>
        <w:rPr>
          <w:snapToGrid w:val="0"/>
        </w:rPr>
      </w:pPr>
    </w:p>
    <w:p w14:paraId="2755EBE0" w14:textId="77777777" w:rsidR="00783B82" w:rsidRDefault="00783B82" w:rsidP="00783B82">
      <w:pPr>
        <w:spacing w:after="0"/>
        <w:rPr>
          <w:snapToGrid w:val="0"/>
        </w:rPr>
      </w:pPr>
    </w:p>
    <w:p w14:paraId="2646B47D" w14:textId="77777777" w:rsidR="00783B82" w:rsidRDefault="00783B82" w:rsidP="00783B82">
      <w:pPr>
        <w:spacing w:after="0"/>
        <w:rPr>
          <w:snapToGrid w:val="0"/>
        </w:rPr>
      </w:pPr>
    </w:p>
    <w:p w14:paraId="0186D729" w14:textId="77777777" w:rsidR="00783B82" w:rsidRDefault="00783B82" w:rsidP="00783B82">
      <w:pPr>
        <w:spacing w:after="0"/>
        <w:rPr>
          <w:snapToGrid w:val="0"/>
        </w:rPr>
      </w:pPr>
    </w:p>
    <w:p w14:paraId="2CF8F8C4" w14:textId="77777777" w:rsidR="00783B82" w:rsidRDefault="00783B82" w:rsidP="00783B82">
      <w:pPr>
        <w:spacing w:after="0"/>
        <w:rPr>
          <w:snapToGrid w:val="0"/>
        </w:rPr>
      </w:pPr>
    </w:p>
    <w:p w14:paraId="666C4BDF" w14:textId="77777777" w:rsidR="00783B82" w:rsidRDefault="00783B82" w:rsidP="00783B82">
      <w:pPr>
        <w:spacing w:after="0"/>
        <w:jc w:val="center"/>
        <w:rPr>
          <w:snapToGrid w:val="0"/>
        </w:rPr>
      </w:pPr>
      <w:r>
        <w:rPr>
          <w:snapToGrid w:val="0"/>
        </w:rPr>
        <w:t>(This page intentionally left blank)</w:t>
      </w:r>
    </w:p>
    <w:p w14:paraId="63A79917" w14:textId="77777777" w:rsidR="00783B82" w:rsidRDefault="00783B82" w:rsidP="00783B82">
      <w:pPr>
        <w:spacing w:after="0"/>
        <w:rPr>
          <w:snapToGrid w:val="0"/>
        </w:rPr>
      </w:pPr>
    </w:p>
    <w:p w14:paraId="2FA8FF3E" w14:textId="77777777" w:rsidR="009A01E5" w:rsidRDefault="009A01E5">
      <w:pPr>
        <w:pStyle w:val="Heading1"/>
        <w:rPr>
          <w:snapToGrid w:val="0"/>
        </w:rPr>
        <w:sectPr w:rsidR="009A01E5" w:rsidSect="00CA0242">
          <w:pgSz w:w="12240" w:h="15840"/>
          <w:pgMar w:top="720" w:right="1800" w:bottom="720" w:left="1800" w:header="720" w:footer="576" w:gutter="0"/>
          <w:cols w:space="720"/>
          <w:docGrid w:linePitch="326"/>
        </w:sectPr>
      </w:pPr>
    </w:p>
    <w:p w14:paraId="0154B8FB" w14:textId="77777777" w:rsidR="009A01E5" w:rsidRPr="00461952" w:rsidRDefault="009A01E5">
      <w:pPr>
        <w:pStyle w:val="Heading1"/>
        <w:rPr>
          <w:snapToGrid w:val="0"/>
          <w:szCs w:val="48"/>
        </w:rPr>
      </w:pPr>
      <w:bookmarkStart w:id="309" w:name="_Toc526778305"/>
      <w:r w:rsidRPr="00461952">
        <w:rPr>
          <w:snapToGrid w:val="0"/>
          <w:szCs w:val="48"/>
        </w:rPr>
        <w:lastRenderedPageBreak/>
        <w:t>List of Acronyms</w:t>
      </w:r>
      <w:bookmarkEnd w:id="309"/>
    </w:p>
    <w:p w14:paraId="2A49254A" w14:textId="77777777" w:rsidR="009A01E5" w:rsidRDefault="009A01E5">
      <w:pPr>
        <w:rPr>
          <w:snapToGrid w:val="0"/>
        </w:rPr>
      </w:pPr>
      <w:r>
        <w:rPr>
          <w:snapToGrid w:val="0"/>
        </w:rPr>
        <w:t>AAAQS:  Alaska Ambient Air Quality Standards</w:t>
      </w:r>
      <w:r w:rsidR="00717DD2">
        <w:rPr>
          <w:snapToGrid w:val="0"/>
        </w:rPr>
        <w:t xml:space="preserve"> (see </w:t>
      </w:r>
      <w:hyperlink r:id="rId183" w:history="1">
        <w:r w:rsidR="00717DD2" w:rsidRPr="00FB2639">
          <w:rPr>
            <w:rStyle w:val="Hyperlink"/>
            <w:snapToGrid w:val="0"/>
          </w:rPr>
          <w:t>18 AAC 50.010</w:t>
        </w:r>
      </w:hyperlink>
      <w:r w:rsidR="00717DD2">
        <w:rPr>
          <w:snapToGrid w:val="0"/>
        </w:rPr>
        <w:t>)</w:t>
      </w:r>
    </w:p>
    <w:p w14:paraId="532852E3" w14:textId="77777777" w:rsidR="00653BE6" w:rsidRDefault="00E246F4">
      <w:pPr>
        <w:rPr>
          <w:snapToGrid w:val="0"/>
        </w:rPr>
      </w:pPr>
      <w:r>
        <w:rPr>
          <w:snapToGrid w:val="0"/>
        </w:rPr>
        <w:t>AAC: Alaska Administrative Cod</w:t>
      </w:r>
      <w:r w:rsidR="00653BE6">
        <w:rPr>
          <w:snapToGrid w:val="0"/>
        </w:rPr>
        <w:t>e</w:t>
      </w:r>
    </w:p>
    <w:p w14:paraId="587EC507" w14:textId="125981F3" w:rsidR="00B27639" w:rsidRDefault="00B27639">
      <w:pPr>
        <w:rPr>
          <w:snapToGrid w:val="0"/>
        </w:rPr>
      </w:pPr>
      <w:r>
        <w:rPr>
          <w:snapToGrid w:val="0"/>
        </w:rPr>
        <w:t>ADEC: Alaska Department of Environmental Conservation</w:t>
      </w:r>
    </w:p>
    <w:p w14:paraId="4531D3C5" w14:textId="75F2648D" w:rsidR="00B27639" w:rsidRDefault="00B27639">
      <w:pPr>
        <w:rPr>
          <w:snapToGrid w:val="0"/>
        </w:rPr>
      </w:pPr>
      <w:r>
        <w:rPr>
          <w:snapToGrid w:val="0"/>
        </w:rPr>
        <w:t>AM&amp;QA: Air Monitoring &amp; Quality Assurance (a program within ADEC’s Air Division)</w:t>
      </w:r>
    </w:p>
    <w:p w14:paraId="2DF931E4" w14:textId="4233CE51" w:rsidR="0070044B" w:rsidRDefault="0070044B">
      <w:pPr>
        <w:rPr>
          <w:snapToGrid w:val="0"/>
        </w:rPr>
      </w:pPr>
      <w:r>
        <w:rPr>
          <w:snapToGrid w:val="0"/>
        </w:rPr>
        <w:t xml:space="preserve">APP: Air Permit Program </w:t>
      </w:r>
      <w:r w:rsidR="00B27639">
        <w:rPr>
          <w:snapToGrid w:val="0"/>
        </w:rPr>
        <w:t>(a program within ADEC’s Air Division)</w:t>
      </w:r>
    </w:p>
    <w:p w14:paraId="4BFBB259" w14:textId="77777777" w:rsidR="009A01E5" w:rsidRDefault="009A01E5">
      <w:pPr>
        <w:rPr>
          <w:snapToGrid w:val="0"/>
        </w:rPr>
      </w:pPr>
      <w:r>
        <w:rPr>
          <w:snapToGrid w:val="0"/>
        </w:rPr>
        <w:t>AQRV: Air Quality Related Value</w:t>
      </w:r>
    </w:p>
    <w:p w14:paraId="34395106" w14:textId="15E61C3D" w:rsidR="00792BE9" w:rsidRDefault="00792BE9">
      <w:pPr>
        <w:rPr>
          <w:snapToGrid w:val="0"/>
        </w:rPr>
      </w:pPr>
      <w:r>
        <w:rPr>
          <w:snapToGrid w:val="0"/>
        </w:rPr>
        <w:t xml:space="preserve">AS: Alaska Statute </w:t>
      </w:r>
    </w:p>
    <w:p w14:paraId="11F5D4DB" w14:textId="77777777" w:rsidR="00A631AC" w:rsidRDefault="00A631AC">
      <w:pPr>
        <w:rPr>
          <w:snapToGrid w:val="0"/>
        </w:rPr>
      </w:pPr>
      <w:r>
        <w:rPr>
          <w:snapToGrid w:val="0"/>
        </w:rPr>
        <w:t>ASOS: Automated Surface Observing System (meteorology)</w:t>
      </w:r>
    </w:p>
    <w:p w14:paraId="0BC34C3E" w14:textId="438A06DF" w:rsidR="00C16088" w:rsidRDefault="00C16088">
      <w:pPr>
        <w:rPr>
          <w:snapToGrid w:val="0"/>
        </w:rPr>
      </w:pPr>
      <w:r>
        <w:rPr>
          <w:snapToGrid w:val="0"/>
        </w:rPr>
        <w:t xml:space="preserve">AWOS: Automated Weather Observing Station </w:t>
      </w:r>
    </w:p>
    <w:p w14:paraId="1EF384D7" w14:textId="77777777" w:rsidR="004525F5" w:rsidRDefault="004525F5">
      <w:pPr>
        <w:rPr>
          <w:snapToGrid w:val="0"/>
        </w:rPr>
      </w:pPr>
      <w:r>
        <w:rPr>
          <w:snapToGrid w:val="0"/>
        </w:rPr>
        <w:t xml:space="preserve">BOEM: </w:t>
      </w:r>
      <w:r w:rsidR="00653BE6">
        <w:rPr>
          <w:snapToGrid w:val="0"/>
        </w:rPr>
        <w:t>Bureau of Ocean Energy Managemen</w:t>
      </w:r>
      <w:r w:rsidR="007B7DDF">
        <w:rPr>
          <w:snapToGrid w:val="0"/>
        </w:rPr>
        <w:t>t</w:t>
      </w:r>
    </w:p>
    <w:p w14:paraId="7F3BF72E" w14:textId="77777777" w:rsidR="007A0A51" w:rsidRDefault="007A0A51">
      <w:pPr>
        <w:rPr>
          <w:snapToGrid w:val="0"/>
        </w:rPr>
      </w:pPr>
      <w:r>
        <w:rPr>
          <w:snapToGrid w:val="0"/>
        </w:rPr>
        <w:t>BPIP: Building Profile Input Program</w:t>
      </w:r>
    </w:p>
    <w:p w14:paraId="3A86A010" w14:textId="77777777" w:rsidR="007A0A51" w:rsidRDefault="007A0A51">
      <w:pPr>
        <w:rPr>
          <w:snapToGrid w:val="0"/>
        </w:rPr>
      </w:pPr>
      <w:r>
        <w:rPr>
          <w:snapToGrid w:val="0"/>
        </w:rPr>
        <w:t>BPIPPRM: Building Profile Input Program for PRIME</w:t>
      </w:r>
    </w:p>
    <w:p w14:paraId="59B7657F" w14:textId="77777777" w:rsidR="00B4542F" w:rsidRDefault="00B4542F">
      <w:pPr>
        <w:rPr>
          <w:snapToGrid w:val="0"/>
        </w:rPr>
      </w:pPr>
      <w:r>
        <w:rPr>
          <w:snapToGrid w:val="0"/>
        </w:rPr>
        <w:t>CAD: Computer-aided Design</w:t>
      </w:r>
    </w:p>
    <w:p w14:paraId="6BBD9140" w14:textId="77777777" w:rsidR="009A3A6A" w:rsidRDefault="009A3A6A">
      <w:pPr>
        <w:rPr>
          <w:snapToGrid w:val="0"/>
        </w:rPr>
      </w:pPr>
      <w:r>
        <w:rPr>
          <w:snapToGrid w:val="0"/>
        </w:rPr>
        <w:t>CFR: Code of Federal Regulations</w:t>
      </w:r>
    </w:p>
    <w:p w14:paraId="342A5C22" w14:textId="11B34863" w:rsidR="00652AD4" w:rsidRDefault="00652AD4">
      <w:pPr>
        <w:rPr>
          <w:snapToGrid w:val="0"/>
        </w:rPr>
      </w:pPr>
      <w:r>
        <w:rPr>
          <w:snapToGrid w:val="0"/>
        </w:rPr>
        <w:t xml:space="preserve">CO: Carbon </w:t>
      </w:r>
      <w:r w:rsidR="00133603">
        <w:rPr>
          <w:snapToGrid w:val="0"/>
        </w:rPr>
        <w:t>Monoxide</w:t>
      </w:r>
    </w:p>
    <w:p w14:paraId="627A3577" w14:textId="77777777" w:rsidR="00B4542F" w:rsidRDefault="00B4542F">
      <w:pPr>
        <w:rPr>
          <w:snapToGrid w:val="0"/>
        </w:rPr>
      </w:pPr>
      <w:r>
        <w:rPr>
          <w:snapToGrid w:val="0"/>
        </w:rPr>
        <w:t>DEM: Digital Elevation Model</w:t>
      </w:r>
    </w:p>
    <w:p w14:paraId="056201C2" w14:textId="42B6F030" w:rsidR="005007AB" w:rsidRDefault="005007AB">
      <w:pPr>
        <w:rPr>
          <w:snapToGrid w:val="0"/>
        </w:rPr>
      </w:pPr>
      <w:r>
        <w:rPr>
          <w:snapToGrid w:val="0"/>
        </w:rPr>
        <w:t>DOQQ: Digital Orthophoto Quarter Quad</w:t>
      </w:r>
      <w:r w:rsidR="00133603">
        <w:rPr>
          <w:snapToGrid w:val="0"/>
        </w:rPr>
        <w:t>rangle</w:t>
      </w:r>
    </w:p>
    <w:p w14:paraId="1BEA15B1" w14:textId="77777777" w:rsidR="005007AB" w:rsidRDefault="005007AB">
      <w:pPr>
        <w:rPr>
          <w:snapToGrid w:val="0"/>
        </w:rPr>
      </w:pPr>
      <w:r>
        <w:rPr>
          <w:snapToGrid w:val="0"/>
        </w:rPr>
        <w:t>DRG: Digital Raster Graphic</w:t>
      </w:r>
    </w:p>
    <w:p w14:paraId="7E4EF333" w14:textId="77777777" w:rsidR="00653BE6" w:rsidRDefault="00653BE6">
      <w:pPr>
        <w:rPr>
          <w:snapToGrid w:val="0"/>
        </w:rPr>
      </w:pPr>
      <w:r>
        <w:rPr>
          <w:snapToGrid w:val="0"/>
        </w:rPr>
        <w:t>EPA: Environmental Protection Agency</w:t>
      </w:r>
    </w:p>
    <w:p w14:paraId="48C4DF35" w14:textId="4258F9CE" w:rsidR="00C81FD2" w:rsidRDefault="00C81FD2">
      <w:pPr>
        <w:rPr>
          <w:snapToGrid w:val="0"/>
        </w:rPr>
      </w:pPr>
      <w:r>
        <w:rPr>
          <w:snapToGrid w:val="0"/>
        </w:rPr>
        <w:t>EU: Emission</w:t>
      </w:r>
      <w:r w:rsidR="00755C1B">
        <w:rPr>
          <w:snapToGrid w:val="0"/>
        </w:rPr>
        <w:t>s</w:t>
      </w:r>
      <w:r>
        <w:rPr>
          <w:snapToGrid w:val="0"/>
        </w:rPr>
        <w:t xml:space="preserve"> Unit</w:t>
      </w:r>
    </w:p>
    <w:p w14:paraId="2136824A" w14:textId="43310C3A" w:rsidR="00C16088" w:rsidRDefault="00C16088">
      <w:pPr>
        <w:rPr>
          <w:snapToGrid w:val="0"/>
        </w:rPr>
      </w:pPr>
      <w:r>
        <w:rPr>
          <w:snapToGrid w:val="0"/>
        </w:rPr>
        <w:t xml:space="preserve">FAA: Federal Aviation Administration </w:t>
      </w:r>
    </w:p>
    <w:p w14:paraId="35D4EBCE" w14:textId="77777777" w:rsidR="009A3A6A" w:rsidRDefault="009A3A6A" w:rsidP="009A3A6A">
      <w:pPr>
        <w:rPr>
          <w:snapToGrid w:val="0"/>
        </w:rPr>
      </w:pPr>
      <w:r>
        <w:rPr>
          <w:snapToGrid w:val="0"/>
        </w:rPr>
        <w:t xml:space="preserve">FLAG: Federal Land Managers’ Air Quality Related Values Workgroup </w:t>
      </w:r>
    </w:p>
    <w:p w14:paraId="4467167A" w14:textId="77777777" w:rsidR="009A3A6A" w:rsidRDefault="009A3A6A" w:rsidP="009A3A6A">
      <w:pPr>
        <w:rPr>
          <w:snapToGrid w:val="0"/>
        </w:rPr>
      </w:pPr>
      <w:r>
        <w:rPr>
          <w:snapToGrid w:val="0"/>
        </w:rPr>
        <w:t>FLM: Federal Land Manager</w:t>
      </w:r>
    </w:p>
    <w:p w14:paraId="41D61B97" w14:textId="77777777" w:rsidR="009A3A6A" w:rsidRDefault="009A3A6A" w:rsidP="009A3A6A">
      <w:pPr>
        <w:rPr>
          <w:snapToGrid w:val="0"/>
        </w:rPr>
      </w:pPr>
      <w:r>
        <w:rPr>
          <w:snapToGrid w:val="0"/>
        </w:rPr>
        <w:t>GEP: Good Engineering Practice (stack heights)</w:t>
      </w:r>
    </w:p>
    <w:p w14:paraId="4DED3E74" w14:textId="77777777" w:rsidR="00B4542F" w:rsidRDefault="00B4542F" w:rsidP="009A3A6A">
      <w:pPr>
        <w:rPr>
          <w:snapToGrid w:val="0"/>
        </w:rPr>
      </w:pPr>
      <w:r>
        <w:rPr>
          <w:snapToGrid w:val="0"/>
        </w:rPr>
        <w:lastRenderedPageBreak/>
        <w:t>GPS: Global Positioning System</w:t>
      </w:r>
    </w:p>
    <w:p w14:paraId="2181D6BD" w14:textId="77777777" w:rsidR="00653BE6" w:rsidRDefault="00653BE6" w:rsidP="009A3A6A">
      <w:pPr>
        <w:rPr>
          <w:snapToGrid w:val="0"/>
        </w:rPr>
      </w:pPr>
      <w:r>
        <w:rPr>
          <w:snapToGrid w:val="0"/>
        </w:rPr>
        <w:t>GUI: Graphical User Interface</w:t>
      </w:r>
    </w:p>
    <w:p w14:paraId="5C5C81F5" w14:textId="63F280B9" w:rsidR="008028E8" w:rsidRDefault="008028E8" w:rsidP="009A3A6A">
      <w:pPr>
        <w:rPr>
          <w:snapToGrid w:val="0"/>
        </w:rPr>
      </w:pPr>
      <w:r>
        <w:rPr>
          <w:snapToGrid w:val="0"/>
        </w:rPr>
        <w:t xml:space="preserve">H1H: High </w:t>
      </w:r>
      <w:proofErr w:type="gramStart"/>
      <w:r>
        <w:rPr>
          <w:snapToGrid w:val="0"/>
        </w:rPr>
        <w:t>First-High</w:t>
      </w:r>
      <w:proofErr w:type="gramEnd"/>
    </w:p>
    <w:p w14:paraId="53BCF2AB" w14:textId="57E08BB5" w:rsidR="008028E8" w:rsidRDefault="008028E8" w:rsidP="009A3A6A">
      <w:pPr>
        <w:rPr>
          <w:snapToGrid w:val="0"/>
        </w:rPr>
      </w:pPr>
      <w:r>
        <w:rPr>
          <w:snapToGrid w:val="0"/>
        </w:rPr>
        <w:t>H2H: High Second-High</w:t>
      </w:r>
    </w:p>
    <w:p w14:paraId="6941288C" w14:textId="17E113EB" w:rsidR="008028E8" w:rsidRDefault="008028E8" w:rsidP="009A3A6A">
      <w:pPr>
        <w:rPr>
          <w:snapToGrid w:val="0"/>
        </w:rPr>
      </w:pPr>
      <w:r>
        <w:rPr>
          <w:snapToGrid w:val="0"/>
        </w:rPr>
        <w:t>H6H: High Sixth-High</w:t>
      </w:r>
    </w:p>
    <w:p w14:paraId="03BD7FEB" w14:textId="30C5E508" w:rsidR="008028E8" w:rsidRDefault="008028E8" w:rsidP="009A3A6A">
      <w:pPr>
        <w:rPr>
          <w:snapToGrid w:val="0"/>
        </w:rPr>
      </w:pPr>
      <w:r>
        <w:rPr>
          <w:snapToGrid w:val="0"/>
        </w:rPr>
        <w:t>H8H: High Eighth-High</w:t>
      </w:r>
    </w:p>
    <w:p w14:paraId="0D17C809" w14:textId="43122B84" w:rsidR="00E246F4" w:rsidRDefault="00E246F4">
      <w:pPr>
        <w:rPr>
          <w:snapToGrid w:val="0"/>
        </w:rPr>
      </w:pPr>
      <w:r>
        <w:rPr>
          <w:snapToGrid w:val="0"/>
        </w:rPr>
        <w:t>ISR: In-</w:t>
      </w:r>
      <w:r w:rsidR="00990A86">
        <w:rPr>
          <w:snapToGrid w:val="0"/>
        </w:rPr>
        <w:t>S</w:t>
      </w:r>
      <w:r>
        <w:rPr>
          <w:snapToGrid w:val="0"/>
        </w:rPr>
        <w:t>tack Ratio (of the NO</w:t>
      </w:r>
      <w:r w:rsidRPr="00E246F4">
        <w:rPr>
          <w:snapToGrid w:val="0"/>
          <w:vertAlign w:val="subscript"/>
        </w:rPr>
        <w:t>2</w:t>
      </w:r>
      <w:r>
        <w:rPr>
          <w:snapToGrid w:val="0"/>
        </w:rPr>
        <w:t xml:space="preserve"> to NOx concentrations in exhaust </w:t>
      </w:r>
      <w:r w:rsidR="00653BE6">
        <w:rPr>
          <w:snapToGrid w:val="0"/>
        </w:rPr>
        <w:t>effluent</w:t>
      </w:r>
      <w:r>
        <w:rPr>
          <w:snapToGrid w:val="0"/>
        </w:rPr>
        <w:t>)</w:t>
      </w:r>
    </w:p>
    <w:p w14:paraId="6461BDA9" w14:textId="77777777" w:rsidR="009A3A6A" w:rsidRDefault="004E282E" w:rsidP="009A3A6A">
      <w:pPr>
        <w:rPr>
          <w:snapToGrid w:val="0"/>
        </w:rPr>
      </w:pPr>
      <w:r w:rsidRPr="006E1F45">
        <w:rPr>
          <w:snapToGrid w:val="0"/>
        </w:rPr>
        <w:t>IWAQM: Interagency Workgroup on Air Quality Modeling</w:t>
      </w:r>
    </w:p>
    <w:p w14:paraId="14B5E5AC" w14:textId="77777777" w:rsidR="009A3A6A" w:rsidRDefault="009A3A6A" w:rsidP="009A3A6A">
      <w:pPr>
        <w:rPr>
          <w:snapToGrid w:val="0"/>
        </w:rPr>
      </w:pPr>
      <w:r>
        <w:rPr>
          <w:snapToGrid w:val="0"/>
        </w:rPr>
        <w:t>LRT</w:t>
      </w:r>
      <w:proofErr w:type="gramStart"/>
      <w:r>
        <w:rPr>
          <w:snapToGrid w:val="0"/>
        </w:rPr>
        <w:t>:  Long</w:t>
      </w:r>
      <w:proofErr w:type="gramEnd"/>
      <w:r>
        <w:rPr>
          <w:snapToGrid w:val="0"/>
        </w:rPr>
        <w:t xml:space="preserve"> Range Transport (distances greater than 50 km from a source)</w:t>
      </w:r>
    </w:p>
    <w:p w14:paraId="2138B2D4" w14:textId="77777777" w:rsidR="00FB4670" w:rsidRDefault="00FB4670" w:rsidP="009A3A6A">
      <w:pPr>
        <w:rPr>
          <w:snapToGrid w:val="0"/>
          <w:lang w:val="it-IT"/>
        </w:rPr>
      </w:pPr>
      <w:r>
        <w:rPr>
          <w:snapToGrid w:val="0"/>
          <w:lang w:val="it-IT"/>
        </w:rPr>
        <w:t>LULC: Land Use/Land Cover</w:t>
      </w:r>
    </w:p>
    <w:p w14:paraId="443AE6D7" w14:textId="22B69C93" w:rsidR="002C61C6" w:rsidRDefault="002C61C6" w:rsidP="009A3A6A">
      <w:pPr>
        <w:rPr>
          <w:snapToGrid w:val="0"/>
          <w:lang w:val="it-IT"/>
        </w:rPr>
      </w:pPr>
      <w:r>
        <w:rPr>
          <w:snapToGrid w:val="0"/>
          <w:lang w:val="it-IT"/>
        </w:rPr>
        <w:t xml:space="preserve">MM5: 5th Generation Penn State/NCAR Mesoscale Model </w:t>
      </w:r>
    </w:p>
    <w:p w14:paraId="720A5F00" w14:textId="273F7E18" w:rsidR="007F3380" w:rsidRDefault="007F3380" w:rsidP="009A3A6A">
      <w:pPr>
        <w:rPr>
          <w:snapToGrid w:val="0"/>
          <w:lang w:val="it-IT"/>
        </w:rPr>
      </w:pPr>
      <w:r>
        <w:rPr>
          <w:snapToGrid w:val="0"/>
          <w:lang w:val="it-IT"/>
        </w:rPr>
        <w:t xml:space="preserve">MMIF: Mesoscale Model Interface </w:t>
      </w:r>
      <w:r w:rsidR="00133603">
        <w:rPr>
          <w:snapToGrid w:val="0"/>
          <w:lang w:val="it-IT"/>
        </w:rPr>
        <w:t>P</w:t>
      </w:r>
      <w:r>
        <w:rPr>
          <w:snapToGrid w:val="0"/>
          <w:lang w:val="it-IT"/>
        </w:rPr>
        <w:t xml:space="preserve">rogram </w:t>
      </w:r>
    </w:p>
    <w:p w14:paraId="17314376" w14:textId="77777777" w:rsidR="00B4542F" w:rsidRDefault="00B4542F" w:rsidP="009A3A6A">
      <w:pPr>
        <w:rPr>
          <w:snapToGrid w:val="0"/>
          <w:lang w:val="it-IT"/>
        </w:rPr>
      </w:pPr>
      <w:r>
        <w:rPr>
          <w:snapToGrid w:val="0"/>
          <w:lang w:val="it-IT"/>
        </w:rPr>
        <w:t>MLLW: Mean Lower Low Water</w:t>
      </w:r>
    </w:p>
    <w:p w14:paraId="57F5D48A" w14:textId="77777777" w:rsidR="00B4542F" w:rsidRDefault="00B4542F" w:rsidP="009A3A6A">
      <w:pPr>
        <w:rPr>
          <w:snapToGrid w:val="0"/>
        </w:rPr>
      </w:pPr>
      <w:r>
        <w:rPr>
          <w:snapToGrid w:val="0"/>
          <w:lang w:val="it-IT"/>
        </w:rPr>
        <w:t>MSL: Mean Sea Level</w:t>
      </w:r>
    </w:p>
    <w:p w14:paraId="0CE7A7B3" w14:textId="77777777" w:rsidR="009A3A6A" w:rsidRDefault="009A3A6A" w:rsidP="009A3A6A">
      <w:pPr>
        <w:rPr>
          <w:snapToGrid w:val="0"/>
        </w:rPr>
      </w:pPr>
      <w:r>
        <w:rPr>
          <w:snapToGrid w:val="0"/>
        </w:rPr>
        <w:t>NAAQS: National Ambient Air Quality Standards</w:t>
      </w:r>
    </w:p>
    <w:p w14:paraId="33FA7DCC" w14:textId="2BB8C943" w:rsidR="0038736F" w:rsidRDefault="0038736F" w:rsidP="009A3A6A">
      <w:pPr>
        <w:rPr>
          <w:snapToGrid w:val="0"/>
        </w:rPr>
      </w:pPr>
      <w:r>
        <w:rPr>
          <w:snapToGrid w:val="0"/>
        </w:rPr>
        <w:t>NEI: National Emissions Inventory</w:t>
      </w:r>
    </w:p>
    <w:p w14:paraId="2E193148" w14:textId="77777777" w:rsidR="00B4542F" w:rsidRDefault="00B4542F" w:rsidP="009A3A6A">
      <w:pPr>
        <w:rPr>
          <w:snapToGrid w:val="0"/>
        </w:rPr>
      </w:pPr>
      <w:r>
        <w:rPr>
          <w:snapToGrid w:val="0"/>
        </w:rPr>
        <w:t>NED: National Elevation Data</w:t>
      </w:r>
    </w:p>
    <w:p w14:paraId="2F67FA45" w14:textId="7DAA496F" w:rsidR="00652AD4" w:rsidRDefault="00652AD4" w:rsidP="009A3A6A">
      <w:pPr>
        <w:rPr>
          <w:snapToGrid w:val="0"/>
        </w:rPr>
      </w:pPr>
      <w:r w:rsidRPr="00652AD4">
        <w:rPr>
          <w:snapToGrid w:val="0"/>
        </w:rPr>
        <w:t>NO</w:t>
      </w:r>
      <w:r w:rsidRPr="00652AD4">
        <w:rPr>
          <w:snapToGrid w:val="0"/>
          <w:vertAlign w:val="subscript"/>
        </w:rPr>
        <w:t>2</w:t>
      </w:r>
      <w:r>
        <w:rPr>
          <w:snapToGrid w:val="0"/>
        </w:rPr>
        <w:t>: Nitrogen Dioxide</w:t>
      </w:r>
    </w:p>
    <w:p w14:paraId="66DE6A8B" w14:textId="08D0250F" w:rsidR="00652AD4" w:rsidRDefault="00652AD4" w:rsidP="009A3A6A">
      <w:pPr>
        <w:rPr>
          <w:snapToGrid w:val="0"/>
        </w:rPr>
      </w:pPr>
      <w:r>
        <w:rPr>
          <w:snapToGrid w:val="0"/>
        </w:rPr>
        <w:t xml:space="preserve">NOx: Oxides of Nitrogen </w:t>
      </w:r>
    </w:p>
    <w:p w14:paraId="178453ED" w14:textId="77777777" w:rsidR="009A3A6A" w:rsidRDefault="009A3A6A" w:rsidP="009A3A6A">
      <w:pPr>
        <w:rPr>
          <w:snapToGrid w:val="0"/>
        </w:rPr>
      </w:pPr>
      <w:r>
        <w:rPr>
          <w:snapToGrid w:val="0"/>
        </w:rPr>
        <w:t>NSR: New Source Review</w:t>
      </w:r>
    </w:p>
    <w:p w14:paraId="4A946A7D" w14:textId="77777777" w:rsidR="00B4542F" w:rsidRDefault="00B4542F" w:rsidP="009A3A6A">
      <w:pPr>
        <w:rPr>
          <w:snapToGrid w:val="0"/>
        </w:rPr>
      </w:pPr>
      <w:r>
        <w:rPr>
          <w:snapToGrid w:val="0"/>
        </w:rPr>
        <w:t>NWS: National Weather Service</w:t>
      </w:r>
    </w:p>
    <w:p w14:paraId="3AC60A83" w14:textId="77777777" w:rsidR="004525F5" w:rsidRDefault="004525F5" w:rsidP="009A3A6A">
      <w:pPr>
        <w:rPr>
          <w:snapToGrid w:val="0"/>
        </w:rPr>
      </w:pPr>
      <w:r>
        <w:rPr>
          <w:snapToGrid w:val="0"/>
        </w:rPr>
        <w:t xml:space="preserve">OCD: </w:t>
      </w:r>
      <w:r w:rsidR="00653BE6">
        <w:rPr>
          <w:snapToGrid w:val="0"/>
        </w:rPr>
        <w:t>Offshore and Coastal Dispersion</w:t>
      </w:r>
    </w:p>
    <w:p w14:paraId="1F4136BE" w14:textId="100A3287" w:rsidR="00BA0A23" w:rsidRDefault="00BA0A23" w:rsidP="009A3A6A">
      <w:pPr>
        <w:rPr>
          <w:snapToGrid w:val="0"/>
        </w:rPr>
      </w:pPr>
      <w:r>
        <w:rPr>
          <w:snapToGrid w:val="0"/>
        </w:rPr>
        <w:t>PM: Particulate Matter</w:t>
      </w:r>
    </w:p>
    <w:p w14:paraId="0BAE1973" w14:textId="486E1323" w:rsidR="00652AD4" w:rsidRDefault="00652AD4" w:rsidP="009A3A6A">
      <w:pPr>
        <w:rPr>
          <w:snapToGrid w:val="0"/>
          <w:color w:val="000000"/>
        </w:rPr>
      </w:pPr>
      <w:r>
        <w:rPr>
          <w:snapToGrid w:val="0"/>
          <w:color w:val="000000"/>
        </w:rPr>
        <w:t xml:space="preserve">PM-2.5: Particulate Matter with an </w:t>
      </w:r>
      <w:r w:rsidR="00AB05FB">
        <w:rPr>
          <w:snapToGrid w:val="0"/>
          <w:color w:val="000000"/>
        </w:rPr>
        <w:t>a</w:t>
      </w:r>
      <w:r>
        <w:rPr>
          <w:snapToGrid w:val="0"/>
          <w:color w:val="000000"/>
        </w:rPr>
        <w:t xml:space="preserve">erodynamic </w:t>
      </w:r>
      <w:r w:rsidR="00AB05FB">
        <w:rPr>
          <w:snapToGrid w:val="0"/>
          <w:color w:val="000000"/>
        </w:rPr>
        <w:t>d</w:t>
      </w:r>
      <w:r>
        <w:rPr>
          <w:snapToGrid w:val="0"/>
          <w:color w:val="000000"/>
        </w:rPr>
        <w:t>iameter of 2.5 microns or less</w:t>
      </w:r>
    </w:p>
    <w:p w14:paraId="791AF653" w14:textId="3B32B5F4" w:rsidR="00652AD4" w:rsidRDefault="00652AD4" w:rsidP="009A3A6A">
      <w:pPr>
        <w:rPr>
          <w:snapToGrid w:val="0"/>
          <w:color w:val="000000"/>
        </w:rPr>
      </w:pPr>
      <w:r>
        <w:rPr>
          <w:snapToGrid w:val="0"/>
          <w:color w:val="000000"/>
        </w:rPr>
        <w:t xml:space="preserve">PM-10: Particulate Matter with an </w:t>
      </w:r>
      <w:r w:rsidR="00AB05FB">
        <w:rPr>
          <w:snapToGrid w:val="0"/>
          <w:color w:val="000000"/>
        </w:rPr>
        <w:t>a</w:t>
      </w:r>
      <w:r>
        <w:rPr>
          <w:snapToGrid w:val="0"/>
          <w:color w:val="000000"/>
        </w:rPr>
        <w:t xml:space="preserve">erodynamic </w:t>
      </w:r>
      <w:r w:rsidR="00AB05FB">
        <w:rPr>
          <w:snapToGrid w:val="0"/>
          <w:color w:val="000000"/>
        </w:rPr>
        <w:t>d</w:t>
      </w:r>
      <w:r>
        <w:rPr>
          <w:snapToGrid w:val="0"/>
          <w:color w:val="000000"/>
        </w:rPr>
        <w:t>iameter of 10 microns or less</w:t>
      </w:r>
    </w:p>
    <w:p w14:paraId="5A8E19E8" w14:textId="77777777" w:rsidR="00367FB2" w:rsidRDefault="00367FB2" w:rsidP="009A3A6A">
      <w:pPr>
        <w:rPr>
          <w:snapToGrid w:val="0"/>
        </w:rPr>
      </w:pPr>
      <w:r>
        <w:rPr>
          <w:snapToGrid w:val="0"/>
          <w:color w:val="000000"/>
        </w:rPr>
        <w:t>PRIME: Plume Rise Model Enhancements</w:t>
      </w:r>
    </w:p>
    <w:p w14:paraId="1884BCB7" w14:textId="77777777" w:rsidR="007B2BB9" w:rsidRDefault="007B2BB9" w:rsidP="009A3A6A">
      <w:pPr>
        <w:rPr>
          <w:snapToGrid w:val="0"/>
        </w:rPr>
      </w:pPr>
      <w:r>
        <w:rPr>
          <w:snapToGrid w:val="0"/>
        </w:rPr>
        <w:lastRenderedPageBreak/>
        <w:t>PSD: Prevention of Significant Deterioration</w:t>
      </w:r>
    </w:p>
    <w:p w14:paraId="37486D61" w14:textId="77777777" w:rsidR="00336975" w:rsidRDefault="00336975" w:rsidP="009A3A6A">
      <w:pPr>
        <w:rPr>
          <w:snapToGrid w:val="0"/>
        </w:rPr>
      </w:pPr>
      <w:r>
        <w:rPr>
          <w:snapToGrid w:val="0"/>
        </w:rPr>
        <w:t>QAPP: Quality Assurance Project Plan</w:t>
      </w:r>
    </w:p>
    <w:p w14:paraId="76FFFEA1" w14:textId="55D8681D" w:rsidR="003B5F48" w:rsidRDefault="003B5F48" w:rsidP="009A3A6A">
      <w:pPr>
        <w:rPr>
          <w:snapToGrid w:val="0"/>
        </w:rPr>
      </w:pPr>
      <w:r>
        <w:rPr>
          <w:snapToGrid w:val="0"/>
        </w:rPr>
        <w:t>R10: The Region 10 Office of EPA</w:t>
      </w:r>
    </w:p>
    <w:p w14:paraId="70990537" w14:textId="77777777" w:rsidR="00115271" w:rsidRDefault="00115271" w:rsidP="009A3A6A">
      <w:pPr>
        <w:rPr>
          <w:snapToGrid w:val="0"/>
        </w:rPr>
      </w:pPr>
      <w:r>
        <w:rPr>
          <w:snapToGrid w:val="0"/>
        </w:rPr>
        <w:t xml:space="preserve">SCRAM: Support Center for Regulatory Atmospheric Modeling </w:t>
      </w:r>
    </w:p>
    <w:p w14:paraId="396A0D29" w14:textId="77777777" w:rsidR="009A01E5" w:rsidRDefault="009A01E5">
      <w:pPr>
        <w:rPr>
          <w:snapToGrid w:val="0"/>
        </w:rPr>
      </w:pPr>
      <w:r>
        <w:rPr>
          <w:snapToGrid w:val="0"/>
        </w:rPr>
        <w:t>SIL: Significant Impact Level</w:t>
      </w:r>
    </w:p>
    <w:p w14:paraId="3487B33D" w14:textId="77777777" w:rsidR="00717DD2" w:rsidRDefault="00717DD2">
      <w:pPr>
        <w:rPr>
          <w:snapToGrid w:val="0"/>
        </w:rPr>
      </w:pPr>
      <w:r>
        <w:rPr>
          <w:snapToGrid w:val="0"/>
        </w:rPr>
        <w:t>SIP</w:t>
      </w:r>
      <w:proofErr w:type="gramStart"/>
      <w:r>
        <w:rPr>
          <w:snapToGrid w:val="0"/>
        </w:rPr>
        <w:t>:  State</w:t>
      </w:r>
      <w:proofErr w:type="gramEnd"/>
      <w:r>
        <w:rPr>
          <w:snapToGrid w:val="0"/>
        </w:rPr>
        <w:t xml:space="preserve"> Implementation Plan</w:t>
      </w:r>
    </w:p>
    <w:p w14:paraId="54F400BA" w14:textId="77777777" w:rsidR="009A01E5" w:rsidRDefault="009A01E5">
      <w:pPr>
        <w:rPr>
          <w:snapToGrid w:val="0"/>
        </w:rPr>
      </w:pPr>
      <w:r>
        <w:rPr>
          <w:snapToGrid w:val="0"/>
        </w:rPr>
        <w:t>SIA: Significant Impact Area</w:t>
      </w:r>
    </w:p>
    <w:p w14:paraId="2FCCCA0B" w14:textId="77777777" w:rsidR="00E246F4" w:rsidRDefault="00E246F4">
      <w:pPr>
        <w:rPr>
          <w:snapToGrid w:val="0"/>
        </w:rPr>
      </w:pPr>
      <w:r>
        <w:rPr>
          <w:snapToGrid w:val="0"/>
        </w:rPr>
        <w:t>SMC: Significant Monitoring Concentration</w:t>
      </w:r>
    </w:p>
    <w:p w14:paraId="0E51A639" w14:textId="24A8F54C" w:rsidR="00652AD4" w:rsidRDefault="00652AD4">
      <w:pPr>
        <w:rPr>
          <w:snapToGrid w:val="0"/>
        </w:rPr>
      </w:pPr>
      <w:r w:rsidRPr="00652AD4">
        <w:rPr>
          <w:snapToGrid w:val="0"/>
        </w:rPr>
        <w:t>SO</w:t>
      </w:r>
      <w:r w:rsidRPr="00652AD4">
        <w:rPr>
          <w:snapToGrid w:val="0"/>
          <w:vertAlign w:val="subscript"/>
        </w:rPr>
        <w:t>2</w:t>
      </w:r>
      <w:r>
        <w:rPr>
          <w:snapToGrid w:val="0"/>
        </w:rPr>
        <w:t xml:space="preserve">: Sulfur Dioxide </w:t>
      </w:r>
    </w:p>
    <w:p w14:paraId="5E6FE61B" w14:textId="77777777" w:rsidR="00FE3BA6" w:rsidRDefault="00FE3BA6">
      <w:pPr>
        <w:rPr>
          <w:snapToGrid w:val="0"/>
        </w:rPr>
      </w:pPr>
      <w:r>
        <w:rPr>
          <w:snapToGrid w:val="0"/>
        </w:rPr>
        <w:t xml:space="preserve">SRDT: Solar Radiation and </w:t>
      </w:r>
      <w:proofErr w:type="gramStart"/>
      <w:r>
        <w:rPr>
          <w:snapToGrid w:val="0"/>
        </w:rPr>
        <w:t>Delta-Temperature</w:t>
      </w:r>
      <w:proofErr w:type="gramEnd"/>
    </w:p>
    <w:p w14:paraId="7A52800C" w14:textId="77777777" w:rsidR="009C115B" w:rsidRDefault="001578CE">
      <w:pPr>
        <w:rPr>
          <w:snapToGrid w:val="0"/>
        </w:rPr>
      </w:pPr>
      <w:r>
        <w:rPr>
          <w:snapToGrid w:val="0"/>
        </w:rPr>
        <w:t>TAR: Technical Analysis Report</w:t>
      </w:r>
    </w:p>
    <w:p w14:paraId="05DB790C" w14:textId="122E4360" w:rsidR="001578CE" w:rsidRDefault="009C115B">
      <w:pPr>
        <w:rPr>
          <w:snapToGrid w:val="0"/>
        </w:rPr>
      </w:pPr>
      <w:r>
        <w:rPr>
          <w:snapToGrid w:val="0"/>
        </w:rPr>
        <w:t xml:space="preserve">TSP: Total Suspended Particulates </w:t>
      </w:r>
      <w:r w:rsidR="001578CE">
        <w:rPr>
          <w:snapToGrid w:val="0"/>
        </w:rPr>
        <w:t xml:space="preserve"> </w:t>
      </w:r>
    </w:p>
    <w:p w14:paraId="4FBF6FAA" w14:textId="77777777" w:rsidR="00B4542F" w:rsidRDefault="00B4542F">
      <w:pPr>
        <w:rPr>
          <w:snapToGrid w:val="0"/>
        </w:rPr>
      </w:pPr>
      <w:r>
        <w:rPr>
          <w:snapToGrid w:val="0"/>
        </w:rPr>
        <w:t>USGS: United States Geological Survey</w:t>
      </w:r>
    </w:p>
    <w:p w14:paraId="317BC55B" w14:textId="177BE63D" w:rsidR="007C7334" w:rsidRDefault="007C7334">
      <w:pPr>
        <w:rPr>
          <w:snapToGrid w:val="0"/>
        </w:rPr>
      </w:pPr>
      <w:r>
        <w:rPr>
          <w:snapToGrid w:val="0"/>
        </w:rPr>
        <w:t xml:space="preserve">UTM: </w:t>
      </w:r>
      <w:r>
        <w:t>Universal Transverse Mercator</w:t>
      </w:r>
    </w:p>
    <w:p w14:paraId="7E2BB056" w14:textId="77777777" w:rsidR="009A01E5" w:rsidRDefault="00FD5EEC">
      <w:pPr>
        <w:rPr>
          <w:snapToGrid w:val="0"/>
        </w:rPr>
      </w:pPr>
      <w:r>
        <w:rPr>
          <w:snapToGrid w:val="0"/>
        </w:rPr>
        <w:t>VISCREEN: Plume Visual Impact Screening Model</w:t>
      </w:r>
    </w:p>
    <w:p w14:paraId="702952CE" w14:textId="77777777" w:rsidR="007F3380" w:rsidRDefault="00652AD4">
      <w:pPr>
        <w:rPr>
          <w:snapToGrid w:val="0"/>
        </w:rPr>
      </w:pPr>
      <w:r>
        <w:rPr>
          <w:snapToGrid w:val="0"/>
        </w:rPr>
        <w:t>VOC: Volatile Organic Compounds</w:t>
      </w:r>
    </w:p>
    <w:p w14:paraId="3FF1E1EB" w14:textId="3AC670F8" w:rsidR="00652AD4" w:rsidRDefault="007F3380">
      <w:pPr>
        <w:rPr>
          <w:snapToGrid w:val="0"/>
        </w:rPr>
      </w:pPr>
      <w:r>
        <w:rPr>
          <w:snapToGrid w:val="0"/>
        </w:rPr>
        <w:t xml:space="preserve">WRF: Weather Research and Forecasting model </w:t>
      </w:r>
      <w:r w:rsidR="00652AD4">
        <w:rPr>
          <w:snapToGrid w:val="0"/>
        </w:rPr>
        <w:t xml:space="preserve"> </w:t>
      </w:r>
    </w:p>
    <w:p w14:paraId="6D18BC70" w14:textId="77777777" w:rsidR="009A01E5" w:rsidRDefault="009A01E5">
      <w:pPr>
        <w:rPr>
          <w:snapToGrid w:val="0"/>
        </w:rPr>
      </w:pPr>
    </w:p>
    <w:p w14:paraId="0CD7F4A0" w14:textId="53D06468" w:rsidR="00093E76" w:rsidRDefault="00093E76">
      <w:pPr>
        <w:spacing w:after="0"/>
        <w:rPr>
          <w:snapToGrid w:val="0"/>
        </w:rPr>
      </w:pPr>
      <w:r>
        <w:rPr>
          <w:snapToGrid w:val="0"/>
        </w:rPr>
        <w:br w:type="page"/>
      </w:r>
    </w:p>
    <w:p w14:paraId="73932357" w14:textId="77777777" w:rsidR="00093E76" w:rsidRDefault="00093E76" w:rsidP="00093E76">
      <w:pPr>
        <w:spacing w:after="0"/>
      </w:pPr>
    </w:p>
    <w:p w14:paraId="6EBFC680" w14:textId="77777777" w:rsidR="00093E76" w:rsidRDefault="00093E76" w:rsidP="00093E76">
      <w:pPr>
        <w:spacing w:after="0"/>
      </w:pPr>
    </w:p>
    <w:p w14:paraId="4E2F0D1E" w14:textId="77777777" w:rsidR="00093E76" w:rsidRDefault="00093E76" w:rsidP="00093E76">
      <w:pPr>
        <w:spacing w:after="0"/>
      </w:pPr>
    </w:p>
    <w:p w14:paraId="7E171209" w14:textId="77777777" w:rsidR="00093E76" w:rsidRDefault="00093E76" w:rsidP="00093E76">
      <w:pPr>
        <w:spacing w:after="0"/>
      </w:pPr>
    </w:p>
    <w:p w14:paraId="561BD0D0" w14:textId="77777777" w:rsidR="00093E76" w:rsidRDefault="00093E76" w:rsidP="00093E76">
      <w:pPr>
        <w:spacing w:after="0"/>
      </w:pPr>
    </w:p>
    <w:p w14:paraId="0426AAFC" w14:textId="77777777" w:rsidR="00093E76" w:rsidRDefault="00093E76" w:rsidP="00093E76">
      <w:pPr>
        <w:spacing w:after="0"/>
      </w:pPr>
    </w:p>
    <w:p w14:paraId="5A7A3CD8" w14:textId="77777777" w:rsidR="00093E76" w:rsidRDefault="00093E76" w:rsidP="00093E76">
      <w:pPr>
        <w:spacing w:after="0"/>
      </w:pPr>
    </w:p>
    <w:p w14:paraId="1E7D0642" w14:textId="77777777" w:rsidR="00093E76" w:rsidRDefault="00093E76" w:rsidP="00093E76">
      <w:pPr>
        <w:spacing w:after="0"/>
      </w:pPr>
    </w:p>
    <w:p w14:paraId="3D65D902" w14:textId="77777777" w:rsidR="00093E76" w:rsidRDefault="00093E76" w:rsidP="00093E76">
      <w:pPr>
        <w:spacing w:after="0"/>
      </w:pPr>
    </w:p>
    <w:p w14:paraId="07430310" w14:textId="77777777" w:rsidR="00093E76" w:rsidRDefault="00093E76" w:rsidP="00093E76">
      <w:pPr>
        <w:spacing w:after="0"/>
      </w:pPr>
    </w:p>
    <w:p w14:paraId="30D92E6B" w14:textId="77777777" w:rsidR="00093E76" w:rsidRDefault="00093E76" w:rsidP="00093E76">
      <w:pPr>
        <w:spacing w:after="0"/>
      </w:pPr>
    </w:p>
    <w:p w14:paraId="16D67BCA" w14:textId="77777777" w:rsidR="00093E76" w:rsidRDefault="00093E76" w:rsidP="00093E76">
      <w:pPr>
        <w:spacing w:after="0"/>
        <w:jc w:val="center"/>
      </w:pPr>
      <w:r>
        <w:rPr>
          <w:snapToGrid w:val="0"/>
        </w:rPr>
        <w:t>(This page intentionally left blank)</w:t>
      </w:r>
    </w:p>
    <w:p w14:paraId="12421979" w14:textId="77777777" w:rsidR="00093E76" w:rsidRDefault="00093E76">
      <w:pPr>
        <w:rPr>
          <w:snapToGrid w:val="0"/>
        </w:rPr>
      </w:pPr>
    </w:p>
    <w:p w14:paraId="690215C9" w14:textId="77777777" w:rsidR="009A01E5" w:rsidRDefault="009A01E5">
      <w:pPr>
        <w:sectPr w:rsidR="009A01E5" w:rsidSect="00CA0242">
          <w:pgSz w:w="12240" w:h="15840"/>
          <w:pgMar w:top="720" w:right="1800" w:bottom="720" w:left="1800" w:header="720" w:footer="576" w:gutter="0"/>
          <w:cols w:space="720"/>
          <w:docGrid w:linePitch="326"/>
        </w:sectPr>
      </w:pPr>
    </w:p>
    <w:p w14:paraId="100ABF07" w14:textId="77777777" w:rsidR="009A01E5" w:rsidRDefault="009A01E5"/>
    <w:p w14:paraId="074F1E74" w14:textId="77777777" w:rsidR="009A01E5" w:rsidRDefault="009A01E5">
      <w:pPr>
        <w:jc w:val="center"/>
        <w:rPr>
          <w:snapToGrid w:val="0"/>
        </w:rPr>
      </w:pPr>
    </w:p>
    <w:p w14:paraId="014FF062" w14:textId="77777777" w:rsidR="009A01E5" w:rsidRDefault="009A01E5">
      <w:pPr>
        <w:jc w:val="center"/>
        <w:rPr>
          <w:snapToGrid w:val="0"/>
        </w:rPr>
      </w:pPr>
    </w:p>
    <w:p w14:paraId="72C58177" w14:textId="77777777" w:rsidR="009A01E5" w:rsidRDefault="009A01E5">
      <w:pPr>
        <w:jc w:val="center"/>
        <w:rPr>
          <w:snapToGrid w:val="0"/>
        </w:rPr>
      </w:pPr>
    </w:p>
    <w:p w14:paraId="1E04B655" w14:textId="77777777" w:rsidR="009A01E5" w:rsidRDefault="009A01E5">
      <w:pPr>
        <w:jc w:val="center"/>
        <w:rPr>
          <w:snapToGrid w:val="0"/>
        </w:rPr>
      </w:pPr>
    </w:p>
    <w:p w14:paraId="35D3A2E3" w14:textId="77777777" w:rsidR="009A01E5" w:rsidRDefault="009A01E5">
      <w:pPr>
        <w:jc w:val="center"/>
        <w:rPr>
          <w:snapToGrid w:val="0"/>
        </w:rPr>
      </w:pPr>
    </w:p>
    <w:p w14:paraId="131CA74C" w14:textId="77777777" w:rsidR="009A01E5" w:rsidRDefault="009A01E5">
      <w:pPr>
        <w:jc w:val="center"/>
        <w:rPr>
          <w:snapToGrid w:val="0"/>
        </w:rPr>
      </w:pPr>
    </w:p>
    <w:p w14:paraId="4D4AD75D" w14:textId="77777777" w:rsidR="009A01E5" w:rsidRPr="006F0212" w:rsidRDefault="009A01E5">
      <w:pPr>
        <w:jc w:val="center"/>
        <w:rPr>
          <w:b/>
          <w:snapToGrid w:val="0"/>
          <w:sz w:val="48"/>
        </w:rPr>
      </w:pPr>
      <w:r w:rsidRPr="006F0212">
        <w:rPr>
          <w:b/>
          <w:snapToGrid w:val="0"/>
          <w:sz w:val="48"/>
        </w:rPr>
        <w:t>Appendix A</w:t>
      </w:r>
    </w:p>
    <w:p w14:paraId="4B34F2EF" w14:textId="77777777" w:rsidR="009A01E5" w:rsidRPr="006F0212" w:rsidRDefault="009A01E5">
      <w:pPr>
        <w:jc w:val="center"/>
        <w:rPr>
          <w:b/>
          <w:snapToGrid w:val="0"/>
          <w:sz w:val="48"/>
        </w:rPr>
      </w:pPr>
    </w:p>
    <w:p w14:paraId="4958A718" w14:textId="77777777" w:rsidR="009A01E5" w:rsidRPr="006F0212" w:rsidRDefault="009A01E5">
      <w:pPr>
        <w:jc w:val="center"/>
        <w:rPr>
          <w:b/>
          <w:snapToGrid w:val="0"/>
          <w:sz w:val="48"/>
        </w:rPr>
      </w:pPr>
      <w:r w:rsidRPr="006F0212">
        <w:rPr>
          <w:b/>
          <w:snapToGrid w:val="0"/>
          <w:sz w:val="48"/>
        </w:rPr>
        <w:t>Modeling Tips</w:t>
      </w:r>
    </w:p>
    <w:p w14:paraId="7EE64644" w14:textId="77777777" w:rsidR="006E4D84" w:rsidRDefault="006E4D84">
      <w:pPr>
        <w:rPr>
          <w:snapToGrid w:val="0"/>
          <w:sz w:val="48"/>
        </w:rPr>
      </w:pPr>
    </w:p>
    <w:p w14:paraId="632292B1" w14:textId="77777777" w:rsidR="006E4D84" w:rsidRDefault="009A01E5" w:rsidP="006E4D84">
      <w:pPr>
        <w:spacing w:after="0"/>
      </w:pPr>
      <w:r>
        <w:rPr>
          <w:snapToGrid w:val="0"/>
          <w:sz w:val="48"/>
        </w:rPr>
        <w:br w:type="page"/>
      </w:r>
    </w:p>
    <w:p w14:paraId="40627109" w14:textId="77777777" w:rsidR="006E4D84" w:rsidRDefault="006E4D84" w:rsidP="006E4D84">
      <w:pPr>
        <w:spacing w:after="0"/>
      </w:pPr>
    </w:p>
    <w:p w14:paraId="1B972CDB" w14:textId="77777777" w:rsidR="006E4D84" w:rsidRDefault="006E4D84" w:rsidP="006E4D84">
      <w:pPr>
        <w:spacing w:after="0"/>
      </w:pPr>
    </w:p>
    <w:p w14:paraId="11A08515" w14:textId="77777777" w:rsidR="006E4D84" w:rsidRDefault="006E4D84" w:rsidP="006E4D84">
      <w:pPr>
        <w:spacing w:after="0"/>
      </w:pPr>
    </w:p>
    <w:p w14:paraId="561E40F5" w14:textId="77777777" w:rsidR="006E4D84" w:rsidRDefault="006E4D84" w:rsidP="006E4D84">
      <w:pPr>
        <w:spacing w:after="0"/>
      </w:pPr>
    </w:p>
    <w:p w14:paraId="61AED809" w14:textId="77777777" w:rsidR="006E4D84" w:rsidRDefault="006E4D84" w:rsidP="006E4D84">
      <w:pPr>
        <w:spacing w:after="0"/>
      </w:pPr>
    </w:p>
    <w:p w14:paraId="0BA2B3BB" w14:textId="77777777" w:rsidR="006E4D84" w:rsidRDefault="006E4D84" w:rsidP="006E4D84">
      <w:pPr>
        <w:spacing w:after="0"/>
      </w:pPr>
    </w:p>
    <w:p w14:paraId="7BD5B3F8" w14:textId="77777777" w:rsidR="006E4D84" w:rsidRDefault="006E4D84" w:rsidP="006E4D84">
      <w:pPr>
        <w:spacing w:after="0"/>
      </w:pPr>
    </w:p>
    <w:p w14:paraId="50662349" w14:textId="77777777" w:rsidR="006E4D84" w:rsidRDefault="006E4D84" w:rsidP="006E4D84">
      <w:pPr>
        <w:spacing w:after="0"/>
      </w:pPr>
    </w:p>
    <w:p w14:paraId="79647A76" w14:textId="77777777" w:rsidR="006E4D84" w:rsidRDefault="006E4D84" w:rsidP="006E4D84">
      <w:pPr>
        <w:spacing w:after="0"/>
      </w:pPr>
    </w:p>
    <w:p w14:paraId="1EBB03FE" w14:textId="77777777" w:rsidR="006E4D84" w:rsidRDefault="006E4D84" w:rsidP="006E4D84">
      <w:pPr>
        <w:spacing w:after="0"/>
      </w:pPr>
    </w:p>
    <w:p w14:paraId="0794FC52" w14:textId="77777777" w:rsidR="006E4D84" w:rsidRDefault="006E4D84" w:rsidP="006E4D84">
      <w:pPr>
        <w:spacing w:after="0"/>
        <w:jc w:val="center"/>
      </w:pPr>
      <w:r>
        <w:rPr>
          <w:snapToGrid w:val="0"/>
        </w:rPr>
        <w:t>(This page intentionally left blank)</w:t>
      </w:r>
    </w:p>
    <w:p w14:paraId="79A08F7B" w14:textId="77777777" w:rsidR="006E4D84" w:rsidRDefault="006E4D84" w:rsidP="006E4D84">
      <w:pPr>
        <w:spacing w:after="0"/>
      </w:pPr>
      <w:r>
        <w:br w:type="page"/>
      </w:r>
    </w:p>
    <w:p w14:paraId="690F2F9D" w14:textId="77777777" w:rsidR="009A01E5" w:rsidRDefault="009A01E5">
      <w:pPr>
        <w:rPr>
          <w:snapToGrid w:val="0"/>
        </w:rPr>
      </w:pPr>
    </w:p>
    <w:p w14:paraId="06A28975" w14:textId="77777777" w:rsidR="00442771" w:rsidRDefault="00442771" w:rsidP="00442771">
      <w:pPr>
        <w:rPr>
          <w:b/>
          <w:snapToGrid w:val="0"/>
        </w:rPr>
      </w:pPr>
      <w:r>
        <w:rPr>
          <w:b/>
          <w:snapToGrid w:val="0"/>
        </w:rPr>
        <w:t>AERSCREEN</w:t>
      </w:r>
    </w:p>
    <w:p w14:paraId="248004CE" w14:textId="3EE91E55" w:rsidR="00442771" w:rsidRDefault="00442771" w:rsidP="00442771">
      <w:pPr>
        <w:rPr>
          <w:snapToGrid w:val="0"/>
        </w:rPr>
      </w:pPr>
      <w:r w:rsidRPr="001F3F8F">
        <w:rPr>
          <w:snapToGrid w:val="0"/>
        </w:rPr>
        <w:t>AERSCREEN</w:t>
      </w:r>
      <w:r>
        <w:rPr>
          <w:snapToGrid w:val="0"/>
        </w:rPr>
        <w:t xml:space="preserve"> is significantly more complex </w:t>
      </w:r>
      <w:proofErr w:type="gramStart"/>
      <w:r>
        <w:rPr>
          <w:snapToGrid w:val="0"/>
        </w:rPr>
        <w:t>with regard to</w:t>
      </w:r>
      <w:proofErr w:type="gramEnd"/>
      <w:r>
        <w:rPr>
          <w:snapToGrid w:val="0"/>
        </w:rPr>
        <w:t xml:space="preserve"> user input requirements and user setup compared to its predecessor SCREEN3.  Unlike SCREEN3, AERSCREEN is not a stand-alone program.  During a single model run, AERSCREEN may interface with each of the following programs: 1) MAKEMET, to generate a matrix of meteorological conditions; 2) AERMAP, to process source and receptor elevations; 3) BPIPPRM, to derive building parameters for building downwash; and 4) AERMOD which is run in screening mode to obtain maximum 1-hour concentrations.</w:t>
      </w:r>
    </w:p>
    <w:p w14:paraId="5E450842" w14:textId="103D8051" w:rsidR="00442771" w:rsidRDefault="00442771" w:rsidP="00442771">
      <w:pPr>
        <w:rPr>
          <w:snapToGrid w:val="0"/>
        </w:rPr>
      </w:pPr>
      <w:r>
        <w:rPr>
          <w:snapToGrid w:val="0"/>
        </w:rPr>
        <w:t>Because AERSCREEN will potentially interface with each of these programs, the user should become familiar with each of these programs and consult the following</w:t>
      </w:r>
      <w:r w:rsidR="001F3F8F">
        <w:rPr>
          <w:snapToGrid w:val="0"/>
        </w:rPr>
        <w:t xml:space="preserve"> guidance</w:t>
      </w:r>
      <w:r w:rsidR="00524EAC">
        <w:rPr>
          <w:snapToGrid w:val="0"/>
        </w:rPr>
        <w:t>, most of which are available on EPA’s Support Center for Regulatory Atmospheric Modeling (</w:t>
      </w:r>
      <w:hyperlink r:id="rId184" w:history="1">
        <w:r w:rsidR="00524EAC" w:rsidRPr="00A97DCA">
          <w:rPr>
            <w:rStyle w:val="Hyperlink"/>
            <w:snapToGrid w:val="0"/>
          </w:rPr>
          <w:t>SCRAM</w:t>
        </w:r>
      </w:hyperlink>
      <w:r w:rsidR="00524EAC">
        <w:rPr>
          <w:snapToGrid w:val="0"/>
        </w:rPr>
        <w:t>) website</w:t>
      </w:r>
      <w:r>
        <w:rPr>
          <w:snapToGrid w:val="0"/>
        </w:rPr>
        <w:t>:</w:t>
      </w:r>
    </w:p>
    <w:p w14:paraId="195AB960" w14:textId="47C32EE9" w:rsidR="00442771" w:rsidRPr="00E6193C" w:rsidRDefault="00442771" w:rsidP="00407F48">
      <w:pPr>
        <w:pStyle w:val="Default"/>
        <w:numPr>
          <w:ilvl w:val="0"/>
          <w:numId w:val="52"/>
        </w:numPr>
        <w:rPr>
          <w:snapToGrid w:val="0"/>
        </w:rPr>
      </w:pPr>
      <w:hyperlink r:id="rId185" w:history="1">
        <w:r w:rsidRPr="001E024F">
          <w:rPr>
            <w:rStyle w:val="Hyperlink"/>
            <w:i/>
            <w:snapToGrid w:val="0"/>
          </w:rPr>
          <w:t>AERSCREEN User’s Guide</w:t>
        </w:r>
      </w:hyperlink>
      <w:r w:rsidRPr="00E6193C">
        <w:rPr>
          <w:snapToGrid w:val="0"/>
        </w:rPr>
        <w:t xml:space="preserve"> (</w:t>
      </w:r>
      <w:r w:rsidRPr="00E6193C">
        <w:t>EPA-454/B-</w:t>
      </w:r>
      <w:r w:rsidR="001F3F8F" w:rsidRPr="00E6193C">
        <w:t>1</w:t>
      </w:r>
      <w:r w:rsidR="001F3F8F">
        <w:t>6</w:t>
      </w:r>
      <w:r w:rsidRPr="00E6193C">
        <w:t>-</w:t>
      </w:r>
      <w:r w:rsidR="001E024F" w:rsidRPr="00E6193C">
        <w:t>00</w:t>
      </w:r>
      <w:r w:rsidR="001E024F">
        <w:t>4</w:t>
      </w:r>
      <w:r w:rsidRPr="00E6193C">
        <w:t>)</w:t>
      </w:r>
    </w:p>
    <w:p w14:paraId="488652D8" w14:textId="4A572AC2" w:rsidR="00442771" w:rsidRPr="00E6193C" w:rsidRDefault="00442771" w:rsidP="00407F48">
      <w:pPr>
        <w:pStyle w:val="ListParagraph"/>
        <w:numPr>
          <w:ilvl w:val="0"/>
          <w:numId w:val="49"/>
        </w:numPr>
        <w:rPr>
          <w:snapToGrid w:val="0"/>
        </w:rPr>
      </w:pPr>
      <w:hyperlink r:id="rId186" w:history="1">
        <w:r w:rsidRPr="001E024F">
          <w:rPr>
            <w:rStyle w:val="Hyperlink"/>
            <w:i/>
            <w:snapToGrid w:val="0"/>
          </w:rPr>
          <w:t>AERMAP User’s Guide</w:t>
        </w:r>
      </w:hyperlink>
      <w:r w:rsidRPr="00472533">
        <w:rPr>
          <w:i/>
          <w:snapToGrid w:val="0"/>
        </w:rPr>
        <w:t xml:space="preserve"> </w:t>
      </w:r>
      <w:r w:rsidRPr="00E6193C">
        <w:rPr>
          <w:snapToGrid w:val="0"/>
        </w:rPr>
        <w:t>(</w:t>
      </w:r>
      <w:r w:rsidRPr="00E6193C">
        <w:rPr>
          <w:bCs/>
        </w:rPr>
        <w:t>EPA-454/B-</w:t>
      </w:r>
      <w:r w:rsidR="00CA4FB2">
        <w:rPr>
          <w:bCs/>
        </w:rPr>
        <w:t>18</w:t>
      </w:r>
      <w:r w:rsidRPr="00E6193C">
        <w:rPr>
          <w:bCs/>
        </w:rPr>
        <w:t>-</w:t>
      </w:r>
      <w:r w:rsidR="00CA4FB2">
        <w:rPr>
          <w:bCs/>
        </w:rPr>
        <w:t>004</w:t>
      </w:r>
      <w:r w:rsidRPr="00E6193C">
        <w:rPr>
          <w:bCs/>
        </w:rPr>
        <w:t>)</w:t>
      </w:r>
    </w:p>
    <w:p w14:paraId="6425006F" w14:textId="3A07E3AF" w:rsidR="00442771" w:rsidRPr="00651B2F" w:rsidRDefault="00442771" w:rsidP="00407F48">
      <w:pPr>
        <w:pStyle w:val="ListParagraph"/>
        <w:numPr>
          <w:ilvl w:val="0"/>
          <w:numId w:val="49"/>
        </w:numPr>
        <w:rPr>
          <w:snapToGrid w:val="0"/>
        </w:rPr>
      </w:pPr>
      <w:hyperlink r:id="rId187" w:history="1">
        <w:r w:rsidRPr="001E024F">
          <w:rPr>
            <w:rStyle w:val="Hyperlink"/>
            <w:i/>
            <w:snapToGrid w:val="0"/>
          </w:rPr>
          <w:t>AERMET User’s Guide</w:t>
        </w:r>
      </w:hyperlink>
      <w:r w:rsidRPr="00472533">
        <w:rPr>
          <w:i/>
          <w:snapToGrid w:val="0"/>
        </w:rPr>
        <w:t xml:space="preserve"> </w:t>
      </w:r>
      <w:r w:rsidRPr="00651B2F">
        <w:rPr>
          <w:snapToGrid w:val="0"/>
        </w:rPr>
        <w:t>(</w:t>
      </w:r>
      <w:r w:rsidRPr="00651B2F">
        <w:rPr>
          <w:bCs/>
        </w:rPr>
        <w:t>EPA-454/B-</w:t>
      </w:r>
      <w:r w:rsidR="0085342D">
        <w:rPr>
          <w:bCs/>
        </w:rPr>
        <w:t>18</w:t>
      </w:r>
      <w:r w:rsidRPr="00651B2F">
        <w:rPr>
          <w:bCs/>
        </w:rPr>
        <w:t>-</w:t>
      </w:r>
      <w:r w:rsidR="001E024F">
        <w:rPr>
          <w:bCs/>
        </w:rPr>
        <w:t>0</w:t>
      </w:r>
      <w:r w:rsidR="0085342D">
        <w:rPr>
          <w:bCs/>
        </w:rPr>
        <w:t>02</w:t>
      </w:r>
      <w:r w:rsidRPr="00651B2F">
        <w:rPr>
          <w:bCs/>
        </w:rPr>
        <w:t>)</w:t>
      </w:r>
    </w:p>
    <w:p w14:paraId="7A8E859A" w14:textId="254F71F5" w:rsidR="00442771" w:rsidRPr="00651B2F" w:rsidRDefault="00442771" w:rsidP="00407F48">
      <w:pPr>
        <w:pStyle w:val="ListParagraph"/>
        <w:numPr>
          <w:ilvl w:val="0"/>
          <w:numId w:val="49"/>
        </w:numPr>
        <w:rPr>
          <w:snapToGrid w:val="0"/>
        </w:rPr>
      </w:pPr>
      <w:hyperlink r:id="rId188" w:history="1">
        <w:r w:rsidRPr="009A04D9">
          <w:rPr>
            <w:rStyle w:val="Hyperlink"/>
            <w:i/>
            <w:snapToGrid w:val="0"/>
          </w:rPr>
          <w:t>BPIP User’s Guide</w:t>
        </w:r>
      </w:hyperlink>
      <w:r w:rsidRPr="00651B2F">
        <w:rPr>
          <w:snapToGrid w:val="0"/>
        </w:rPr>
        <w:t xml:space="preserve"> (</w:t>
      </w:r>
      <w:r w:rsidRPr="00651B2F">
        <w:t>EPA-454/R-93-038)</w:t>
      </w:r>
      <w:r w:rsidR="009A04D9">
        <w:t xml:space="preserve"> and the </w:t>
      </w:r>
      <w:hyperlink r:id="rId189" w:history="1">
        <w:r w:rsidR="009A04D9" w:rsidRPr="009A04D9">
          <w:rPr>
            <w:rStyle w:val="Hyperlink"/>
          </w:rPr>
          <w:t>2004 Update</w:t>
        </w:r>
      </w:hyperlink>
      <w:r w:rsidR="009A04D9">
        <w:t xml:space="preserve"> </w:t>
      </w:r>
    </w:p>
    <w:p w14:paraId="48A858A2" w14:textId="168B7DF9" w:rsidR="00442771" w:rsidRPr="00E6193C" w:rsidRDefault="00442771" w:rsidP="00407F48">
      <w:pPr>
        <w:pStyle w:val="ListParagraph"/>
        <w:numPr>
          <w:ilvl w:val="0"/>
          <w:numId w:val="49"/>
        </w:numPr>
        <w:rPr>
          <w:snapToGrid w:val="0"/>
        </w:rPr>
      </w:pPr>
      <w:hyperlink r:id="rId190" w:history="1">
        <w:r w:rsidRPr="009A04D9">
          <w:rPr>
            <w:rStyle w:val="Hyperlink"/>
            <w:i/>
            <w:snapToGrid w:val="0"/>
          </w:rPr>
          <w:t>Addendum to the ISC3 User’s Guide</w:t>
        </w:r>
      </w:hyperlink>
      <w:r>
        <w:rPr>
          <w:snapToGrid w:val="0"/>
        </w:rPr>
        <w:t xml:space="preserve"> (The PRIME Plume Rise and Building Downwash Model</w:t>
      </w:r>
      <w:r w:rsidR="009A04D9">
        <w:rPr>
          <w:snapToGrid w:val="0"/>
        </w:rPr>
        <w:t>)</w:t>
      </w:r>
    </w:p>
    <w:p w14:paraId="7D5D2A12" w14:textId="0C7894C7" w:rsidR="00442771" w:rsidRPr="00137D6C" w:rsidRDefault="00442771" w:rsidP="00407F48">
      <w:pPr>
        <w:pStyle w:val="ListParagraph"/>
        <w:numPr>
          <w:ilvl w:val="0"/>
          <w:numId w:val="49"/>
        </w:numPr>
        <w:rPr>
          <w:snapToGrid w:val="0"/>
        </w:rPr>
      </w:pPr>
      <w:hyperlink r:id="rId191" w:history="1">
        <w:r w:rsidRPr="00CE28AC">
          <w:rPr>
            <w:rStyle w:val="Hyperlink"/>
            <w:i/>
            <w:snapToGrid w:val="0"/>
          </w:rPr>
          <w:t>Guideline on Air Quality Models</w:t>
        </w:r>
      </w:hyperlink>
      <w:r w:rsidRPr="00137D6C">
        <w:rPr>
          <w:snapToGrid w:val="0"/>
        </w:rPr>
        <w:t xml:space="preserve"> (</w:t>
      </w:r>
      <w:r>
        <w:rPr>
          <w:snapToGrid w:val="0"/>
        </w:rPr>
        <w:t>40 CFR 51</w:t>
      </w:r>
      <w:r w:rsidR="005B768A">
        <w:rPr>
          <w:snapToGrid w:val="0"/>
        </w:rPr>
        <w:t>, Appendix W</w:t>
      </w:r>
      <w:r w:rsidRPr="00137D6C">
        <w:rPr>
          <w:snapToGrid w:val="0"/>
        </w:rPr>
        <w:t>)</w:t>
      </w:r>
    </w:p>
    <w:p w14:paraId="7A23F1F7" w14:textId="3855862E" w:rsidR="00442771" w:rsidRPr="00E6193C" w:rsidRDefault="00442771" w:rsidP="00407F48">
      <w:pPr>
        <w:pStyle w:val="ListParagraph"/>
        <w:numPr>
          <w:ilvl w:val="0"/>
          <w:numId w:val="49"/>
        </w:numPr>
        <w:rPr>
          <w:snapToGrid w:val="0"/>
        </w:rPr>
      </w:pPr>
      <w:hyperlink r:id="rId192" w:history="1">
        <w:r w:rsidRPr="005B768A">
          <w:rPr>
            <w:rStyle w:val="Hyperlink"/>
            <w:i/>
            <w:snapToGrid w:val="0"/>
          </w:rPr>
          <w:t>AERSURFACE User’s Guide</w:t>
        </w:r>
      </w:hyperlink>
      <w:r>
        <w:rPr>
          <w:snapToGrid w:val="0"/>
        </w:rPr>
        <w:t xml:space="preserve"> (</w:t>
      </w:r>
      <w:r>
        <w:t>EPA-454/B-08-001</w:t>
      </w:r>
      <w:r w:rsidR="0085342D">
        <w:t>; Revised 01/16/2013</w:t>
      </w:r>
      <w:r>
        <w:t>)</w:t>
      </w:r>
    </w:p>
    <w:p w14:paraId="275A6DEB" w14:textId="43F565F7" w:rsidR="00442771" w:rsidRPr="00472533" w:rsidRDefault="00442771" w:rsidP="00407F48">
      <w:pPr>
        <w:pStyle w:val="ListParagraph"/>
        <w:numPr>
          <w:ilvl w:val="0"/>
          <w:numId w:val="49"/>
        </w:numPr>
        <w:rPr>
          <w:i/>
          <w:snapToGrid w:val="0"/>
        </w:rPr>
      </w:pPr>
      <w:hyperlink r:id="rId193" w:history="1">
        <w:r w:rsidRPr="005B768A">
          <w:rPr>
            <w:rStyle w:val="Hyperlink"/>
            <w:i/>
            <w:snapToGrid w:val="0"/>
          </w:rPr>
          <w:t>AERMOD Implementation Guide</w:t>
        </w:r>
      </w:hyperlink>
      <w:r w:rsidRPr="00472533">
        <w:rPr>
          <w:i/>
          <w:snapToGrid w:val="0"/>
        </w:rPr>
        <w:t xml:space="preserve"> </w:t>
      </w:r>
      <w:r w:rsidR="005B768A">
        <w:rPr>
          <w:snapToGrid w:val="0"/>
        </w:rPr>
        <w:t>(EPA-454/B-</w:t>
      </w:r>
      <w:r w:rsidR="0085342D">
        <w:rPr>
          <w:snapToGrid w:val="0"/>
        </w:rPr>
        <w:t>18</w:t>
      </w:r>
      <w:r w:rsidR="005B768A">
        <w:rPr>
          <w:snapToGrid w:val="0"/>
        </w:rPr>
        <w:t>-013)</w:t>
      </w:r>
    </w:p>
    <w:p w14:paraId="53378F76" w14:textId="6EEC521B" w:rsidR="00442771" w:rsidRDefault="00442771" w:rsidP="00407F48">
      <w:pPr>
        <w:pStyle w:val="ListParagraph"/>
        <w:numPr>
          <w:ilvl w:val="0"/>
          <w:numId w:val="49"/>
        </w:numPr>
        <w:rPr>
          <w:snapToGrid w:val="0"/>
        </w:rPr>
      </w:pPr>
      <w:hyperlink r:id="rId194" w:history="1">
        <w:r w:rsidRPr="00CE3325">
          <w:rPr>
            <w:rStyle w:val="Hyperlink"/>
            <w:snapToGrid w:val="0"/>
          </w:rPr>
          <w:t>S</w:t>
        </w:r>
        <w:r w:rsidRPr="00CE3325">
          <w:rPr>
            <w:rStyle w:val="Hyperlink"/>
            <w:i/>
            <w:snapToGrid w:val="0"/>
          </w:rPr>
          <w:t>creening Procedures for Estimating the Air Quality Impact of Stationary Sources</w:t>
        </w:r>
      </w:hyperlink>
      <w:r w:rsidRPr="00472533">
        <w:rPr>
          <w:i/>
          <w:snapToGrid w:val="0"/>
        </w:rPr>
        <w:t xml:space="preserve"> </w:t>
      </w:r>
      <w:r>
        <w:rPr>
          <w:snapToGrid w:val="0"/>
        </w:rPr>
        <w:t>(</w:t>
      </w:r>
      <w:r>
        <w:rPr>
          <w:sz w:val="26"/>
          <w:szCs w:val="26"/>
        </w:rPr>
        <w:t>EPA-454/R-92-019</w:t>
      </w:r>
      <w:r>
        <w:rPr>
          <w:snapToGrid w:val="0"/>
        </w:rPr>
        <w:t>)</w:t>
      </w:r>
    </w:p>
    <w:p w14:paraId="15877976" w14:textId="77777777" w:rsidR="00442771" w:rsidRDefault="00442771" w:rsidP="00442771">
      <w:pPr>
        <w:rPr>
          <w:snapToGrid w:val="0"/>
        </w:rPr>
      </w:pPr>
      <w:r>
        <w:rPr>
          <w:snapToGrid w:val="0"/>
        </w:rPr>
        <w:t xml:space="preserve">When running AERSCREEN, it is important to ensure </w:t>
      </w:r>
      <w:proofErr w:type="gramStart"/>
      <w:r>
        <w:rPr>
          <w:snapToGrid w:val="0"/>
        </w:rPr>
        <w:t>all of</w:t>
      </w:r>
      <w:proofErr w:type="gramEnd"/>
      <w:r>
        <w:rPr>
          <w:snapToGrid w:val="0"/>
        </w:rPr>
        <w:t xml:space="preserve"> the required program executable files and input files are accessible to AERSCREEN.  The following executable files should be copied to the same directory where the AERSCREEN executable is located (AERSCREEN.EXE):</w:t>
      </w:r>
    </w:p>
    <w:p w14:paraId="094B644F" w14:textId="77777777" w:rsidR="00442771" w:rsidRDefault="00442771" w:rsidP="00407F48">
      <w:pPr>
        <w:pStyle w:val="ListParagraph"/>
        <w:numPr>
          <w:ilvl w:val="0"/>
          <w:numId w:val="50"/>
        </w:numPr>
        <w:rPr>
          <w:snapToGrid w:val="0"/>
        </w:rPr>
      </w:pPr>
      <w:r>
        <w:rPr>
          <w:snapToGrid w:val="0"/>
        </w:rPr>
        <w:t>MAKEMET.EXE</w:t>
      </w:r>
    </w:p>
    <w:p w14:paraId="2C53E645" w14:textId="77777777" w:rsidR="00442771" w:rsidRDefault="00442771" w:rsidP="00407F48">
      <w:pPr>
        <w:pStyle w:val="ListParagraph"/>
        <w:numPr>
          <w:ilvl w:val="0"/>
          <w:numId w:val="50"/>
        </w:numPr>
        <w:rPr>
          <w:snapToGrid w:val="0"/>
        </w:rPr>
      </w:pPr>
      <w:r>
        <w:rPr>
          <w:snapToGrid w:val="0"/>
        </w:rPr>
        <w:t>AERMAP.EXE</w:t>
      </w:r>
    </w:p>
    <w:p w14:paraId="29B5A80E" w14:textId="77777777" w:rsidR="00442771" w:rsidRDefault="00442771" w:rsidP="00407F48">
      <w:pPr>
        <w:pStyle w:val="ListParagraph"/>
        <w:numPr>
          <w:ilvl w:val="0"/>
          <w:numId w:val="50"/>
        </w:numPr>
        <w:rPr>
          <w:snapToGrid w:val="0"/>
        </w:rPr>
      </w:pPr>
      <w:r>
        <w:rPr>
          <w:snapToGrid w:val="0"/>
        </w:rPr>
        <w:t>BPIPPRM.EXE</w:t>
      </w:r>
    </w:p>
    <w:p w14:paraId="38FCE366" w14:textId="77777777" w:rsidR="00442771" w:rsidRDefault="00442771" w:rsidP="00407F48">
      <w:pPr>
        <w:pStyle w:val="ListParagraph"/>
        <w:numPr>
          <w:ilvl w:val="0"/>
          <w:numId w:val="50"/>
        </w:numPr>
        <w:rPr>
          <w:snapToGrid w:val="0"/>
        </w:rPr>
      </w:pPr>
      <w:r>
        <w:rPr>
          <w:snapToGrid w:val="0"/>
        </w:rPr>
        <w:t>AERMOD.EXE</w:t>
      </w:r>
    </w:p>
    <w:p w14:paraId="58AC9060" w14:textId="43C0409D" w:rsidR="00442771" w:rsidRDefault="00442771" w:rsidP="00442771">
      <w:pPr>
        <w:rPr>
          <w:snapToGrid w:val="0"/>
        </w:rPr>
      </w:pPr>
      <w:r>
        <w:rPr>
          <w:snapToGrid w:val="0"/>
        </w:rPr>
        <w:t xml:space="preserve">The user should ensure the most recent versions of AERSCREEN, MAKEMET, AERMAP, BPIPPRM, and AERMOD have been obtained from the </w:t>
      </w:r>
      <w:hyperlink r:id="rId195" w:history="1">
        <w:r w:rsidRPr="00A81D21">
          <w:rPr>
            <w:rStyle w:val="Hyperlink"/>
            <w:snapToGrid w:val="0"/>
          </w:rPr>
          <w:t>SCRAM</w:t>
        </w:r>
      </w:hyperlink>
      <w:r>
        <w:rPr>
          <w:snapToGrid w:val="0"/>
        </w:rPr>
        <w:t xml:space="preserve"> website.</w:t>
      </w:r>
    </w:p>
    <w:p w14:paraId="6F2BA849" w14:textId="77777777" w:rsidR="00442771" w:rsidRDefault="00442771" w:rsidP="00442771">
      <w:pPr>
        <w:rPr>
          <w:snapToGrid w:val="0"/>
        </w:rPr>
      </w:pPr>
      <w:r>
        <w:rPr>
          <w:snapToGrid w:val="0"/>
        </w:rPr>
        <w:t xml:space="preserve">If terrain processing is required, the user input file “demlist.txt” is required and must reside in the same directory where the AERSCREEN executable is stored.  In addition, one or multiple elevations file in the USGS DEM format or one or multiple National Elevation Dataset (NED) files in GEOTIFF format is required, as well as the North American Data (NAD) conversion files are required.  Elevation and NAD conversion </w:t>
      </w:r>
      <w:r>
        <w:rPr>
          <w:snapToGrid w:val="0"/>
        </w:rPr>
        <w:lastRenderedPageBreak/>
        <w:t xml:space="preserve">files do not have to reside in the same directory </w:t>
      </w:r>
      <w:proofErr w:type="gramStart"/>
      <w:r>
        <w:rPr>
          <w:snapToGrid w:val="0"/>
        </w:rPr>
        <w:t>with</w:t>
      </w:r>
      <w:proofErr w:type="gramEnd"/>
      <w:r>
        <w:rPr>
          <w:snapToGrid w:val="0"/>
        </w:rPr>
        <w:t xml:space="preserve"> AERSCREEN.  Path and filename information for these files should be specified in “demlist.txt.”  Refer to the AERSCREEN User’s Guide for guidance on the contents and format of “demlist.txt.”  </w:t>
      </w:r>
    </w:p>
    <w:p w14:paraId="78E3EA8F" w14:textId="77777777" w:rsidR="00442771" w:rsidRDefault="00442771" w:rsidP="00442771">
      <w:pPr>
        <w:rPr>
          <w:snapToGrid w:val="0"/>
        </w:rPr>
      </w:pPr>
      <w:r>
        <w:rPr>
          <w:snapToGrid w:val="0"/>
        </w:rPr>
        <w:t>AERSCREEN also requires surface characteristics for input to MAKEMET.  This information can be input into AERSCREEN by the following methods:</w:t>
      </w:r>
    </w:p>
    <w:p w14:paraId="5AAA5B78" w14:textId="77777777" w:rsidR="00442771" w:rsidRDefault="00442771" w:rsidP="00407F48">
      <w:pPr>
        <w:pStyle w:val="ListParagraph"/>
        <w:numPr>
          <w:ilvl w:val="0"/>
          <w:numId w:val="51"/>
        </w:numPr>
        <w:rPr>
          <w:snapToGrid w:val="0"/>
        </w:rPr>
      </w:pPr>
      <w:r>
        <w:rPr>
          <w:snapToGrid w:val="0"/>
        </w:rPr>
        <w:t>single values for albedo, Bowen ratio, and surface roughness without temporal or spatial variation (annual values for a single sector)</w:t>
      </w:r>
    </w:p>
    <w:p w14:paraId="5483FD9C" w14:textId="77777777" w:rsidR="00442771" w:rsidRDefault="00442771" w:rsidP="00407F48">
      <w:pPr>
        <w:pStyle w:val="ListParagraph"/>
        <w:numPr>
          <w:ilvl w:val="0"/>
          <w:numId w:val="51"/>
        </w:numPr>
        <w:rPr>
          <w:snapToGrid w:val="0"/>
        </w:rPr>
      </w:pPr>
      <w:r>
        <w:rPr>
          <w:snapToGrid w:val="0"/>
        </w:rPr>
        <w:t>AERMET seasonal tables (seasonal surface characteristics derived within AERSCREEN for a single sector)</w:t>
      </w:r>
    </w:p>
    <w:p w14:paraId="66A51C8A" w14:textId="77777777" w:rsidR="00442771" w:rsidRDefault="00442771" w:rsidP="00407F48">
      <w:pPr>
        <w:pStyle w:val="ListParagraph"/>
        <w:numPr>
          <w:ilvl w:val="0"/>
          <w:numId w:val="51"/>
        </w:numPr>
        <w:rPr>
          <w:snapToGrid w:val="0"/>
        </w:rPr>
      </w:pPr>
      <w:r>
        <w:rPr>
          <w:snapToGrid w:val="0"/>
        </w:rPr>
        <w:t>values read by AERSCREEN from either an AERSURFACE output file or an AERMET Stage 3 input file (temporal and spatial variation)</w:t>
      </w:r>
    </w:p>
    <w:p w14:paraId="6744D649" w14:textId="77777777" w:rsidR="00442771" w:rsidRDefault="00442771" w:rsidP="00442771">
      <w:pPr>
        <w:rPr>
          <w:snapToGrid w:val="0"/>
        </w:rPr>
      </w:pPr>
      <w:r>
        <w:rPr>
          <w:snapToGrid w:val="0"/>
        </w:rPr>
        <w:t xml:space="preserve">When method #3 is used, the path and filename of the AERSURFACE output file or AERMET Stage 3 input file are </w:t>
      </w:r>
      <w:proofErr w:type="gramStart"/>
      <w:r>
        <w:rPr>
          <w:snapToGrid w:val="0"/>
        </w:rPr>
        <w:t>required</w:t>
      </w:r>
      <w:proofErr w:type="gramEnd"/>
      <w:r>
        <w:rPr>
          <w:snapToGrid w:val="0"/>
        </w:rPr>
        <w:t xml:space="preserve"> user entries, and the file is not required to reside in the s</w:t>
      </w:r>
      <w:r w:rsidR="00B04880">
        <w:rPr>
          <w:snapToGrid w:val="0"/>
        </w:rPr>
        <w:t>a</w:t>
      </w:r>
      <w:r>
        <w:rPr>
          <w:snapToGrid w:val="0"/>
        </w:rPr>
        <w:t>me directory where the AERSCREEN executable is located.</w:t>
      </w:r>
    </w:p>
    <w:p w14:paraId="56DDADE6" w14:textId="62710A94" w:rsidR="00442771" w:rsidRDefault="00442771" w:rsidP="00442771">
      <w:pPr>
        <w:rPr>
          <w:snapToGrid w:val="0"/>
        </w:rPr>
      </w:pPr>
      <w:r>
        <w:rPr>
          <w:snapToGrid w:val="0"/>
        </w:rPr>
        <w:t xml:space="preserve">Like SCREEN3, AERSCREEN supports only a single emission source and a single building approximated by a simple rectangular box.  Multiple point sources with similar parameters that are within about 100m of each other may be analyzed by treating </w:t>
      </w:r>
      <w:proofErr w:type="gramStart"/>
      <w:r>
        <w:rPr>
          <w:snapToGrid w:val="0"/>
        </w:rPr>
        <w:t>all of</w:t>
      </w:r>
      <w:proofErr w:type="gramEnd"/>
      <w:r>
        <w:rPr>
          <w:snapToGrid w:val="0"/>
        </w:rPr>
        <w:t xml:space="preserve"> the emissions as coming from a single representative stack.  This technique of combining stacks is described in Section 2.2 of the </w:t>
      </w:r>
      <w:hyperlink r:id="rId196" w:history="1">
        <w:r w:rsidRPr="00CE3325">
          <w:rPr>
            <w:rStyle w:val="Hyperlink"/>
            <w:snapToGrid w:val="0"/>
          </w:rPr>
          <w:t>Screening Procedures</w:t>
        </w:r>
      </w:hyperlink>
      <w:r>
        <w:rPr>
          <w:snapToGrid w:val="0"/>
        </w:rPr>
        <w:t xml:space="preserve"> (</w:t>
      </w:r>
      <w:r>
        <w:rPr>
          <w:sz w:val="26"/>
          <w:szCs w:val="26"/>
        </w:rPr>
        <w:t>EPA-454/R-92-019</w:t>
      </w:r>
      <w:r>
        <w:rPr>
          <w:snapToGrid w:val="0"/>
        </w:rPr>
        <w:t xml:space="preserve">).   If more than one building influences the plume, the user may </w:t>
      </w:r>
      <w:r w:rsidR="00063287">
        <w:rPr>
          <w:snapToGrid w:val="0"/>
        </w:rPr>
        <w:t>create a BPIPPRM input file which can be read by AERSCREEN to process downwash parameters from multiple buildings</w:t>
      </w:r>
      <w:r>
        <w:rPr>
          <w:snapToGrid w:val="0"/>
        </w:rPr>
        <w:t>.</w:t>
      </w:r>
      <w:r w:rsidR="00063287">
        <w:rPr>
          <w:snapToGrid w:val="0"/>
        </w:rPr>
        <w:t xml:space="preserve">  However, there may only be one source defined in the BPIPPRM input file or AERSCREEN will abort.</w:t>
      </w:r>
      <w:r>
        <w:rPr>
          <w:snapToGrid w:val="0"/>
        </w:rPr>
        <w:t xml:space="preserve">   </w:t>
      </w:r>
    </w:p>
    <w:p w14:paraId="1165224E" w14:textId="77777777" w:rsidR="00442771" w:rsidRDefault="00442771" w:rsidP="00442771">
      <w:pPr>
        <w:rPr>
          <w:snapToGrid w:val="0"/>
        </w:rPr>
      </w:pPr>
      <w:r>
        <w:rPr>
          <w:snapToGrid w:val="0"/>
        </w:rPr>
        <w:t xml:space="preserve">Under some cases, applicants may model impacts from multiple sources, not adjacent to each other.  Multiple sources have been modeled in a very conservative manner by assessing the maximum impact from each individual </w:t>
      </w:r>
      <w:proofErr w:type="gramStart"/>
      <w:r>
        <w:rPr>
          <w:snapToGrid w:val="0"/>
        </w:rPr>
        <w:t>source, and</w:t>
      </w:r>
      <w:proofErr w:type="gramEnd"/>
      <w:r>
        <w:rPr>
          <w:snapToGrid w:val="0"/>
        </w:rPr>
        <w:t xml:space="preserve"> adding the results to quantify the total impact.  This method is conservative because it assumes maximum impacts from individual sources occur at the same location and time.</w:t>
      </w:r>
    </w:p>
    <w:p w14:paraId="6FE1C454" w14:textId="51D00894" w:rsidR="00442771" w:rsidRDefault="00442771" w:rsidP="00442771">
      <w:pPr>
        <w:rPr>
          <w:snapToGrid w:val="0"/>
        </w:rPr>
      </w:pPr>
      <w:r>
        <w:rPr>
          <w:snapToGrid w:val="0"/>
        </w:rPr>
        <w:t xml:space="preserve">As an alternative screening approach in cases where there are multiple sources and/or buildings, AERMOD can be run in screening mode, apart from AERSCREEN, using screening meteorology with all sources, building parameters and a receptor grid specified.  This requires pre-processing and model set-up </w:t>
      </w:r>
      <w:proofErr w:type="gramStart"/>
      <w:r>
        <w:rPr>
          <w:snapToGrid w:val="0"/>
        </w:rPr>
        <w:t>similar to</w:t>
      </w:r>
      <w:proofErr w:type="gramEnd"/>
      <w:r>
        <w:rPr>
          <w:snapToGrid w:val="0"/>
        </w:rPr>
        <w:t xml:space="preserve"> refined modeling with AERMOD.  Performing screening modeling in this way requires the user to develop an AERMOD control file including source parameters and a receptor grid which will require setting up and running AERMAP and BPIPPRM to obtain source and receptor elevations and building downwash parameters.  Screening meteorology can be generated using MAKEMET as a stand-alone program, and AERMOD can be run with the SCREEN option specified on the CO MODELOPT card in the AERMOD control file.  Refer to the </w:t>
      </w:r>
      <w:hyperlink r:id="rId197" w:history="1">
        <w:r w:rsidRPr="00BC1E2B">
          <w:rPr>
            <w:rStyle w:val="Hyperlink"/>
            <w:snapToGrid w:val="0"/>
          </w:rPr>
          <w:t>AERSCREEN User’s Guide</w:t>
        </w:r>
      </w:hyperlink>
      <w:r>
        <w:rPr>
          <w:snapToGrid w:val="0"/>
        </w:rPr>
        <w:t xml:space="preserve"> (</w:t>
      </w:r>
      <w:r w:rsidRPr="00E6193C">
        <w:t>EPA</w:t>
      </w:r>
      <w:r>
        <w:noBreakHyphen/>
      </w:r>
      <w:r w:rsidRPr="00E6193C">
        <w:t>454/B</w:t>
      </w:r>
      <w:r>
        <w:noBreakHyphen/>
      </w:r>
      <w:r w:rsidR="00BC1E2B">
        <w:t>16</w:t>
      </w:r>
      <w:r>
        <w:noBreakHyphen/>
      </w:r>
      <w:r w:rsidR="00BC1E2B">
        <w:t>004</w:t>
      </w:r>
      <w:r>
        <w:t>)</w:t>
      </w:r>
      <w:r>
        <w:rPr>
          <w:snapToGrid w:val="0"/>
        </w:rPr>
        <w:t xml:space="preserve"> for more information on running MAKEMET as a stand-alone program.  Refer to the AERMAP, BPIPPRM, and </w:t>
      </w:r>
      <w:r>
        <w:rPr>
          <w:snapToGrid w:val="0"/>
        </w:rPr>
        <w:lastRenderedPageBreak/>
        <w:t xml:space="preserve">AERMOD </w:t>
      </w:r>
      <w:r w:rsidR="000A1173">
        <w:rPr>
          <w:snapToGrid w:val="0"/>
        </w:rPr>
        <w:t>U</w:t>
      </w:r>
      <w:r>
        <w:rPr>
          <w:snapToGrid w:val="0"/>
        </w:rPr>
        <w:t xml:space="preserve">ser’s </w:t>
      </w:r>
      <w:r w:rsidR="000A1173">
        <w:rPr>
          <w:snapToGrid w:val="0"/>
        </w:rPr>
        <w:t>G</w:t>
      </w:r>
      <w:r>
        <w:rPr>
          <w:snapToGrid w:val="0"/>
        </w:rPr>
        <w:t>uides and the modeling tips provided in this appendix for more information on these programs.</w:t>
      </w:r>
    </w:p>
    <w:p w14:paraId="1FAD5CA5" w14:textId="77777777" w:rsidR="006E4D84" w:rsidRDefault="006E4D84">
      <w:pPr>
        <w:rPr>
          <w:b/>
          <w:snapToGrid w:val="0"/>
        </w:rPr>
      </w:pPr>
    </w:p>
    <w:p w14:paraId="1609585F" w14:textId="77777777" w:rsidR="006E4D84" w:rsidRDefault="006E4D84">
      <w:pPr>
        <w:spacing w:after="0"/>
        <w:rPr>
          <w:b/>
          <w:snapToGrid w:val="0"/>
        </w:rPr>
      </w:pPr>
      <w:r>
        <w:rPr>
          <w:b/>
          <w:snapToGrid w:val="0"/>
        </w:rPr>
        <w:br w:type="page"/>
      </w:r>
    </w:p>
    <w:p w14:paraId="7F8FF70B" w14:textId="77777777" w:rsidR="006E4D84" w:rsidRDefault="006E4D84" w:rsidP="006E4D84">
      <w:pPr>
        <w:spacing w:after="0"/>
      </w:pPr>
    </w:p>
    <w:p w14:paraId="51056C96" w14:textId="77777777" w:rsidR="006E4D84" w:rsidRDefault="006E4D84" w:rsidP="006E4D84">
      <w:pPr>
        <w:spacing w:after="0"/>
      </w:pPr>
    </w:p>
    <w:p w14:paraId="58239F9E" w14:textId="77777777" w:rsidR="006E4D84" w:rsidRDefault="006E4D84" w:rsidP="006E4D84">
      <w:pPr>
        <w:spacing w:after="0"/>
      </w:pPr>
    </w:p>
    <w:p w14:paraId="69AF442B" w14:textId="77777777" w:rsidR="006E4D84" w:rsidRDefault="006E4D84" w:rsidP="006E4D84">
      <w:pPr>
        <w:spacing w:after="0"/>
      </w:pPr>
    </w:p>
    <w:p w14:paraId="03D70250" w14:textId="77777777" w:rsidR="006E4D84" w:rsidRDefault="006E4D84" w:rsidP="006E4D84">
      <w:pPr>
        <w:spacing w:after="0"/>
      </w:pPr>
    </w:p>
    <w:p w14:paraId="6A805E9F" w14:textId="77777777" w:rsidR="006E4D84" w:rsidRDefault="006E4D84" w:rsidP="006E4D84">
      <w:pPr>
        <w:spacing w:after="0"/>
      </w:pPr>
    </w:p>
    <w:p w14:paraId="59BAF65E" w14:textId="77777777" w:rsidR="006E4D84" w:rsidRDefault="006E4D84" w:rsidP="006E4D84">
      <w:pPr>
        <w:spacing w:after="0"/>
      </w:pPr>
    </w:p>
    <w:p w14:paraId="748A509B" w14:textId="77777777" w:rsidR="006E4D84" w:rsidRDefault="006E4D84" w:rsidP="006E4D84">
      <w:pPr>
        <w:spacing w:after="0"/>
      </w:pPr>
    </w:p>
    <w:p w14:paraId="7943500D" w14:textId="77777777" w:rsidR="006E4D84" w:rsidRDefault="006E4D84" w:rsidP="006E4D84">
      <w:pPr>
        <w:spacing w:after="0"/>
      </w:pPr>
    </w:p>
    <w:p w14:paraId="26630BC5" w14:textId="77777777" w:rsidR="006E4D84" w:rsidRDefault="006E4D84" w:rsidP="006E4D84">
      <w:pPr>
        <w:spacing w:after="0"/>
      </w:pPr>
    </w:p>
    <w:p w14:paraId="40C74096" w14:textId="77777777" w:rsidR="006E4D84" w:rsidRDefault="006E4D84" w:rsidP="006E4D84">
      <w:pPr>
        <w:spacing w:after="0"/>
      </w:pPr>
    </w:p>
    <w:p w14:paraId="370580ED" w14:textId="77777777" w:rsidR="006E4D84" w:rsidRDefault="006E4D84" w:rsidP="006E4D84">
      <w:pPr>
        <w:spacing w:after="0"/>
        <w:jc w:val="center"/>
      </w:pPr>
      <w:r>
        <w:rPr>
          <w:snapToGrid w:val="0"/>
        </w:rPr>
        <w:t>(This page intentionally left blank)</w:t>
      </w:r>
    </w:p>
    <w:p w14:paraId="692FD40B" w14:textId="77777777" w:rsidR="006E4D84" w:rsidRDefault="006E4D84" w:rsidP="006E4D84">
      <w:pPr>
        <w:spacing w:after="0"/>
      </w:pPr>
      <w:r>
        <w:br w:type="page"/>
      </w:r>
    </w:p>
    <w:p w14:paraId="4335BAFC" w14:textId="6AE6A2EE" w:rsidR="009A01E5" w:rsidRDefault="009A01E5">
      <w:pPr>
        <w:rPr>
          <w:b/>
          <w:snapToGrid w:val="0"/>
        </w:rPr>
      </w:pPr>
      <w:r>
        <w:rPr>
          <w:b/>
          <w:snapToGrid w:val="0"/>
        </w:rPr>
        <w:lastRenderedPageBreak/>
        <w:t>VISCREEN</w:t>
      </w:r>
    </w:p>
    <w:p w14:paraId="51D59EEF" w14:textId="324B45E4" w:rsidR="00AD3806" w:rsidRDefault="00AD3806" w:rsidP="00AD3806">
      <w:pPr>
        <w:rPr>
          <w:snapToGrid w:val="0"/>
        </w:rPr>
      </w:pPr>
      <w:r>
        <w:rPr>
          <w:snapToGrid w:val="0"/>
        </w:rPr>
        <w:t xml:space="preserve">The </w:t>
      </w:r>
      <w:r w:rsidRPr="00CC75FD">
        <w:rPr>
          <w:snapToGrid w:val="0"/>
        </w:rPr>
        <w:t>VISCREEN</w:t>
      </w:r>
      <w:r>
        <w:rPr>
          <w:snapToGrid w:val="0"/>
        </w:rPr>
        <w:t xml:space="preserve"> model is used to assess plume blight within Class I areas, but not regional haze. </w:t>
      </w:r>
      <w:r w:rsidR="009333E2">
        <w:rPr>
          <w:snapToGrid w:val="0"/>
        </w:rPr>
        <w:t xml:space="preserve"> </w:t>
      </w:r>
      <w:r>
        <w:rPr>
          <w:snapToGrid w:val="0"/>
        </w:rPr>
        <w:t xml:space="preserve">Plume blight is a </w:t>
      </w:r>
      <w:r>
        <w:t xml:space="preserve">visual impairment of air quality that manifests itself as a coherent plume. </w:t>
      </w:r>
      <w:r w:rsidR="009333E2">
        <w:t xml:space="preserve"> </w:t>
      </w:r>
      <w:r>
        <w:t>It</w:t>
      </w:r>
      <w:r>
        <w:rPr>
          <w:snapToGrid w:val="0"/>
        </w:rPr>
        <w:t xml:space="preserve"> is an instantaneous parameter that should be assessed using peak short-term emission rates. </w:t>
      </w:r>
      <w:r w:rsidR="009333E2">
        <w:rPr>
          <w:snapToGrid w:val="0"/>
        </w:rPr>
        <w:t xml:space="preserve"> </w:t>
      </w:r>
      <w:r>
        <w:rPr>
          <w:snapToGrid w:val="0"/>
        </w:rPr>
        <w:t xml:space="preserve">Regional haze is defined as </w:t>
      </w:r>
      <w:r>
        <w:t>a cloud of aerosols extending up to hundreds of miles across a region promoting noticeably hazy conditions.</w:t>
      </w:r>
      <w:r w:rsidR="009333E2">
        <w:t xml:space="preserve"> </w:t>
      </w:r>
      <w:r>
        <w:t xml:space="preserve"> It is a condition of the atmosphere in which uniformly distributed aerosol obscures the entire vista irrespective of direction or point of observation. </w:t>
      </w:r>
      <w:r w:rsidR="009333E2">
        <w:t xml:space="preserve"> </w:t>
      </w:r>
      <w:r>
        <w:t xml:space="preserve">The haze is not easily traced visually </w:t>
      </w:r>
      <w:r w:rsidRPr="008E36AB">
        <w:t xml:space="preserve">to a single source. </w:t>
      </w:r>
      <w:r w:rsidR="009333E2">
        <w:t xml:space="preserve"> </w:t>
      </w:r>
      <w:r w:rsidRPr="008E36AB">
        <w:t xml:space="preserve">Regional haze is regulated in Class I areas by mandating the maximum allowable change which may occur. </w:t>
      </w:r>
      <w:r w:rsidR="009333E2">
        <w:t xml:space="preserve"> </w:t>
      </w:r>
      <w:r w:rsidRPr="008E36AB">
        <w:t>Since the change is based upon projected impacts compared to a 24-hour averaged “natural condition”, the 24-hour averaged emission rate is often used in the regional haze analysis.</w:t>
      </w:r>
      <w:r w:rsidRPr="008E36AB">
        <w:rPr>
          <w:snapToGrid w:val="0"/>
        </w:rPr>
        <w:t xml:space="preserve"> </w:t>
      </w:r>
      <w:r w:rsidR="009333E2">
        <w:rPr>
          <w:snapToGrid w:val="0"/>
        </w:rPr>
        <w:t xml:space="preserve"> </w:t>
      </w:r>
      <w:r w:rsidRPr="008E36AB">
        <w:rPr>
          <w:snapToGrid w:val="0"/>
        </w:rPr>
        <w:t>This manual does not discuss the tools and approach for running a regional haze assessment instead of a plume blight analysis.  Those details should be worked out with the FLM</w:t>
      </w:r>
      <w:r w:rsidR="009333E2">
        <w:rPr>
          <w:snapToGrid w:val="0"/>
        </w:rPr>
        <w:t>.</w:t>
      </w:r>
    </w:p>
    <w:p w14:paraId="3E521D0C" w14:textId="44C4ABD6" w:rsidR="00AE1826" w:rsidRPr="006A1E81" w:rsidRDefault="00AE1826" w:rsidP="00AE1826">
      <w:pPr>
        <w:rPr>
          <w:snapToGrid w:val="0"/>
        </w:rPr>
      </w:pPr>
      <w:r w:rsidRPr="008E36AB">
        <w:rPr>
          <w:snapToGrid w:val="0"/>
        </w:rPr>
        <w:t>VISCREEN requires the user to i</w:t>
      </w:r>
      <w:r>
        <w:rPr>
          <w:snapToGrid w:val="0"/>
        </w:rPr>
        <w:t xml:space="preserve">nput values for particulate and NOx emission rates, along with several distances.  As stated in Section 3 of EPA’s </w:t>
      </w:r>
      <w:hyperlink r:id="rId198" w:history="1">
        <w:r w:rsidRPr="00AE1826">
          <w:rPr>
            <w:rStyle w:val="Hyperlink"/>
            <w:i/>
            <w:snapToGrid w:val="0"/>
          </w:rPr>
          <w:t>Workbook for Plume Visual Impact Screening and Analysis</w:t>
        </w:r>
      </w:hyperlink>
      <w:r w:rsidRPr="00AE1826">
        <w:rPr>
          <w:i/>
          <w:snapToGrid w:val="0"/>
        </w:rPr>
        <w:t xml:space="preserve"> (Revised)</w:t>
      </w:r>
      <w:r w:rsidRPr="00AE1826">
        <w:rPr>
          <w:snapToGrid w:val="0"/>
        </w:rPr>
        <w:t xml:space="preserve"> – (EPA-454/R-92-023)</w:t>
      </w:r>
      <w:r>
        <w:rPr>
          <w:snapToGrid w:val="0"/>
        </w:rPr>
        <w:t>, “</w:t>
      </w:r>
      <w:r w:rsidRPr="008E36AB">
        <w:rPr>
          <w:i/>
          <w:snapToGrid w:val="0"/>
        </w:rPr>
        <w:t>[t]he emission rates should be the maximum short-term rates expected during the course of the year.</w:t>
      </w:r>
      <w:r w:rsidRPr="006A1E81">
        <w:rPr>
          <w:snapToGrid w:val="0"/>
        </w:rPr>
        <w:t xml:space="preserve">” The required distances are discussed on page 24 of EPA’s </w:t>
      </w:r>
      <w:r w:rsidR="00A87559">
        <w:rPr>
          <w:snapToGrid w:val="0"/>
        </w:rPr>
        <w:t>W</w:t>
      </w:r>
      <w:r w:rsidRPr="006A1E81">
        <w:rPr>
          <w:snapToGrid w:val="0"/>
        </w:rPr>
        <w:t xml:space="preserve">orkbook. </w:t>
      </w:r>
    </w:p>
    <w:p w14:paraId="67BC4FE6" w14:textId="6F311DD0" w:rsidR="00AE1826" w:rsidRPr="008E36AB" w:rsidRDefault="00AE1826" w:rsidP="00AE1826">
      <w:r w:rsidRPr="006A1E81">
        <w:rPr>
          <w:snapToGrid w:val="0"/>
        </w:rPr>
        <w:t>VISCREEN also requires the user to input a background ozone concentration, used to calculate NO to NO</w:t>
      </w:r>
      <w:r w:rsidRPr="006A1E81">
        <w:rPr>
          <w:snapToGrid w:val="0"/>
          <w:vertAlign w:val="subscript"/>
        </w:rPr>
        <w:t>2</w:t>
      </w:r>
      <w:r w:rsidRPr="006A1E81">
        <w:rPr>
          <w:snapToGrid w:val="0"/>
        </w:rPr>
        <w:t xml:space="preserve"> conversion, and the background visual range (BVR). </w:t>
      </w:r>
      <w:r>
        <w:rPr>
          <w:snapToGrid w:val="0"/>
        </w:rPr>
        <w:t xml:space="preserve"> </w:t>
      </w:r>
      <w:r w:rsidRPr="006A1E81">
        <w:rPr>
          <w:snapToGrid w:val="0"/>
        </w:rPr>
        <w:t>A default background ozone concentration of 40 ppb should be used within Alaska unless otherwise justified.</w:t>
      </w:r>
      <w:r w:rsidRPr="006A1E81">
        <w:t xml:space="preserve"> </w:t>
      </w:r>
      <w:r>
        <w:t xml:space="preserve"> </w:t>
      </w:r>
      <w:r w:rsidRPr="006A1E81">
        <w:t xml:space="preserve">The assumed BVR, however, can vary by location. </w:t>
      </w:r>
      <w:r>
        <w:t xml:space="preserve"> </w:t>
      </w:r>
      <w:r w:rsidRPr="006A1E81">
        <w:t xml:space="preserve">A </w:t>
      </w:r>
      <w:r w:rsidRPr="006A1E81">
        <w:rPr>
          <w:snapToGrid w:val="0"/>
        </w:rPr>
        <w:t>typical BVR used by applicants located in non-arctic coastal areas, e.g. Aleutians, Western Alaska, and Cook Inlet, has been</w:t>
      </w:r>
      <w:r w:rsidRPr="006A1E81">
        <w:t xml:space="preserve"> 250 km. </w:t>
      </w:r>
      <w:r>
        <w:t xml:space="preserve"> </w:t>
      </w:r>
      <w:r w:rsidRPr="006A1E81">
        <w:t>Interior and North Slope applicants have used a BVR of 258 km, which is based upon past measurements at Denali National Park for the 90</w:t>
      </w:r>
      <w:r w:rsidRPr="006A1E81">
        <w:rPr>
          <w:vertAlign w:val="superscript"/>
        </w:rPr>
        <w:t>th</w:t>
      </w:r>
      <w:r w:rsidRPr="006A1E81">
        <w:t xml:space="preserve"> percentile of visibility observations.</w:t>
      </w:r>
    </w:p>
    <w:p w14:paraId="0B3F0BF2" w14:textId="615627B1" w:rsidR="00AD3806" w:rsidRPr="008E36AB" w:rsidRDefault="00AD3806" w:rsidP="00AD3806">
      <w:pPr>
        <w:rPr>
          <w:snapToGrid w:val="0"/>
        </w:rPr>
      </w:pPr>
      <w:r w:rsidRPr="008E36AB">
        <w:rPr>
          <w:snapToGrid w:val="0"/>
        </w:rPr>
        <w:t>VISCREEN provide</w:t>
      </w:r>
      <w:r w:rsidR="00257C2D">
        <w:rPr>
          <w:snapToGrid w:val="0"/>
        </w:rPr>
        <w:t>s</w:t>
      </w:r>
      <w:r w:rsidRPr="008E36AB">
        <w:rPr>
          <w:snapToGrid w:val="0"/>
        </w:rPr>
        <w:t xml:space="preserve"> results for impacts located both </w:t>
      </w:r>
      <w:r w:rsidRPr="008E36AB">
        <w:rPr>
          <w:snapToGrid w:val="0"/>
          <w:u w:val="single"/>
        </w:rPr>
        <w:t>inside</w:t>
      </w:r>
      <w:r w:rsidRPr="008E36AB">
        <w:rPr>
          <w:snapToGrid w:val="0"/>
        </w:rPr>
        <w:t xml:space="preserve"> and </w:t>
      </w:r>
      <w:r w:rsidRPr="008E36AB">
        <w:rPr>
          <w:snapToGrid w:val="0"/>
          <w:u w:val="single"/>
        </w:rPr>
        <w:t>outside</w:t>
      </w:r>
      <w:r w:rsidRPr="008E36AB">
        <w:rPr>
          <w:snapToGrid w:val="0"/>
        </w:rPr>
        <w:t xml:space="preserve"> a Class I area. According to page 27 of EPA’s </w:t>
      </w:r>
      <w:r w:rsidR="00AE1826">
        <w:rPr>
          <w:snapToGrid w:val="0"/>
        </w:rPr>
        <w:t>W</w:t>
      </w:r>
      <w:r w:rsidR="00AE1826" w:rsidRPr="008E36AB">
        <w:rPr>
          <w:snapToGrid w:val="0"/>
        </w:rPr>
        <w:t>orkbook</w:t>
      </w:r>
      <w:r w:rsidRPr="008E36AB">
        <w:rPr>
          <w:snapToGrid w:val="0"/>
        </w:rPr>
        <w:t xml:space="preserve">, the model results for impacts located outside a Class I area are used in situations where there is an </w:t>
      </w:r>
      <w:r w:rsidR="00257C2D">
        <w:rPr>
          <w:snapToGrid w:val="0"/>
        </w:rPr>
        <w:t>“</w:t>
      </w:r>
      <w:r w:rsidRPr="008E36AB">
        <w:rPr>
          <w:snapToGrid w:val="0"/>
        </w:rPr>
        <w:t>integral vista.</w:t>
      </w:r>
      <w:r w:rsidR="00257C2D">
        <w:rPr>
          <w:snapToGrid w:val="0"/>
        </w:rPr>
        <w:t>”</w:t>
      </w:r>
      <w:r w:rsidRPr="008E36AB">
        <w:rPr>
          <w:snapToGrid w:val="0"/>
        </w:rPr>
        <w:t xml:space="preserve"> </w:t>
      </w:r>
      <w:r w:rsidR="00AE1826">
        <w:rPr>
          <w:snapToGrid w:val="0"/>
        </w:rPr>
        <w:t xml:space="preserve"> </w:t>
      </w:r>
      <w:r w:rsidRPr="008E36AB">
        <w:rPr>
          <w:snapToGrid w:val="0"/>
        </w:rPr>
        <w:t xml:space="preserve">In situations where there are no integral vistas, applicants only need to use the results for impacts located </w:t>
      </w:r>
      <w:r w:rsidRPr="008E36AB">
        <w:rPr>
          <w:snapToGrid w:val="0"/>
          <w:u w:val="single"/>
        </w:rPr>
        <w:t>inside</w:t>
      </w:r>
      <w:r w:rsidRPr="008E36AB">
        <w:rPr>
          <w:snapToGrid w:val="0"/>
        </w:rPr>
        <w:t xml:space="preserve"> a Class I area. Alaska has two integral vistas, both of which are associated with the Denali National Park Class I area. </w:t>
      </w:r>
      <w:r w:rsidR="00AE1826">
        <w:rPr>
          <w:snapToGrid w:val="0"/>
        </w:rPr>
        <w:t xml:space="preserve"> </w:t>
      </w:r>
      <w:r w:rsidRPr="008E36AB">
        <w:rPr>
          <w:snapToGrid w:val="0"/>
        </w:rPr>
        <w:t>There are no integral vistas associated with the other three Class I areas within the State.</w:t>
      </w:r>
    </w:p>
    <w:p w14:paraId="0CBA0395" w14:textId="74CCEAAE" w:rsidR="00AD3806" w:rsidRPr="008E36AB" w:rsidRDefault="00AD3806" w:rsidP="00AD3806">
      <w:pPr>
        <w:tabs>
          <w:tab w:val="left" w:pos="-748"/>
          <w:tab w:val="right" w:pos="-225"/>
          <w:tab w:val="left" w:pos="-4"/>
          <w:tab w:val="right" w:pos="5724"/>
          <w:tab w:val="left" w:pos="5967"/>
        </w:tabs>
        <w:rPr>
          <w:snapToGrid w:val="0"/>
        </w:rPr>
      </w:pPr>
      <w:r w:rsidRPr="008E36AB">
        <w:t xml:space="preserve">VISCREEN includes Class I visibility thresholds to denote when plume blight could occur. </w:t>
      </w:r>
      <w:r w:rsidR="00AE1826">
        <w:t xml:space="preserve"> </w:t>
      </w:r>
      <w:r w:rsidRPr="008E36AB">
        <w:t>While non-binding, most applicants endeavor to demonstrate that their modeled impacts will not exceed these thresholds</w:t>
      </w:r>
      <w:r w:rsidR="00B67921">
        <w:t xml:space="preserve"> within a Class I area</w:t>
      </w:r>
      <w:r w:rsidRPr="008E36AB">
        <w:t xml:space="preserve">. </w:t>
      </w:r>
      <w:r w:rsidR="00AE1826">
        <w:t xml:space="preserve"> </w:t>
      </w:r>
      <w:r w:rsidRPr="008E36AB">
        <w:t>When running VISCREEN under</w:t>
      </w:r>
      <w:r w:rsidRPr="008E36AB">
        <w:rPr>
          <w:snapToGrid w:val="0"/>
        </w:rPr>
        <w:t xml:space="preserve"> its default “Level 1” analysis, the model uses a worst-case stability class (F) and wind speed (1 meter/sec) to generate estimated results. </w:t>
      </w:r>
      <w:r w:rsidR="00AE1826">
        <w:rPr>
          <w:snapToGrid w:val="0"/>
        </w:rPr>
        <w:t xml:space="preserve"> </w:t>
      </w:r>
      <w:r w:rsidRPr="008E36AB">
        <w:t>VISCREEN can also be run under a slightly less conservative regime to help refine the estimates of plume blight.</w:t>
      </w:r>
      <w:r w:rsidRPr="008E36AB">
        <w:rPr>
          <w:snapToGrid w:val="0"/>
        </w:rPr>
        <w:t xml:space="preserve"> In a “Level 2” analysis, the modeler uses more representative plume travel times and actual local meteorological conditions.</w:t>
      </w:r>
    </w:p>
    <w:p w14:paraId="5728153D" w14:textId="3590F0D5" w:rsidR="00AD3806" w:rsidRPr="008E36AB" w:rsidRDefault="00AD3806" w:rsidP="00AD3806">
      <w:pPr>
        <w:tabs>
          <w:tab w:val="left" w:pos="-748"/>
          <w:tab w:val="right" w:pos="-225"/>
          <w:tab w:val="left" w:pos="-4"/>
          <w:tab w:val="right" w:pos="5724"/>
          <w:tab w:val="left" w:pos="5967"/>
        </w:tabs>
        <w:rPr>
          <w:snapToGrid w:val="0"/>
        </w:rPr>
      </w:pPr>
      <w:r w:rsidRPr="008E36AB">
        <w:rPr>
          <w:snapToGrid w:val="0"/>
        </w:rPr>
        <w:lastRenderedPageBreak/>
        <w:t xml:space="preserve">The most important step in a Level 2 analysis is determining the meteorological conditions, i.e. wind speed and stability class, that lead to a worst-case scenario. </w:t>
      </w:r>
      <w:r w:rsidR="00AE1826">
        <w:rPr>
          <w:snapToGrid w:val="0"/>
        </w:rPr>
        <w:t xml:space="preserve"> </w:t>
      </w:r>
      <w:r w:rsidRPr="008E36AB">
        <w:rPr>
          <w:snapToGrid w:val="0"/>
        </w:rPr>
        <w:t xml:space="preserve">The joint frequency of these parameters measured at or near the stationary source or Class I area and the persistence of these conditions should be considered in making this determination. </w:t>
      </w:r>
      <w:r w:rsidR="00AE1826">
        <w:rPr>
          <w:snapToGrid w:val="0"/>
        </w:rPr>
        <w:t xml:space="preserve"> </w:t>
      </w:r>
      <w:r w:rsidRPr="008E36AB">
        <w:rPr>
          <w:snapToGrid w:val="0"/>
        </w:rPr>
        <w:t xml:space="preserve">As cited in </w:t>
      </w:r>
      <w:r w:rsidR="00AE1826">
        <w:rPr>
          <w:snapToGrid w:val="0"/>
        </w:rPr>
        <w:t>the Workbook</w:t>
      </w:r>
      <w:r w:rsidRPr="008E36AB">
        <w:rPr>
          <w:snapToGrid w:val="0"/>
        </w:rPr>
        <w:t>, “</w:t>
      </w:r>
      <w:r w:rsidRPr="008E36AB">
        <w:rPr>
          <w:i/>
          <w:snapToGrid w:val="0"/>
        </w:rPr>
        <w:t>Any assessment of plume visual impacts is limited by the availability, representativeness, and quality of the meteorological data.</w:t>
      </w:r>
      <w:r w:rsidRPr="008E36AB">
        <w:rPr>
          <w:snapToGrid w:val="0"/>
        </w:rPr>
        <w:t>”</w:t>
      </w:r>
    </w:p>
    <w:p w14:paraId="37C3A226" w14:textId="798C253D" w:rsidR="00AD3806" w:rsidRPr="008E36AB" w:rsidRDefault="00AD3806" w:rsidP="00AD3806">
      <w:r w:rsidRPr="008E36AB">
        <w:t xml:space="preserve">Plume travel time can also be a factor in determining the worst-case scenario. </w:t>
      </w:r>
      <w:r w:rsidR="00AE1826">
        <w:t xml:space="preserve"> </w:t>
      </w:r>
      <w:r w:rsidRPr="008E36AB">
        <w:t xml:space="preserve">The </w:t>
      </w:r>
      <w:r w:rsidR="00B67921">
        <w:t>W</w:t>
      </w:r>
      <w:r w:rsidRPr="008E36AB">
        <w:t>orkbook</w:t>
      </w:r>
      <w:r w:rsidRPr="008E36AB">
        <w:rPr>
          <w:i/>
        </w:rPr>
        <w:t xml:space="preserve"> </w:t>
      </w:r>
      <w:r w:rsidRPr="008E36AB">
        <w:t>states that “</w:t>
      </w:r>
      <w:r w:rsidRPr="008E36AB">
        <w:rPr>
          <w:i/>
        </w:rPr>
        <w:t xml:space="preserve">[f]or the </w:t>
      </w:r>
      <w:proofErr w:type="gramStart"/>
      <w:r w:rsidRPr="008E36AB">
        <w:rPr>
          <w:i/>
        </w:rPr>
        <w:t>Level-2</w:t>
      </w:r>
      <w:proofErr w:type="gramEnd"/>
      <w:r w:rsidRPr="008E36AB">
        <w:rPr>
          <w:i/>
        </w:rPr>
        <w:t xml:space="preserve"> screening analysis, we assume it is unlikely that steady-state plume conditions will persists for more than 12 hours.</w:t>
      </w:r>
      <w:r w:rsidRPr="008E36AB">
        <w:t xml:space="preserve">” </w:t>
      </w:r>
      <w:r w:rsidR="00AE1826">
        <w:t xml:space="preserve"> </w:t>
      </w:r>
      <w:r w:rsidRPr="008E36AB">
        <w:t>The user may, therefore, determine and use the minimum wind speed needed for the plume to travel to the Class I area within 12 hours.</w:t>
      </w:r>
    </w:p>
    <w:p w14:paraId="67304F3D" w14:textId="1473DC7F" w:rsidR="00AD3806" w:rsidRPr="008E36AB" w:rsidRDefault="00AD3806" w:rsidP="00AD3806">
      <w:r w:rsidRPr="008E36AB">
        <w:t xml:space="preserve">The maximum range of VISCREEN is 50 km. </w:t>
      </w:r>
      <w:r w:rsidR="00AE1826">
        <w:t xml:space="preserve"> </w:t>
      </w:r>
      <w:r w:rsidRPr="008E36AB">
        <w:t xml:space="preserve">A common approach for using VISCREEN when the nearest Class I area lies beyond this range is to use the 50 km maximum range as the source to observer distance. </w:t>
      </w:r>
      <w:r w:rsidR="00AE1826">
        <w:t xml:space="preserve"> </w:t>
      </w:r>
      <w:r w:rsidRPr="008E36AB">
        <w:t>The approach provides the “upper bound” of the plume blight impa</w:t>
      </w:r>
      <w:r>
        <w:t xml:space="preserve">cts at more distant locations. </w:t>
      </w:r>
      <w:r w:rsidR="00AE1826">
        <w:t xml:space="preserve"> </w:t>
      </w:r>
      <w:r w:rsidRPr="008E36AB">
        <w:t xml:space="preserve">50 km is also used as the “nearest” source to boundary distance (see page 24 of </w:t>
      </w:r>
      <w:r>
        <w:t xml:space="preserve">the </w:t>
      </w:r>
      <w:r w:rsidR="00B67921">
        <w:t>W</w:t>
      </w:r>
      <w:r>
        <w:t>orkbook</w:t>
      </w:r>
      <w:r w:rsidRPr="008E36AB">
        <w:t xml:space="preserve">). </w:t>
      </w:r>
      <w:r w:rsidR="00AE1826">
        <w:t xml:space="preserve"> </w:t>
      </w:r>
      <w:r w:rsidRPr="008E36AB">
        <w:t>For the “farthest” distance, applicants typically just added the approximate width of the nearest Class I area to the 50 km range.</w:t>
      </w:r>
    </w:p>
    <w:p w14:paraId="33217CCE" w14:textId="28EE58FB" w:rsidR="00513FDD" w:rsidRDefault="00513FDD">
      <w:pPr>
        <w:rPr>
          <w:snapToGrid w:val="0"/>
        </w:rPr>
      </w:pPr>
    </w:p>
    <w:p w14:paraId="2D0564BF" w14:textId="77777777" w:rsidR="006E4D84" w:rsidRDefault="00A97DCA" w:rsidP="006E4D84">
      <w:pPr>
        <w:spacing w:after="0"/>
      </w:pPr>
      <w:r>
        <w:rPr>
          <w:b/>
          <w:snapToGrid w:val="0"/>
        </w:rPr>
        <w:br w:type="page"/>
      </w:r>
    </w:p>
    <w:p w14:paraId="55B6BA7B" w14:textId="77777777" w:rsidR="009A01E5" w:rsidRDefault="009A01E5">
      <w:pPr>
        <w:rPr>
          <w:b/>
          <w:snapToGrid w:val="0"/>
        </w:rPr>
      </w:pPr>
      <w:r>
        <w:rPr>
          <w:b/>
          <w:snapToGrid w:val="0"/>
        </w:rPr>
        <w:lastRenderedPageBreak/>
        <w:t>AERMOD</w:t>
      </w:r>
    </w:p>
    <w:p w14:paraId="50518862" w14:textId="4CA9E938" w:rsidR="00BC3B56" w:rsidRDefault="00055F5D">
      <w:pPr>
        <w:rPr>
          <w:snapToGrid w:val="0"/>
        </w:rPr>
      </w:pPr>
      <w:r>
        <w:rPr>
          <w:snapToGrid w:val="0"/>
        </w:rPr>
        <w:t xml:space="preserve">EPA promulgated </w:t>
      </w:r>
      <w:r w:rsidR="00995CC9">
        <w:rPr>
          <w:snapToGrid w:val="0"/>
        </w:rPr>
        <w:t xml:space="preserve">the </w:t>
      </w:r>
      <w:r w:rsidRPr="00CC75FD">
        <w:rPr>
          <w:snapToGrid w:val="0"/>
        </w:rPr>
        <w:t>AER</w:t>
      </w:r>
      <w:r w:rsidR="009A01E5" w:rsidRPr="00CC75FD">
        <w:rPr>
          <w:snapToGrid w:val="0"/>
        </w:rPr>
        <w:t xml:space="preserve">MOD </w:t>
      </w:r>
      <w:r w:rsidR="00995CC9" w:rsidRPr="00CC75FD">
        <w:rPr>
          <w:snapToGrid w:val="0"/>
        </w:rPr>
        <w:t>Modeling System</w:t>
      </w:r>
      <w:r w:rsidR="00995CC9">
        <w:rPr>
          <w:snapToGrid w:val="0"/>
        </w:rPr>
        <w:t xml:space="preserve"> (which includes AERMOD, AERMAP</w:t>
      </w:r>
      <w:r w:rsidR="00BC3B56">
        <w:rPr>
          <w:snapToGrid w:val="0"/>
        </w:rPr>
        <w:t>,</w:t>
      </w:r>
      <w:r w:rsidR="00995CC9">
        <w:rPr>
          <w:snapToGrid w:val="0"/>
        </w:rPr>
        <w:t xml:space="preserve"> and AERMET) </w:t>
      </w:r>
      <w:r>
        <w:rPr>
          <w:snapToGrid w:val="0"/>
        </w:rPr>
        <w:t xml:space="preserve">as a preferred </w:t>
      </w:r>
      <w:r w:rsidR="00506261" w:rsidRPr="00C42099">
        <w:rPr>
          <w:snapToGrid w:val="0"/>
        </w:rPr>
        <w:t>Guideline</w:t>
      </w:r>
      <w:r w:rsidR="00506261">
        <w:rPr>
          <w:snapToGrid w:val="0"/>
        </w:rPr>
        <w:t xml:space="preserve"> </w:t>
      </w:r>
      <w:r>
        <w:rPr>
          <w:snapToGrid w:val="0"/>
        </w:rPr>
        <w:t>model</w:t>
      </w:r>
      <w:r w:rsidR="00756CF2">
        <w:rPr>
          <w:snapToGrid w:val="0"/>
        </w:rPr>
        <w:t xml:space="preserve"> </w:t>
      </w:r>
      <w:r w:rsidR="00DA0B68">
        <w:rPr>
          <w:snapToGrid w:val="0"/>
        </w:rPr>
        <w:t xml:space="preserve">for on-shore, near-field assessments, </w:t>
      </w:r>
      <w:r>
        <w:rPr>
          <w:snapToGrid w:val="0"/>
        </w:rPr>
        <w:t>on November 9, 2005</w:t>
      </w:r>
      <w:r w:rsidR="00653BE6">
        <w:rPr>
          <w:snapToGrid w:val="0"/>
        </w:rPr>
        <w:t xml:space="preserve">.  </w:t>
      </w:r>
      <w:r w:rsidR="00BC3B56">
        <w:rPr>
          <w:snapToGrid w:val="0"/>
        </w:rPr>
        <w:t xml:space="preserve">As stated in Section A.1 of the </w:t>
      </w:r>
      <w:hyperlink r:id="rId199" w:history="1">
        <w:r w:rsidR="00BC3B56" w:rsidRPr="00C42099">
          <w:rPr>
            <w:rStyle w:val="Hyperlink"/>
            <w:snapToGrid w:val="0"/>
          </w:rPr>
          <w:t>Guideline</w:t>
        </w:r>
      </w:hyperlink>
      <w:r w:rsidR="00BC3B56">
        <w:rPr>
          <w:snapToGrid w:val="0"/>
        </w:rPr>
        <w:t>:</w:t>
      </w:r>
    </w:p>
    <w:p w14:paraId="5E1CE17D" w14:textId="690DBC1E" w:rsidR="009A01E5" w:rsidRDefault="00BC3B56" w:rsidP="00BC3B56">
      <w:pPr>
        <w:ind w:left="720" w:right="720"/>
        <w:rPr>
          <w:snapToGrid w:val="0"/>
        </w:rPr>
      </w:pPr>
      <w:r>
        <w:rPr>
          <w:snapToGrid w:val="0"/>
        </w:rPr>
        <w:t xml:space="preserve">AERMOD is a steady-state plume dispersion model for assessment of pollutant concentrations from a variety of sources. AERMOD simulates transport and dispersion from multiple </w:t>
      </w:r>
      <w:proofErr w:type="gramStart"/>
      <w:r>
        <w:rPr>
          <w:snapToGrid w:val="0"/>
        </w:rPr>
        <w:t>point</w:t>
      </w:r>
      <w:proofErr w:type="gramEnd"/>
      <w:r>
        <w:rPr>
          <w:snapToGrid w:val="0"/>
        </w:rPr>
        <w:t xml:space="preserve">, </w:t>
      </w:r>
      <w:proofErr w:type="gramStart"/>
      <w:r>
        <w:rPr>
          <w:snapToGrid w:val="0"/>
        </w:rPr>
        <w:t>area</w:t>
      </w:r>
      <w:proofErr w:type="gramEnd"/>
      <w:r>
        <w:rPr>
          <w:snapToGrid w:val="0"/>
        </w:rPr>
        <w:t xml:space="preserve">, or volume sources based on an up-to-date characterization of the atmospheric boundary layer. Sources may </w:t>
      </w:r>
      <w:proofErr w:type="gramStart"/>
      <w:r>
        <w:rPr>
          <w:snapToGrid w:val="0"/>
        </w:rPr>
        <w:t>be located in</w:t>
      </w:r>
      <w:proofErr w:type="gramEnd"/>
      <w:r>
        <w:rPr>
          <w:snapToGrid w:val="0"/>
        </w:rPr>
        <w:t xml:space="preserve"> rural or urban areas, and receptors may </w:t>
      </w:r>
      <w:proofErr w:type="gramStart"/>
      <w:r>
        <w:rPr>
          <w:snapToGrid w:val="0"/>
        </w:rPr>
        <w:t>be located in</w:t>
      </w:r>
      <w:proofErr w:type="gramEnd"/>
      <w:r>
        <w:rPr>
          <w:snapToGrid w:val="0"/>
        </w:rPr>
        <w:t xml:space="preserve"> simple or complex terrain.  </w:t>
      </w:r>
    </w:p>
    <w:p w14:paraId="4612C1A8" w14:textId="7CFB18F4" w:rsidR="00092350" w:rsidRDefault="00092350" w:rsidP="00092350">
      <w:pPr>
        <w:rPr>
          <w:snapToGrid w:val="0"/>
        </w:rPr>
      </w:pPr>
      <w:r>
        <w:rPr>
          <w:snapToGrid w:val="0"/>
        </w:rPr>
        <w:t xml:space="preserve">EPA has posted additional guidance regarding the AERMOD Modeling System on their </w:t>
      </w:r>
      <w:hyperlink r:id="rId200" w:history="1">
        <w:r w:rsidRPr="007D797A">
          <w:rPr>
            <w:rStyle w:val="Hyperlink"/>
            <w:snapToGrid w:val="0"/>
          </w:rPr>
          <w:t>SCRAM</w:t>
        </w:r>
      </w:hyperlink>
      <w:r>
        <w:rPr>
          <w:snapToGrid w:val="0"/>
        </w:rPr>
        <w:t xml:space="preserve"> website.  This additional guidance is entitled, “</w:t>
      </w:r>
      <w:hyperlink r:id="rId201" w:history="1">
        <w:r w:rsidRPr="00CC75FD">
          <w:rPr>
            <w:rStyle w:val="Hyperlink"/>
            <w:i/>
            <w:snapToGrid w:val="0"/>
          </w:rPr>
          <w:t>AERMOD Implementation Guide</w:t>
        </w:r>
      </w:hyperlink>
      <w:r>
        <w:rPr>
          <w:snapToGrid w:val="0"/>
        </w:rPr>
        <w:t>” (</w:t>
      </w:r>
      <w:r w:rsidR="00373390">
        <w:rPr>
          <w:snapToGrid w:val="0"/>
        </w:rPr>
        <w:t>April 2018</w:t>
      </w:r>
      <w:r>
        <w:rPr>
          <w:snapToGrid w:val="0"/>
        </w:rPr>
        <w:t>).  This document provides many recommendations and requirements for conducting dispersion modeling with AERMOD.</w:t>
      </w:r>
    </w:p>
    <w:p w14:paraId="589C2BA9" w14:textId="77777777" w:rsidR="00092350" w:rsidRDefault="00092350" w:rsidP="00092350">
      <w:pPr>
        <w:rPr>
          <w:snapToGrid w:val="0"/>
        </w:rPr>
      </w:pPr>
      <w:r>
        <w:rPr>
          <w:snapToGrid w:val="0"/>
        </w:rPr>
        <w:t>Model Change Bulletins, issued with each release, should be checked for important information about bug fixes, updates and enhancements, and other miscellaneous items (note that each component in the AERMOD Modeling System has its own set of model change bulletins).</w:t>
      </w:r>
    </w:p>
    <w:p w14:paraId="095CBEDC" w14:textId="2058D960" w:rsidR="00092350" w:rsidRDefault="00092350" w:rsidP="00092350">
      <w:pPr>
        <w:rPr>
          <w:snapToGrid w:val="0"/>
        </w:rPr>
      </w:pPr>
      <w:r>
        <w:rPr>
          <w:snapToGrid w:val="0"/>
        </w:rPr>
        <w:t>The EPA website has many documents that can be examined that describe some of the science, development, and evaluation of AERMOD.  These documents may provide some insight into model results if there is something that may not seem correct.</w:t>
      </w:r>
    </w:p>
    <w:p w14:paraId="15036C54" w14:textId="77777777" w:rsidR="00FE389F" w:rsidRDefault="00FE389F" w:rsidP="00FE389F">
      <w:pPr>
        <w:rPr>
          <w:snapToGrid w:val="0"/>
        </w:rPr>
      </w:pPr>
      <w:r>
        <w:rPr>
          <w:snapToGrid w:val="0"/>
        </w:rPr>
        <w:t xml:space="preserve">Allocatable arrays have been implemented in AERMOD for most arrays.  This means the user does not have to be (too) concerned about the number of receptors, sources, source groups, etc.  The only limitation is based on the amount of available </w:t>
      </w:r>
      <w:proofErr w:type="gramStart"/>
      <w:r>
        <w:rPr>
          <w:snapToGrid w:val="0"/>
        </w:rPr>
        <w:t>random access</w:t>
      </w:r>
      <w:proofErr w:type="gramEnd"/>
      <w:r>
        <w:rPr>
          <w:snapToGrid w:val="0"/>
        </w:rPr>
        <w:t xml:space="preserve"> memory (RAM).  If the input exceeds the available RAM, AERMOD will issue an error message and not perform the model run.</w:t>
      </w:r>
    </w:p>
    <w:p w14:paraId="3F5F85EB" w14:textId="77777777" w:rsidR="00E70842" w:rsidRDefault="00E70842" w:rsidP="00FE389F">
      <w:pPr>
        <w:rPr>
          <w:snapToGrid w:val="0"/>
        </w:rPr>
      </w:pPr>
      <w:r>
        <w:rPr>
          <w:snapToGrid w:val="0"/>
        </w:rPr>
        <w:t>The</w:t>
      </w:r>
      <w:r w:rsidR="00C371CE">
        <w:rPr>
          <w:snapToGrid w:val="0"/>
        </w:rPr>
        <w:t xml:space="preserve"> repeatable </w:t>
      </w:r>
      <w:r w:rsidR="006470DF">
        <w:rPr>
          <w:snapToGrid w:val="0"/>
        </w:rPr>
        <w:t xml:space="preserve">keyword </w:t>
      </w:r>
      <w:r w:rsidR="00C371CE">
        <w:rPr>
          <w:snapToGrid w:val="0"/>
        </w:rPr>
        <w:t xml:space="preserve">INCLUDED </w:t>
      </w:r>
      <w:r>
        <w:rPr>
          <w:snapToGrid w:val="0"/>
        </w:rPr>
        <w:t xml:space="preserve">can be specified </w:t>
      </w:r>
      <w:r w:rsidR="00C371CE">
        <w:rPr>
          <w:snapToGrid w:val="0"/>
        </w:rPr>
        <w:t xml:space="preserve">on </w:t>
      </w:r>
      <w:r>
        <w:rPr>
          <w:snapToGrid w:val="0"/>
        </w:rPr>
        <w:t>several pathways</w:t>
      </w:r>
      <w:r w:rsidR="00C371CE">
        <w:rPr>
          <w:snapToGrid w:val="0"/>
        </w:rPr>
        <w:t xml:space="preserve"> in the</w:t>
      </w:r>
      <w:r>
        <w:rPr>
          <w:snapToGrid w:val="0"/>
        </w:rPr>
        <w:t xml:space="preserve"> AERMOD</w:t>
      </w:r>
      <w:r w:rsidR="00C371CE">
        <w:rPr>
          <w:snapToGrid w:val="0"/>
        </w:rPr>
        <w:t xml:space="preserve"> input control file.  With this keyword, the user </w:t>
      </w:r>
      <w:r w:rsidR="00236ED3">
        <w:rPr>
          <w:snapToGrid w:val="0"/>
        </w:rPr>
        <w:t>identifies</w:t>
      </w:r>
      <w:r w:rsidR="00C371CE">
        <w:rPr>
          <w:snapToGrid w:val="0"/>
        </w:rPr>
        <w:t xml:space="preserve"> </w:t>
      </w:r>
      <w:r w:rsidR="00236ED3">
        <w:rPr>
          <w:snapToGrid w:val="0"/>
        </w:rPr>
        <w:t>an</w:t>
      </w:r>
      <w:r>
        <w:rPr>
          <w:snapToGrid w:val="0"/>
        </w:rPr>
        <w:t xml:space="preserve"> </w:t>
      </w:r>
      <w:r w:rsidR="00C371CE">
        <w:rPr>
          <w:snapToGrid w:val="0"/>
        </w:rPr>
        <w:t>external file to ‘include’ in the control file.</w:t>
      </w:r>
      <w:r w:rsidR="00236ED3">
        <w:rPr>
          <w:snapToGrid w:val="0"/>
        </w:rPr>
        <w:t xml:space="preserve">  </w:t>
      </w:r>
      <w:r>
        <w:rPr>
          <w:snapToGrid w:val="0"/>
        </w:rPr>
        <w:t>Each</w:t>
      </w:r>
      <w:r w:rsidR="006470DF">
        <w:rPr>
          <w:snapToGrid w:val="0"/>
        </w:rPr>
        <w:t xml:space="preserve"> </w:t>
      </w:r>
      <w:r>
        <w:rPr>
          <w:snapToGrid w:val="0"/>
        </w:rPr>
        <w:t>INCLUDED file must contain only information for the pathway under which it appears.  Sources and associated parameters and building information (SO pathway)</w:t>
      </w:r>
      <w:r w:rsidR="00C371CE">
        <w:rPr>
          <w:snapToGrid w:val="0"/>
        </w:rPr>
        <w:t>, receptors</w:t>
      </w:r>
      <w:r>
        <w:rPr>
          <w:snapToGrid w:val="0"/>
        </w:rPr>
        <w:t xml:space="preserve"> (RE pathway)</w:t>
      </w:r>
      <w:r w:rsidR="00C371CE">
        <w:rPr>
          <w:snapToGrid w:val="0"/>
        </w:rPr>
        <w:t>, event data</w:t>
      </w:r>
      <w:r>
        <w:rPr>
          <w:snapToGrid w:val="0"/>
        </w:rPr>
        <w:t xml:space="preserve"> (EV pathway) can be included in the model run with this keyword.  </w:t>
      </w:r>
      <w:r w:rsidR="00236ED3">
        <w:rPr>
          <w:snapToGrid w:val="0"/>
        </w:rPr>
        <w:t xml:space="preserve">Since the keyword can be repeated on each pathway, the user could divide the content into multiple files to better control, for example, which sources to include in a particular model run.  </w:t>
      </w:r>
    </w:p>
    <w:p w14:paraId="4EA15313" w14:textId="77777777" w:rsidR="00C371CE" w:rsidRDefault="006470DF" w:rsidP="00FE389F">
      <w:pPr>
        <w:rPr>
          <w:snapToGrid w:val="0"/>
        </w:rPr>
      </w:pPr>
      <w:r>
        <w:rPr>
          <w:snapToGrid w:val="0"/>
        </w:rPr>
        <w:t>Using INCLUDED</w:t>
      </w:r>
      <w:r w:rsidR="00E70842">
        <w:rPr>
          <w:snapToGrid w:val="0"/>
        </w:rPr>
        <w:t xml:space="preserve"> files can help reduce the size of </w:t>
      </w:r>
      <w:r w:rsidR="008C01E6">
        <w:rPr>
          <w:snapToGrid w:val="0"/>
        </w:rPr>
        <w:t>the</w:t>
      </w:r>
      <w:r w:rsidR="00E70842">
        <w:rPr>
          <w:snapToGrid w:val="0"/>
        </w:rPr>
        <w:t xml:space="preserve"> control file</w:t>
      </w:r>
      <w:r w:rsidR="009625A3">
        <w:rPr>
          <w:snapToGrid w:val="0"/>
        </w:rPr>
        <w:t>, as well as t</w:t>
      </w:r>
      <w:r w:rsidR="00E70842">
        <w:rPr>
          <w:snapToGrid w:val="0"/>
        </w:rPr>
        <w:t xml:space="preserve">he output file from AERMOD </w:t>
      </w:r>
      <w:r w:rsidR="009625A3">
        <w:rPr>
          <w:snapToGrid w:val="0"/>
        </w:rPr>
        <w:t xml:space="preserve">since the </w:t>
      </w:r>
      <w:r w:rsidR="00E70842">
        <w:rPr>
          <w:snapToGrid w:val="0"/>
        </w:rPr>
        <w:t xml:space="preserve">content of the </w:t>
      </w:r>
      <w:r w:rsidR="009625A3">
        <w:rPr>
          <w:snapToGrid w:val="0"/>
        </w:rPr>
        <w:t>INCLUDED</w:t>
      </w:r>
      <w:r w:rsidR="00E70842">
        <w:rPr>
          <w:snapToGrid w:val="0"/>
        </w:rPr>
        <w:t xml:space="preserve"> files</w:t>
      </w:r>
      <w:r w:rsidR="009625A3">
        <w:rPr>
          <w:snapToGrid w:val="0"/>
        </w:rPr>
        <w:t xml:space="preserve"> is</w:t>
      </w:r>
      <w:r w:rsidR="009625A3" w:rsidRPr="00956909">
        <w:rPr>
          <w:snapToGrid w:val="0"/>
          <w:u w:val="single"/>
        </w:rPr>
        <w:t xml:space="preserve"> NOT</w:t>
      </w:r>
      <w:r w:rsidR="009625A3">
        <w:rPr>
          <w:snapToGrid w:val="0"/>
        </w:rPr>
        <w:t xml:space="preserve"> printed in the output file</w:t>
      </w:r>
      <w:r w:rsidR="00E70842">
        <w:rPr>
          <w:snapToGrid w:val="0"/>
        </w:rPr>
        <w:t xml:space="preserve">.  </w:t>
      </w:r>
      <w:r>
        <w:rPr>
          <w:snapToGrid w:val="0"/>
        </w:rPr>
        <w:t>Confirm that</w:t>
      </w:r>
      <w:r w:rsidR="00E70842">
        <w:rPr>
          <w:snapToGrid w:val="0"/>
        </w:rPr>
        <w:t xml:space="preserve"> the applicant included the </w:t>
      </w:r>
      <w:r w:rsidR="00954FAA">
        <w:rPr>
          <w:snapToGrid w:val="0"/>
        </w:rPr>
        <w:t xml:space="preserve">correct </w:t>
      </w:r>
      <w:r w:rsidR="00E70842">
        <w:rPr>
          <w:snapToGrid w:val="0"/>
        </w:rPr>
        <w:t>INCLUDED files with the submittal</w:t>
      </w:r>
      <w:r w:rsidR="00954FAA">
        <w:rPr>
          <w:snapToGrid w:val="0"/>
        </w:rPr>
        <w:t>.</w:t>
      </w:r>
      <w:r w:rsidR="00E70842">
        <w:rPr>
          <w:snapToGrid w:val="0"/>
        </w:rPr>
        <w:t xml:space="preserve"> </w:t>
      </w:r>
      <w:r>
        <w:rPr>
          <w:snapToGrid w:val="0"/>
        </w:rPr>
        <w:t xml:space="preserve"> Since the content of INCLUDED files </w:t>
      </w:r>
      <w:r w:rsidR="009625A3">
        <w:rPr>
          <w:snapToGrid w:val="0"/>
        </w:rPr>
        <w:t>is</w:t>
      </w:r>
      <w:r>
        <w:rPr>
          <w:snapToGrid w:val="0"/>
        </w:rPr>
        <w:t xml:space="preserve"> not printed in the AERMOD output </w:t>
      </w:r>
      <w:r>
        <w:rPr>
          <w:snapToGrid w:val="0"/>
        </w:rPr>
        <w:lastRenderedPageBreak/>
        <w:t xml:space="preserve">file, care must be used to ensure </w:t>
      </w:r>
      <w:r w:rsidR="00E70842">
        <w:rPr>
          <w:snapToGrid w:val="0"/>
        </w:rPr>
        <w:t>the same files were used in the modeling as submitted with the application.</w:t>
      </w:r>
    </w:p>
    <w:p w14:paraId="776F463E" w14:textId="77777777" w:rsidR="009A01E5" w:rsidRDefault="009A01E5" w:rsidP="00500A85">
      <w:pPr>
        <w:keepNext/>
        <w:rPr>
          <w:b/>
          <w:snapToGrid w:val="0"/>
        </w:rPr>
      </w:pPr>
      <w:r>
        <w:rPr>
          <w:b/>
          <w:snapToGrid w:val="0"/>
        </w:rPr>
        <w:t>AERMAP</w:t>
      </w:r>
    </w:p>
    <w:p w14:paraId="02E6BDE6" w14:textId="4EB4CE27" w:rsidR="00B714F2" w:rsidRDefault="009A01E5">
      <w:pPr>
        <w:rPr>
          <w:snapToGrid w:val="0"/>
        </w:rPr>
      </w:pPr>
      <w:r>
        <w:rPr>
          <w:snapToGrid w:val="0"/>
        </w:rPr>
        <w:t>Section 2.</w:t>
      </w:r>
      <w:r w:rsidR="00B0648D">
        <w:rPr>
          <w:snapToGrid w:val="0"/>
        </w:rPr>
        <w:t>1.1</w:t>
      </w:r>
      <w:r>
        <w:rPr>
          <w:snapToGrid w:val="0"/>
        </w:rPr>
        <w:t xml:space="preserve"> of the </w:t>
      </w:r>
      <w:hyperlink r:id="rId202" w:history="1">
        <w:r w:rsidR="00DB55CC" w:rsidRPr="00DB55CC">
          <w:rPr>
            <w:rStyle w:val="Hyperlink"/>
            <w:snapToGrid w:val="0"/>
          </w:rPr>
          <w:t>AERMAP User’s Guide</w:t>
        </w:r>
      </w:hyperlink>
      <w:r w:rsidR="00B0648D">
        <w:rPr>
          <w:snapToGrid w:val="0"/>
        </w:rPr>
        <w:t xml:space="preserve"> </w:t>
      </w:r>
      <w:r>
        <w:rPr>
          <w:snapToGrid w:val="0"/>
        </w:rPr>
        <w:t>presents a nice discussion of horizontal datum.  AERMAP allows for coordinate conversion between NAD27 and NAD83.  Fourteen conversion files must be loaded in the same file directory as the executable version of AERMAP.  These files are identified by their file name extensions (*.las and *.</w:t>
      </w:r>
      <w:proofErr w:type="spellStart"/>
      <w:r>
        <w:rPr>
          <w:snapToGrid w:val="0"/>
        </w:rPr>
        <w:t>los</w:t>
      </w:r>
      <w:proofErr w:type="spellEnd"/>
      <w:r>
        <w:rPr>
          <w:snapToGrid w:val="0"/>
        </w:rPr>
        <w:t>).  AERMAP will not run without these files, even if no coordinate transfer is requested.</w:t>
      </w:r>
      <w:r w:rsidR="00F523CE">
        <w:rPr>
          <w:snapToGrid w:val="0"/>
        </w:rPr>
        <w:t xml:space="preserve">  AERMAP can now process elevation data files from the National Elevation Dataset (NED) in </w:t>
      </w:r>
      <w:proofErr w:type="spellStart"/>
      <w:r w:rsidR="00F523CE">
        <w:rPr>
          <w:snapToGrid w:val="0"/>
        </w:rPr>
        <w:t>GeoTIFF</w:t>
      </w:r>
      <w:proofErr w:type="spellEnd"/>
      <w:r w:rsidR="00F523CE">
        <w:rPr>
          <w:snapToGrid w:val="0"/>
        </w:rPr>
        <w:t xml:space="preserve"> format.  The use of NED data is now preferred over USGS DEM files because they are updated regularly.</w:t>
      </w:r>
      <w:r w:rsidR="008379A3">
        <w:rPr>
          <w:snapToGrid w:val="0"/>
        </w:rPr>
        <w:t xml:space="preserve">  NED data </w:t>
      </w:r>
      <w:r w:rsidR="00B714F2">
        <w:rPr>
          <w:snapToGrid w:val="0"/>
        </w:rPr>
        <w:t xml:space="preserve">can be obtained from the USGS via the National Map Viewer at </w:t>
      </w:r>
      <w:hyperlink r:id="rId203" w:history="1">
        <w:r w:rsidR="00DB55CC">
          <w:rPr>
            <w:rStyle w:val="Hyperlink"/>
            <w:snapToGrid w:val="0"/>
          </w:rPr>
          <w:t>https://www.usgs.gov/core-science-systems/ngp/tnm-delivery/</w:t>
        </w:r>
      </w:hyperlink>
      <w:r w:rsidR="00B714F2">
        <w:rPr>
          <w:snapToGrid w:val="0"/>
        </w:rPr>
        <w:t>.</w:t>
      </w:r>
    </w:p>
    <w:p w14:paraId="690FE051" w14:textId="77777777" w:rsidR="00B04880" w:rsidRDefault="004477BA" w:rsidP="00B04880">
      <w:pPr>
        <w:rPr>
          <w:snapToGrid w:val="0"/>
        </w:rPr>
      </w:pPr>
      <w:r>
        <w:rPr>
          <w:snapToGrid w:val="0"/>
        </w:rPr>
        <w:t>As noted above, AERMAP can process a mix of resolutions of the same data type (DEM or NED</w:t>
      </w:r>
      <w:proofErr w:type="gramStart"/>
      <w:r>
        <w:rPr>
          <w:snapToGrid w:val="0"/>
        </w:rPr>
        <w:t>), but</w:t>
      </w:r>
      <w:proofErr w:type="gramEnd"/>
      <w:r>
        <w:rPr>
          <w:snapToGrid w:val="0"/>
        </w:rPr>
        <w:t xml:space="preserve"> cannot process a mix of DEM and NED files.</w:t>
      </w:r>
    </w:p>
    <w:p w14:paraId="211D7360" w14:textId="77777777" w:rsidR="009A01E5" w:rsidRPr="00B04880" w:rsidRDefault="009A01E5" w:rsidP="00B04880">
      <w:pPr>
        <w:rPr>
          <w:snapToGrid w:val="0"/>
        </w:rPr>
      </w:pPr>
      <w:r>
        <w:rPr>
          <w:b/>
          <w:snapToGrid w:val="0"/>
        </w:rPr>
        <w:t>AERMET</w:t>
      </w:r>
    </w:p>
    <w:p w14:paraId="01DFDC3B" w14:textId="77777777" w:rsidR="009A01E5" w:rsidRDefault="009A01E5">
      <w:pPr>
        <w:rPr>
          <w:snapToGrid w:val="0"/>
        </w:rPr>
      </w:pPr>
      <w:r>
        <w:rPr>
          <w:snapToGrid w:val="0"/>
        </w:rPr>
        <w:t xml:space="preserve">AERMET requires hourly cloud cover or measurements of solar radiation and delta temperature </w:t>
      </w:r>
      <w:r w:rsidR="00054993">
        <w:rPr>
          <w:snapToGrid w:val="0"/>
        </w:rPr>
        <w:t xml:space="preserve">(SRDT) data </w:t>
      </w:r>
      <w:r>
        <w:rPr>
          <w:snapToGrid w:val="0"/>
        </w:rPr>
        <w:t xml:space="preserve">to calculate hourly turbulence parameters.  It will not work with hourly measurements of sigma theta to calculate Pasquill-Gifford stability categories.  </w:t>
      </w:r>
    </w:p>
    <w:p w14:paraId="04107950" w14:textId="77777777" w:rsidR="00122C7F" w:rsidRDefault="009A01E5">
      <w:pPr>
        <w:rPr>
          <w:snapToGrid w:val="0"/>
        </w:rPr>
      </w:pPr>
      <w:r>
        <w:rPr>
          <w:snapToGrid w:val="0"/>
        </w:rPr>
        <w:t xml:space="preserve">There are 3 stages of processing the data.  Stage 3 processing allows the user to specify boundary layer parameters (surface roughness length, Bowen ratio, and surface albedo) as a function of directional sector </w:t>
      </w:r>
      <w:r w:rsidR="00054993">
        <w:rPr>
          <w:snapToGrid w:val="0"/>
        </w:rPr>
        <w:t>and</w:t>
      </w:r>
      <w:r>
        <w:rPr>
          <w:snapToGrid w:val="0"/>
        </w:rPr>
        <w:t xml:space="preserve"> time of year. </w:t>
      </w:r>
    </w:p>
    <w:p w14:paraId="3C304250" w14:textId="616BBBB2" w:rsidR="00122C7F" w:rsidRDefault="008738F2" w:rsidP="00122C7F">
      <w:pPr>
        <w:rPr>
          <w:color w:val="000000"/>
          <w:szCs w:val="22"/>
        </w:rPr>
      </w:pPr>
      <w:r>
        <w:rPr>
          <w:snapToGrid w:val="0"/>
        </w:rPr>
        <w:t>T</w:t>
      </w:r>
      <w:r w:rsidR="00122C7F">
        <w:rPr>
          <w:snapToGrid w:val="0"/>
        </w:rPr>
        <w:t xml:space="preserve">he ancillary program, AERSURFACE, can calculate these parameters </w:t>
      </w:r>
      <w:r w:rsidR="00122C7F">
        <w:rPr>
          <w:color w:val="000000"/>
          <w:szCs w:val="22"/>
        </w:rPr>
        <w:t xml:space="preserve">from land use data available from the United States Geological Survey (USGS).  However, use of this program is not </w:t>
      </w:r>
      <w:r w:rsidR="00672783">
        <w:rPr>
          <w:color w:val="000000"/>
          <w:szCs w:val="22"/>
        </w:rPr>
        <w:t xml:space="preserve">currently </w:t>
      </w:r>
      <w:r w:rsidR="00122C7F">
        <w:rPr>
          <w:color w:val="000000"/>
          <w:szCs w:val="22"/>
        </w:rPr>
        <w:t xml:space="preserve">an option within Alaska since the format of </w:t>
      </w:r>
      <w:proofErr w:type="gramStart"/>
      <w:r w:rsidR="00122C7F">
        <w:rPr>
          <w:color w:val="000000"/>
          <w:szCs w:val="22"/>
        </w:rPr>
        <w:t>the land</w:t>
      </w:r>
      <w:proofErr w:type="gramEnd"/>
      <w:r w:rsidR="00122C7F">
        <w:rPr>
          <w:color w:val="000000"/>
          <w:szCs w:val="22"/>
        </w:rPr>
        <w:t xml:space="preserve"> use data that can be processed by AERSURFACE is not available for Alaska.  Check </w:t>
      </w:r>
      <w:hyperlink r:id="rId204" w:history="1">
        <w:r w:rsidR="00122C7F" w:rsidRPr="00E2013E">
          <w:rPr>
            <w:rStyle w:val="Hyperlink"/>
            <w:szCs w:val="22"/>
          </w:rPr>
          <w:t>SCRAM</w:t>
        </w:r>
      </w:hyperlink>
      <w:r w:rsidR="00122C7F">
        <w:rPr>
          <w:color w:val="000000"/>
          <w:szCs w:val="22"/>
        </w:rPr>
        <w:t xml:space="preserve"> to see if </w:t>
      </w:r>
      <w:r w:rsidR="001A2713">
        <w:rPr>
          <w:color w:val="000000"/>
          <w:szCs w:val="22"/>
        </w:rPr>
        <w:t xml:space="preserve">EPA has issued an </w:t>
      </w:r>
      <w:r w:rsidR="00122C7F">
        <w:rPr>
          <w:color w:val="000000"/>
          <w:szCs w:val="22"/>
        </w:rPr>
        <w:t xml:space="preserve">update that </w:t>
      </w:r>
      <w:proofErr w:type="gramStart"/>
      <w:r w:rsidR="001A2713">
        <w:rPr>
          <w:color w:val="000000"/>
          <w:szCs w:val="22"/>
        </w:rPr>
        <w:t>is</w:t>
      </w:r>
      <w:r w:rsidR="00122C7F">
        <w:rPr>
          <w:color w:val="000000"/>
          <w:szCs w:val="22"/>
        </w:rPr>
        <w:t xml:space="preserve"> capable of processing</w:t>
      </w:r>
      <w:proofErr w:type="gramEnd"/>
      <w:r w:rsidR="00122C7F">
        <w:rPr>
          <w:color w:val="000000"/>
          <w:szCs w:val="22"/>
        </w:rPr>
        <w:t xml:space="preserve"> land use data for Alaska. </w:t>
      </w:r>
      <w:r w:rsidR="009B7AC5">
        <w:rPr>
          <w:color w:val="000000"/>
          <w:szCs w:val="22"/>
        </w:rPr>
        <w:t xml:space="preserve"> </w:t>
      </w:r>
      <w:r w:rsidR="001A2713">
        <w:rPr>
          <w:color w:val="000000"/>
          <w:szCs w:val="22"/>
        </w:rPr>
        <w:t>If not, t</w:t>
      </w:r>
      <w:r w:rsidR="00122C7F">
        <w:rPr>
          <w:color w:val="000000"/>
          <w:szCs w:val="22"/>
        </w:rPr>
        <w:t xml:space="preserve">he ADEC website </w:t>
      </w:r>
      <w:hyperlink r:id="rId205" w:history="1">
        <w:r w:rsidR="00E30990">
          <w:rPr>
            <w:rStyle w:val="Hyperlink"/>
            <w:szCs w:val="22"/>
          </w:rPr>
          <w:t>http://dec.alaska.gov/air/air-permit/dispersion-modeling/</w:t>
        </w:r>
      </w:hyperlink>
      <w:r w:rsidR="000C0EF6">
        <w:fldChar w:fldCharType="begin"/>
      </w:r>
      <w:r w:rsidR="00A073A2">
        <w:instrText xml:space="preserve"> NOTEREF _Ref360261391 \f \h </w:instrText>
      </w:r>
      <w:r w:rsidR="000C0EF6">
        <w:fldChar w:fldCharType="separate"/>
      </w:r>
      <w:r w:rsidR="00135FFD" w:rsidRPr="00135FFD">
        <w:rPr>
          <w:rStyle w:val="FootnoteReference"/>
        </w:rPr>
        <w:t>55</w:t>
      </w:r>
      <w:r w:rsidR="000C0EF6">
        <w:fldChar w:fldCharType="end"/>
      </w:r>
      <w:r w:rsidR="00122C7F">
        <w:rPr>
          <w:color w:val="000000"/>
          <w:szCs w:val="22"/>
        </w:rPr>
        <w:t xml:space="preserve"> </w:t>
      </w:r>
      <w:r w:rsidR="009B7AC5">
        <w:rPr>
          <w:color w:val="000000"/>
          <w:szCs w:val="22"/>
        </w:rPr>
        <w:t xml:space="preserve">provides </w:t>
      </w:r>
      <w:r w:rsidR="00122C7F">
        <w:rPr>
          <w:color w:val="000000"/>
          <w:szCs w:val="22"/>
        </w:rPr>
        <w:t xml:space="preserve">guidance on </w:t>
      </w:r>
      <w:r w:rsidR="009B7AC5">
        <w:rPr>
          <w:color w:val="000000"/>
          <w:szCs w:val="22"/>
        </w:rPr>
        <w:t>how the surface parameters may be manually calculated</w:t>
      </w:r>
      <w:r w:rsidR="00122C7F">
        <w:rPr>
          <w:color w:val="000000"/>
          <w:szCs w:val="22"/>
        </w:rPr>
        <w:t>.</w:t>
      </w:r>
    </w:p>
    <w:p w14:paraId="226CB8F4" w14:textId="6E184F9B" w:rsidR="009A01E5" w:rsidRDefault="009A01E5">
      <w:pPr>
        <w:rPr>
          <w:snapToGrid w:val="0"/>
        </w:rPr>
      </w:pPr>
      <w:r>
        <w:rPr>
          <w:snapToGrid w:val="0"/>
        </w:rPr>
        <w:t xml:space="preserve">AERMOD </w:t>
      </w:r>
      <w:r w:rsidR="00054993">
        <w:rPr>
          <w:snapToGrid w:val="0"/>
        </w:rPr>
        <w:t xml:space="preserve">tends to be very </w:t>
      </w:r>
      <w:r>
        <w:rPr>
          <w:snapToGrid w:val="0"/>
        </w:rPr>
        <w:t xml:space="preserve">sensitive </w:t>
      </w:r>
      <w:r w:rsidR="00054993">
        <w:rPr>
          <w:snapToGrid w:val="0"/>
        </w:rPr>
        <w:t>to the surface roughness length.  It tends to not be very sensitive to the albedo and Bowen ratio</w:t>
      </w:r>
      <w:r>
        <w:rPr>
          <w:snapToGrid w:val="0"/>
        </w:rPr>
        <w:t xml:space="preserve">. </w:t>
      </w:r>
      <w:r w:rsidR="009B7AC5">
        <w:rPr>
          <w:snapToGrid w:val="0"/>
        </w:rPr>
        <w:t xml:space="preserve"> </w:t>
      </w:r>
      <w:r>
        <w:rPr>
          <w:snapToGrid w:val="0"/>
        </w:rPr>
        <w:t xml:space="preserve">Often these parameters are specified as a function of land use classification. </w:t>
      </w:r>
      <w:r w:rsidR="009B7AC5">
        <w:rPr>
          <w:snapToGrid w:val="0"/>
        </w:rPr>
        <w:t xml:space="preserve"> </w:t>
      </w:r>
      <w:r>
        <w:rPr>
          <w:snapToGrid w:val="0"/>
        </w:rPr>
        <w:t>Consequently, make certain that the boundary layer parameters are correct.</w:t>
      </w:r>
    </w:p>
    <w:p w14:paraId="40003CEF" w14:textId="77777777" w:rsidR="00054993" w:rsidRDefault="00B95AA6" w:rsidP="00407F48">
      <w:pPr>
        <w:numPr>
          <w:ilvl w:val="0"/>
          <w:numId w:val="24"/>
        </w:numPr>
        <w:rPr>
          <w:snapToGrid w:val="0"/>
        </w:rPr>
      </w:pPr>
      <w:r>
        <w:rPr>
          <w:snapToGrid w:val="0"/>
        </w:rPr>
        <w:t xml:space="preserve">The surface roughness should reflect the land cover and usage within a 1 km radius of the </w:t>
      </w:r>
      <w:r w:rsidR="00B714F2">
        <w:rPr>
          <w:snapToGrid w:val="0"/>
        </w:rPr>
        <w:t xml:space="preserve">meteorological tower, while </w:t>
      </w:r>
      <w:r>
        <w:rPr>
          <w:snapToGrid w:val="0"/>
        </w:rPr>
        <w:t xml:space="preserve">albedo and Bowen ratio should be based on the </w:t>
      </w:r>
      <w:r w:rsidR="00F523CE">
        <w:rPr>
          <w:snapToGrid w:val="0"/>
        </w:rPr>
        <w:t>land cover and usage of a 10</w:t>
      </w:r>
      <w:r w:rsidR="00A97DCA">
        <w:rPr>
          <w:snapToGrid w:val="0"/>
        </w:rPr>
        <w:t xml:space="preserve"> km</w:t>
      </w:r>
      <w:r w:rsidR="00B714F2">
        <w:rPr>
          <w:snapToGrid w:val="0"/>
        </w:rPr>
        <w:t xml:space="preserve"> x</w:t>
      </w:r>
      <w:r w:rsidR="00F523CE">
        <w:rPr>
          <w:snapToGrid w:val="0"/>
        </w:rPr>
        <w:t xml:space="preserve"> 10 km area centered on the meteorological tower.</w:t>
      </w:r>
    </w:p>
    <w:p w14:paraId="642E83EC" w14:textId="0A6712A0" w:rsidR="00793C88" w:rsidRDefault="00793C88" w:rsidP="00407F48">
      <w:pPr>
        <w:numPr>
          <w:ilvl w:val="0"/>
          <w:numId w:val="24"/>
        </w:numPr>
        <w:rPr>
          <w:snapToGrid w:val="0"/>
        </w:rPr>
      </w:pPr>
      <w:r>
        <w:rPr>
          <w:snapToGrid w:val="0"/>
        </w:rPr>
        <w:lastRenderedPageBreak/>
        <w:t xml:space="preserve">The FAA web-site </w:t>
      </w:r>
      <w:hyperlink r:id="rId206" w:history="1">
        <w:r w:rsidR="00991E93">
          <w:rPr>
            <w:rStyle w:val="Hyperlink"/>
            <w:snapToGrid w:val="0"/>
          </w:rPr>
          <w:t>FAI FSS – Airport Photographs</w:t>
        </w:r>
      </w:hyperlink>
      <w:r w:rsidR="00F8328F">
        <w:rPr>
          <w:snapToGrid w:val="0"/>
        </w:rPr>
        <w:t xml:space="preserve"> p</w:t>
      </w:r>
      <w:r>
        <w:rPr>
          <w:snapToGrid w:val="0"/>
        </w:rPr>
        <w:t xml:space="preserve">rovides aerial pictures of </w:t>
      </w:r>
      <w:r w:rsidR="00B0648D">
        <w:rPr>
          <w:snapToGrid w:val="0"/>
        </w:rPr>
        <w:t xml:space="preserve">Alaskan </w:t>
      </w:r>
      <w:r>
        <w:rPr>
          <w:snapToGrid w:val="0"/>
        </w:rPr>
        <w:t xml:space="preserve">airports, which can be helpful when trying to determine the </w:t>
      </w:r>
      <w:r w:rsidR="00F8328F">
        <w:rPr>
          <w:snapToGrid w:val="0"/>
        </w:rPr>
        <w:t>local</w:t>
      </w:r>
      <w:r>
        <w:rPr>
          <w:snapToGrid w:val="0"/>
        </w:rPr>
        <w:t xml:space="preserve"> surface conditions</w:t>
      </w:r>
      <w:r w:rsidR="009B7AC5">
        <w:rPr>
          <w:snapToGrid w:val="0"/>
        </w:rPr>
        <w:t xml:space="preserve"> around an airport meteorological tower</w:t>
      </w:r>
      <w:r>
        <w:rPr>
          <w:snapToGrid w:val="0"/>
        </w:rPr>
        <w:t xml:space="preserve">.  </w:t>
      </w:r>
    </w:p>
    <w:p w14:paraId="6787F289" w14:textId="1B3C0121" w:rsidR="00054993" w:rsidRDefault="00054993" w:rsidP="00407F48">
      <w:pPr>
        <w:numPr>
          <w:ilvl w:val="0"/>
          <w:numId w:val="24"/>
        </w:numPr>
        <w:rPr>
          <w:snapToGrid w:val="0"/>
        </w:rPr>
      </w:pPr>
      <w:r>
        <w:rPr>
          <w:snapToGrid w:val="0"/>
        </w:rPr>
        <w:t xml:space="preserve">Select the surface parameters by month – do not use the default seasons.  (Alaskan winters run much longer than the December through February assumption used in AERMET.)  </w:t>
      </w:r>
    </w:p>
    <w:p w14:paraId="657070FF" w14:textId="07796968" w:rsidR="00793C88" w:rsidRDefault="00793C88" w:rsidP="00407F48">
      <w:pPr>
        <w:numPr>
          <w:ilvl w:val="0"/>
          <w:numId w:val="24"/>
        </w:numPr>
        <w:rPr>
          <w:snapToGrid w:val="0"/>
        </w:rPr>
      </w:pPr>
      <w:r>
        <w:rPr>
          <w:snapToGrid w:val="0"/>
        </w:rPr>
        <w:t>See Section 4.7.</w:t>
      </w:r>
      <w:r w:rsidR="00CB0B24">
        <w:rPr>
          <w:snapToGrid w:val="0"/>
        </w:rPr>
        <w:t xml:space="preserve">8 </w:t>
      </w:r>
      <w:r>
        <w:rPr>
          <w:snapToGrid w:val="0"/>
        </w:rPr>
        <w:t xml:space="preserve">of the </w:t>
      </w:r>
      <w:hyperlink r:id="rId207" w:history="1">
        <w:r w:rsidRPr="00CB0B24">
          <w:rPr>
            <w:rStyle w:val="Hyperlink"/>
            <w:snapToGrid w:val="0"/>
          </w:rPr>
          <w:t>AERMET User’s Guide</w:t>
        </w:r>
      </w:hyperlink>
      <w:r>
        <w:rPr>
          <w:snapToGrid w:val="0"/>
        </w:rPr>
        <w:t xml:space="preserve"> for additional guidance</w:t>
      </w:r>
    </w:p>
    <w:p w14:paraId="25ABD0D0" w14:textId="77777777" w:rsidR="00075BD2" w:rsidRDefault="00075BD2" w:rsidP="00407F48">
      <w:pPr>
        <w:numPr>
          <w:ilvl w:val="0"/>
          <w:numId w:val="45"/>
        </w:numPr>
        <w:rPr>
          <w:snapToGrid w:val="0"/>
        </w:rPr>
      </w:pPr>
      <w:r>
        <w:rPr>
          <w:snapToGrid w:val="0"/>
        </w:rPr>
        <w:t>“Winter conditions apply to snow-covered surfaces and subfreezing temperatures”</w:t>
      </w:r>
    </w:p>
    <w:p w14:paraId="4B767DCC" w14:textId="77777777" w:rsidR="00075BD2" w:rsidRDefault="00555028" w:rsidP="00407F48">
      <w:pPr>
        <w:numPr>
          <w:ilvl w:val="0"/>
          <w:numId w:val="24"/>
        </w:numPr>
        <w:tabs>
          <w:tab w:val="clear" w:pos="720"/>
          <w:tab w:val="num" w:pos="480"/>
        </w:tabs>
        <w:ind w:left="480"/>
        <w:rPr>
          <w:snapToGrid w:val="0"/>
        </w:rPr>
      </w:pPr>
      <w:r>
        <w:rPr>
          <w:snapToGrid w:val="0"/>
        </w:rPr>
        <w:t>Use t</w:t>
      </w:r>
      <w:r w:rsidR="00793C88">
        <w:rPr>
          <w:snapToGrid w:val="0"/>
        </w:rPr>
        <w:t xml:space="preserve">he National Climatic Data Center (NCDC) </w:t>
      </w:r>
      <w:r>
        <w:rPr>
          <w:snapToGrid w:val="0"/>
        </w:rPr>
        <w:t xml:space="preserve">Local Climatic Data (LCD) summaries to help determine the actual seasons for the area of interest.  </w:t>
      </w:r>
    </w:p>
    <w:p w14:paraId="1BC4EAD4" w14:textId="181FFB4E" w:rsidR="00075BD2" w:rsidRDefault="00555028" w:rsidP="00407F48">
      <w:pPr>
        <w:numPr>
          <w:ilvl w:val="0"/>
          <w:numId w:val="45"/>
        </w:numPr>
        <w:rPr>
          <w:snapToGrid w:val="0"/>
        </w:rPr>
      </w:pPr>
      <w:r>
        <w:rPr>
          <w:snapToGrid w:val="0"/>
        </w:rPr>
        <w:t xml:space="preserve">The </w:t>
      </w:r>
      <w:r w:rsidR="00793C88">
        <w:rPr>
          <w:snapToGrid w:val="0"/>
        </w:rPr>
        <w:t xml:space="preserve">temperature and snowfall summaries </w:t>
      </w:r>
      <w:r>
        <w:rPr>
          <w:snapToGrid w:val="0"/>
        </w:rPr>
        <w:t xml:space="preserve">provided in Tables A-1 and </w:t>
      </w:r>
      <w:r w:rsidR="00DA7D9D">
        <w:rPr>
          <w:snapToGrid w:val="0"/>
        </w:rPr>
        <w:br/>
      </w:r>
      <w:r>
        <w:rPr>
          <w:snapToGrid w:val="0"/>
        </w:rPr>
        <w:t xml:space="preserve">A-2 </w:t>
      </w:r>
      <w:r w:rsidR="00793C88">
        <w:rPr>
          <w:snapToGrid w:val="0"/>
        </w:rPr>
        <w:t xml:space="preserve">may </w:t>
      </w:r>
      <w:r>
        <w:rPr>
          <w:snapToGrid w:val="0"/>
        </w:rPr>
        <w:t xml:space="preserve">also </w:t>
      </w:r>
      <w:proofErr w:type="gramStart"/>
      <w:r w:rsidR="00793C88">
        <w:rPr>
          <w:snapToGrid w:val="0"/>
        </w:rPr>
        <w:t>help</w:t>
      </w:r>
      <w:r>
        <w:rPr>
          <w:snapToGrid w:val="0"/>
        </w:rPr>
        <w:t>ful</w:t>
      </w:r>
      <w:proofErr w:type="gramEnd"/>
      <w:r>
        <w:rPr>
          <w:snapToGrid w:val="0"/>
        </w:rPr>
        <w:t xml:space="preserve">. </w:t>
      </w:r>
      <w:r w:rsidR="00075BD2">
        <w:rPr>
          <w:snapToGrid w:val="0"/>
        </w:rPr>
        <w:t xml:space="preserve"> </w:t>
      </w:r>
    </w:p>
    <w:p w14:paraId="6C719A2F" w14:textId="77777777" w:rsidR="00793C88" w:rsidRDefault="00075BD2" w:rsidP="00407F48">
      <w:pPr>
        <w:numPr>
          <w:ilvl w:val="0"/>
          <w:numId w:val="45"/>
        </w:numPr>
        <w:rPr>
          <w:snapToGrid w:val="0"/>
        </w:rPr>
      </w:pPr>
      <w:r>
        <w:rPr>
          <w:snapToGrid w:val="0"/>
        </w:rPr>
        <w:t>However, also look at the mean and max temperatures for defining “winter.”</w:t>
      </w:r>
    </w:p>
    <w:p w14:paraId="5D34EEBD" w14:textId="0D5387E7" w:rsidR="00075BD2" w:rsidRDefault="00075BD2" w:rsidP="00407F48">
      <w:pPr>
        <w:numPr>
          <w:ilvl w:val="0"/>
          <w:numId w:val="24"/>
        </w:numPr>
        <w:tabs>
          <w:tab w:val="clear" w:pos="720"/>
          <w:tab w:val="num" w:pos="480"/>
        </w:tabs>
        <w:ind w:left="480"/>
        <w:rPr>
          <w:snapToGrid w:val="0"/>
        </w:rPr>
      </w:pPr>
      <w:r>
        <w:rPr>
          <w:snapToGrid w:val="0"/>
        </w:rPr>
        <w:t xml:space="preserve">Local knowledge should also be used </w:t>
      </w:r>
      <w:proofErr w:type="gramStart"/>
      <w:r>
        <w:rPr>
          <w:snapToGrid w:val="0"/>
        </w:rPr>
        <w:t>in regards to</w:t>
      </w:r>
      <w:proofErr w:type="gramEnd"/>
      <w:r>
        <w:rPr>
          <w:snapToGrid w:val="0"/>
        </w:rPr>
        <w:t xml:space="preserve"> when vegetation starts emerging (i.e., start of spring) and when the </w:t>
      </w:r>
      <w:r w:rsidR="000027D5">
        <w:rPr>
          <w:snapToGrid w:val="0"/>
        </w:rPr>
        <w:t xml:space="preserve">vegetation </w:t>
      </w:r>
      <w:r w:rsidR="00E15BD0">
        <w:rPr>
          <w:snapToGrid w:val="0"/>
        </w:rPr>
        <w:t>loses</w:t>
      </w:r>
      <w:r w:rsidR="000027D5">
        <w:rPr>
          <w:snapToGrid w:val="0"/>
        </w:rPr>
        <w:t xml:space="preserve"> </w:t>
      </w:r>
      <w:proofErr w:type="gramStart"/>
      <w:r w:rsidR="000027D5">
        <w:rPr>
          <w:snapToGrid w:val="0"/>
        </w:rPr>
        <w:t>their</w:t>
      </w:r>
      <w:proofErr w:type="gramEnd"/>
      <w:r w:rsidR="000027D5">
        <w:rPr>
          <w:snapToGrid w:val="0"/>
        </w:rPr>
        <w:t xml:space="preserve"> </w:t>
      </w:r>
      <w:r>
        <w:rPr>
          <w:snapToGrid w:val="0"/>
        </w:rPr>
        <w:t>leaves (i.e., autumn).</w:t>
      </w:r>
    </w:p>
    <w:p w14:paraId="4638AEEE" w14:textId="5F69633F" w:rsidR="005F5D92" w:rsidRDefault="005F5D92">
      <w:pPr>
        <w:rPr>
          <w:snapToGrid w:val="0"/>
        </w:rPr>
      </w:pPr>
      <w:r>
        <w:t>AERMET contains an option for adjusting the surface friction velocity (</w:t>
      </w:r>
      <w:proofErr w:type="spellStart"/>
      <w:r>
        <w:t>ADJ_u</w:t>
      </w:r>
      <w:proofErr w:type="spellEnd"/>
      <w:r>
        <w:t xml:space="preserve">*) parameter.  EPA developed this option to correct AERMOD’s tendency to overpredict impacts under stable, low wind conditions.  It is a regulatory option when used </w:t>
      </w:r>
      <w:r w:rsidRPr="0063659C">
        <w:rPr>
          <w:i/>
        </w:rPr>
        <w:t>without</w:t>
      </w:r>
      <w:r>
        <w:t xml:space="preserve"> turbulence measurements, such as standard deviation of horizontal wind direction (sigma-theta) data and/or standard deviation of vertical wind speed (sigma-</w:t>
      </w:r>
      <w:r w:rsidR="007635E3">
        <w:t>w</w:t>
      </w:r>
      <w:r>
        <w:t xml:space="preserve">) data.  However, it is an alternative modeling technique that requires case-specific EPA and ADEC approval under 18 AAC 50.215(c) when used </w:t>
      </w:r>
      <w:r w:rsidRPr="005F5D92">
        <w:rPr>
          <w:i/>
        </w:rPr>
        <w:t>with</w:t>
      </w:r>
      <w:r>
        <w:t xml:space="preserve"> turbulence measurements. </w:t>
      </w:r>
    </w:p>
    <w:p w14:paraId="52B7B7A1" w14:textId="77777777" w:rsidR="00405A7A" w:rsidRPr="00915E78" w:rsidRDefault="006A7D39">
      <w:pPr>
        <w:rPr>
          <w:snapToGrid w:val="0"/>
        </w:rPr>
      </w:pPr>
      <w:r w:rsidRPr="00915E78">
        <w:rPr>
          <w:snapToGrid w:val="0"/>
        </w:rPr>
        <w:t xml:space="preserve">AERMET requires time zone </w:t>
      </w:r>
      <w:r w:rsidR="00E807AE" w:rsidRPr="00915E78">
        <w:rPr>
          <w:snapToGrid w:val="0"/>
        </w:rPr>
        <w:t xml:space="preserve">information for the </w:t>
      </w:r>
      <w:r w:rsidRPr="00915E78">
        <w:rPr>
          <w:snapToGrid w:val="0"/>
        </w:rPr>
        <w:t xml:space="preserve">surface meteorological station, the upper air meteorological station, and the applicant’s stationary source.  </w:t>
      </w:r>
      <w:r w:rsidR="00E807AE" w:rsidRPr="00915E78">
        <w:rPr>
          <w:snapToGrid w:val="0"/>
        </w:rPr>
        <w:t xml:space="preserve">However, AERMET uses a different reference point </w:t>
      </w:r>
      <w:proofErr w:type="gramStart"/>
      <w:r w:rsidR="00E807AE" w:rsidRPr="00915E78">
        <w:rPr>
          <w:snapToGrid w:val="0"/>
        </w:rPr>
        <w:t>in regards to</w:t>
      </w:r>
      <w:proofErr w:type="gramEnd"/>
      <w:r w:rsidR="00E807AE" w:rsidRPr="00915E78">
        <w:rPr>
          <w:snapToGrid w:val="0"/>
        </w:rPr>
        <w:t xml:space="preserve"> the stationary source information than it does for the meteorological data.  </w:t>
      </w:r>
      <w:r w:rsidR="00405A7A" w:rsidRPr="00915E78">
        <w:rPr>
          <w:snapToGrid w:val="0"/>
        </w:rPr>
        <w:t xml:space="preserve">AERMET uses local standard time as the reference point for processing the meteorological data.  However, </w:t>
      </w:r>
      <w:r w:rsidR="006771D1" w:rsidRPr="00915E78">
        <w:rPr>
          <w:snapToGrid w:val="0"/>
        </w:rPr>
        <w:t>it</w:t>
      </w:r>
      <w:r w:rsidR="00405A7A" w:rsidRPr="00915E78">
        <w:rPr>
          <w:snapToGrid w:val="0"/>
        </w:rPr>
        <w:t xml:space="preserve"> uses Greenwich Mean Time (GMT) as the reference point for the location of the applicant’s source.  </w:t>
      </w:r>
      <w:r w:rsidR="00E807AE" w:rsidRPr="00915E78">
        <w:rPr>
          <w:snapToGrid w:val="0"/>
        </w:rPr>
        <w:t xml:space="preserve">This inconsistency </w:t>
      </w:r>
      <w:r w:rsidR="00405A7A" w:rsidRPr="00915E78">
        <w:rPr>
          <w:snapToGrid w:val="0"/>
        </w:rPr>
        <w:t xml:space="preserve">in reference points </w:t>
      </w:r>
      <w:r w:rsidR="00E807AE" w:rsidRPr="00915E78">
        <w:rPr>
          <w:snapToGrid w:val="0"/>
        </w:rPr>
        <w:t>can lead to errors when running AERMET</w:t>
      </w:r>
      <w:r w:rsidR="00405A7A" w:rsidRPr="00915E78">
        <w:rPr>
          <w:snapToGrid w:val="0"/>
        </w:rPr>
        <w:t xml:space="preserve">, and therefore, should be closely checked by the reviewer.  </w:t>
      </w:r>
    </w:p>
    <w:p w14:paraId="6D0C75B3" w14:textId="77777777" w:rsidR="00405A7A" w:rsidRDefault="00E807AE">
      <w:pPr>
        <w:rPr>
          <w:snapToGrid w:val="0"/>
        </w:rPr>
      </w:pPr>
      <w:r>
        <w:rPr>
          <w:snapToGrid w:val="0"/>
        </w:rPr>
        <w:t xml:space="preserve">Surface data is generally recorded in local </w:t>
      </w:r>
      <w:r w:rsidR="00405A7A">
        <w:rPr>
          <w:snapToGrid w:val="0"/>
        </w:rPr>
        <w:t xml:space="preserve">standard </w:t>
      </w:r>
      <w:r>
        <w:rPr>
          <w:snapToGrid w:val="0"/>
        </w:rPr>
        <w:t>time</w:t>
      </w:r>
      <w:r w:rsidR="00405A7A">
        <w:rPr>
          <w:snapToGrid w:val="0"/>
        </w:rPr>
        <w:t xml:space="preserve">, which means the conversion factor </w:t>
      </w:r>
      <w:r w:rsidR="00BB541B">
        <w:rPr>
          <w:snapToGrid w:val="0"/>
        </w:rPr>
        <w:t xml:space="preserve">between recorded time and local time </w:t>
      </w:r>
      <w:r w:rsidR="00405A7A">
        <w:rPr>
          <w:snapToGrid w:val="0"/>
        </w:rPr>
        <w:t>will usually be zero.  U</w:t>
      </w:r>
      <w:r w:rsidR="006A7D39">
        <w:rPr>
          <w:snapToGrid w:val="0"/>
        </w:rPr>
        <w:t xml:space="preserve">pper air data </w:t>
      </w:r>
      <w:r>
        <w:rPr>
          <w:snapToGrid w:val="0"/>
        </w:rPr>
        <w:t>is generally recorded in</w:t>
      </w:r>
      <w:r w:rsidR="006A7D39">
        <w:rPr>
          <w:snapToGrid w:val="0"/>
        </w:rPr>
        <w:t xml:space="preserve"> </w:t>
      </w:r>
      <w:r w:rsidR="00BB541B">
        <w:rPr>
          <w:snapToGrid w:val="0"/>
        </w:rPr>
        <w:t>G</w:t>
      </w:r>
      <w:r w:rsidR="006A7D39">
        <w:rPr>
          <w:snapToGrid w:val="0"/>
        </w:rPr>
        <w:t xml:space="preserve">MT.  </w:t>
      </w:r>
      <w:r>
        <w:rPr>
          <w:snapToGrid w:val="0"/>
        </w:rPr>
        <w:t xml:space="preserve">Therefore, </w:t>
      </w:r>
      <w:r w:rsidR="00405A7A">
        <w:rPr>
          <w:snapToGrid w:val="0"/>
        </w:rPr>
        <w:t xml:space="preserve">AERMET needs to know the number of hours required to convert the time of each data record (e.g., GMT) to local standard time.  </w:t>
      </w:r>
    </w:p>
    <w:p w14:paraId="7D1C65AE" w14:textId="0DC9A35B" w:rsidR="00A97DCA" w:rsidRPr="00915E78" w:rsidRDefault="00BB541B" w:rsidP="00915E78">
      <w:pPr>
        <w:rPr>
          <w:snapToGrid w:val="0"/>
        </w:rPr>
      </w:pPr>
      <w:proofErr w:type="gramStart"/>
      <w:r>
        <w:rPr>
          <w:snapToGrid w:val="0"/>
        </w:rPr>
        <w:lastRenderedPageBreak/>
        <w:t>In regards to</w:t>
      </w:r>
      <w:proofErr w:type="gramEnd"/>
      <w:r>
        <w:rPr>
          <w:snapToGrid w:val="0"/>
        </w:rPr>
        <w:t xml:space="preserve"> the applicant’s </w:t>
      </w:r>
      <w:r w:rsidR="002171D4">
        <w:rPr>
          <w:snapToGrid w:val="0"/>
        </w:rPr>
        <w:t>source</w:t>
      </w:r>
      <w:r>
        <w:rPr>
          <w:snapToGrid w:val="0"/>
        </w:rPr>
        <w:t xml:space="preserve">, AERMET wants to know the relation between the applicant’s time zone and GMT.  Therefore, the modeler must enter the number of hours required to convert from local time to GMT.  In most cases, this value will be the same value as used for the upper air station.  </w:t>
      </w:r>
      <w:r w:rsidRPr="00BB541B">
        <w:rPr>
          <w:i/>
          <w:snapToGrid w:val="0"/>
        </w:rPr>
        <w:t>It will never be zero (as may be used for pro</w:t>
      </w:r>
      <w:r w:rsidR="00A073A2">
        <w:rPr>
          <w:i/>
          <w:snapToGrid w:val="0"/>
        </w:rPr>
        <w:t>cessing the surface data)</w:t>
      </w:r>
      <w:r w:rsidRPr="00BB541B">
        <w:rPr>
          <w:i/>
          <w:snapToGrid w:val="0"/>
        </w:rPr>
        <w:t xml:space="preserve"> when modeling sources located in Alaska.</w:t>
      </w:r>
      <w:r>
        <w:rPr>
          <w:snapToGrid w:val="0"/>
        </w:rPr>
        <w:t xml:space="preserve">  </w:t>
      </w:r>
    </w:p>
    <w:p w14:paraId="424059E3" w14:textId="76F4D015" w:rsidR="00414E7F" w:rsidRPr="00B04880" w:rsidRDefault="00414E7F" w:rsidP="00587D05">
      <w:pPr>
        <w:keepNext/>
        <w:rPr>
          <w:snapToGrid w:val="0"/>
        </w:rPr>
      </w:pPr>
      <w:r>
        <w:rPr>
          <w:b/>
          <w:snapToGrid w:val="0"/>
        </w:rPr>
        <w:t>AERMOD WITH SCREENING MET DATA</w:t>
      </w:r>
    </w:p>
    <w:p w14:paraId="14F28A64" w14:textId="2BFBBCFA" w:rsidR="00DA672C" w:rsidRDefault="00DA672C" w:rsidP="004813CD">
      <w:pPr>
        <w:rPr>
          <w:snapToGrid w:val="0"/>
        </w:rPr>
      </w:pPr>
      <w:r>
        <w:rPr>
          <w:snapToGrid w:val="0"/>
        </w:rPr>
        <w:t>ADEC has occasionally allowed applicants to run AERMOD with AER</w:t>
      </w:r>
      <w:r w:rsidR="00AA63BB">
        <w:rPr>
          <w:snapToGrid w:val="0"/>
        </w:rPr>
        <w:t>SCREEN</w:t>
      </w:r>
      <w:r>
        <w:rPr>
          <w:snapToGrid w:val="0"/>
        </w:rPr>
        <w:t xml:space="preserve">/MAKEMET-generated meteorology. </w:t>
      </w:r>
      <w:r w:rsidR="00DA5B92">
        <w:rPr>
          <w:snapToGrid w:val="0"/>
        </w:rPr>
        <w:t xml:space="preserve">However, </w:t>
      </w:r>
      <w:r w:rsidR="000E539B">
        <w:rPr>
          <w:snapToGrid w:val="0"/>
        </w:rPr>
        <w:t>AERMOD with screening meteorological data</w:t>
      </w:r>
      <w:r w:rsidR="00812F48">
        <w:rPr>
          <w:snapToGrid w:val="0"/>
        </w:rPr>
        <w:t xml:space="preserve"> should only be used to estimate 1-hour impacts.  The AERSCREEN scaling factors should be used </w:t>
      </w:r>
      <w:r w:rsidR="002365D1">
        <w:rPr>
          <w:snapToGrid w:val="0"/>
        </w:rPr>
        <w:t>to convert the 1-hour concentrations to other averaging periods</w:t>
      </w:r>
      <w:r w:rsidR="00DA5B92">
        <w:rPr>
          <w:snapToGrid w:val="0"/>
        </w:rPr>
        <w:t xml:space="preserve">.  </w:t>
      </w:r>
      <w:r w:rsidRPr="004813CD">
        <w:rPr>
          <w:snapToGrid w:val="0"/>
        </w:rPr>
        <w:t xml:space="preserve">In all cases regarding the use of screening meteorological data, modelers must </w:t>
      </w:r>
      <w:r w:rsidR="00DA5B92">
        <w:rPr>
          <w:snapToGrid w:val="0"/>
        </w:rPr>
        <w:t xml:space="preserve">also </w:t>
      </w:r>
      <w:r w:rsidRPr="004813CD">
        <w:rPr>
          <w:snapToGrid w:val="0"/>
        </w:rPr>
        <w:t xml:space="preserve">use the high first-high </w:t>
      </w:r>
      <w:r w:rsidR="00DA5B92">
        <w:rPr>
          <w:snapToGrid w:val="0"/>
        </w:rPr>
        <w:t xml:space="preserve">concentration, rather than a ranked concentration (e.g., the </w:t>
      </w:r>
      <w:r w:rsidRPr="004813CD">
        <w:rPr>
          <w:snapToGrid w:val="0"/>
        </w:rPr>
        <w:t xml:space="preserve">high second-high </w:t>
      </w:r>
      <w:r w:rsidR="00086428" w:rsidRPr="004813CD">
        <w:rPr>
          <w:snapToGrid w:val="0"/>
        </w:rPr>
        <w:t xml:space="preserve">or high </w:t>
      </w:r>
      <w:r w:rsidR="004813CD">
        <w:rPr>
          <w:snapToGrid w:val="0"/>
        </w:rPr>
        <w:t>x</w:t>
      </w:r>
      <w:r w:rsidR="00086428" w:rsidRPr="004813CD">
        <w:rPr>
          <w:snapToGrid w:val="0"/>
        </w:rPr>
        <w:t xml:space="preserve">-high </w:t>
      </w:r>
      <w:r w:rsidRPr="004813CD">
        <w:rPr>
          <w:snapToGrid w:val="0"/>
        </w:rPr>
        <w:t>modeled concentration</w:t>
      </w:r>
      <w:r w:rsidR="00DA5B92">
        <w:rPr>
          <w:snapToGrid w:val="0"/>
        </w:rPr>
        <w:t>)</w:t>
      </w:r>
      <w:r w:rsidRPr="004813CD">
        <w:rPr>
          <w:snapToGrid w:val="0"/>
        </w:rPr>
        <w:t xml:space="preserve">, for demonstrating compliance with the air quality standards and increments.  </w:t>
      </w:r>
    </w:p>
    <w:p w14:paraId="105ABFB6" w14:textId="77777777" w:rsidR="00414E7F" w:rsidRPr="00A34FD9" w:rsidRDefault="00414E7F" w:rsidP="00A97DCA">
      <w:pPr>
        <w:pStyle w:val="ListParagraph"/>
        <w:ind w:left="360"/>
        <w:rPr>
          <w:snapToGrid w:val="0"/>
        </w:rPr>
      </w:pPr>
    </w:p>
    <w:p w14:paraId="4575B427" w14:textId="77777777" w:rsidR="00A34FD9" w:rsidRDefault="00A34FD9">
      <w:pPr>
        <w:rPr>
          <w:snapToGrid w:val="0"/>
        </w:rPr>
        <w:sectPr w:rsidR="00A34FD9" w:rsidSect="00CA0242">
          <w:footerReference w:type="default" r:id="rId208"/>
          <w:pgSz w:w="12240" w:h="15840"/>
          <w:pgMar w:top="720" w:right="1800" w:bottom="720" w:left="1800" w:header="720" w:footer="576" w:gutter="0"/>
          <w:pgNumType w:start="1"/>
          <w:cols w:space="720"/>
          <w:docGrid w:linePitch="326"/>
        </w:sectPr>
      </w:pPr>
    </w:p>
    <w:p w14:paraId="4F8D2465" w14:textId="77777777" w:rsidR="009A01E5" w:rsidRPr="00793C88" w:rsidRDefault="00793C88" w:rsidP="00793C88">
      <w:pPr>
        <w:jc w:val="center"/>
        <w:rPr>
          <w:b/>
          <w:snapToGrid w:val="0"/>
        </w:rPr>
      </w:pPr>
      <w:r w:rsidRPr="00793C88">
        <w:rPr>
          <w:b/>
          <w:snapToGrid w:val="0"/>
        </w:rPr>
        <w:lastRenderedPageBreak/>
        <w:t>Table A-1</w:t>
      </w:r>
      <w:proofErr w:type="gramStart"/>
      <w:r w:rsidRPr="00793C88">
        <w:rPr>
          <w:b/>
          <w:snapToGrid w:val="0"/>
        </w:rPr>
        <w:t>:  Mean</w:t>
      </w:r>
      <w:proofErr w:type="gramEnd"/>
      <w:r w:rsidRPr="00793C88">
        <w:rPr>
          <w:b/>
          <w:snapToGrid w:val="0"/>
        </w:rPr>
        <w:t xml:space="preserve"> Number of Days with a Minimum Temperature of 32</w:t>
      </w:r>
      <w:r w:rsidRPr="00793C88">
        <w:rPr>
          <w:b/>
          <w:snapToGrid w:val="0"/>
          <w:vertAlign w:val="superscript"/>
        </w:rPr>
        <w:t>O</w:t>
      </w:r>
      <w:r w:rsidRPr="00793C88">
        <w:rPr>
          <w:b/>
          <w:snapToGrid w:val="0"/>
        </w:rPr>
        <w:t>F or Less</w:t>
      </w:r>
    </w:p>
    <w:tbl>
      <w:tblPr>
        <w:tblW w:w="12092" w:type="dxa"/>
        <w:jc w:val="center"/>
        <w:tblLook w:val="0000" w:firstRow="0" w:lastRow="0" w:firstColumn="0" w:lastColumn="0" w:noHBand="0" w:noVBand="0"/>
      </w:tblPr>
      <w:tblGrid>
        <w:gridCol w:w="3100"/>
        <w:gridCol w:w="643"/>
        <w:gridCol w:w="594"/>
        <w:gridCol w:w="610"/>
        <w:gridCol w:w="691"/>
        <w:gridCol w:w="643"/>
        <w:gridCol w:w="675"/>
        <w:gridCol w:w="610"/>
        <w:gridCol w:w="572"/>
        <w:gridCol w:w="675"/>
        <w:gridCol w:w="627"/>
        <w:gridCol w:w="659"/>
        <w:gridCol w:w="675"/>
        <w:gridCol w:w="659"/>
        <w:gridCol w:w="659"/>
      </w:tblGrid>
      <w:tr w:rsidR="00793C88" w14:paraId="1F27B974" w14:textId="77777777" w:rsidTr="006B524B">
        <w:trPr>
          <w:trHeight w:val="288"/>
          <w:jc w:val="center"/>
        </w:trPr>
        <w:tc>
          <w:tcPr>
            <w:tcW w:w="12092" w:type="dxa"/>
            <w:gridSpan w:val="15"/>
            <w:tcBorders>
              <w:top w:val="nil"/>
              <w:left w:val="nil"/>
              <w:bottom w:val="nil"/>
              <w:right w:val="nil"/>
            </w:tcBorders>
            <w:noWrap/>
            <w:vAlign w:val="center"/>
          </w:tcPr>
          <w:p w14:paraId="74BA0391" w14:textId="77777777" w:rsidR="00793C88" w:rsidRDefault="00793C88" w:rsidP="008738F2">
            <w:pPr>
              <w:spacing w:after="60"/>
              <w:rPr>
                <w:rFonts w:ascii="Arial" w:hAnsi="Arial" w:cs="Arial"/>
                <w:sz w:val="20"/>
                <w:szCs w:val="20"/>
              </w:rPr>
            </w:pPr>
            <w:r>
              <w:rPr>
                <w:rFonts w:ascii="Arial" w:hAnsi="Arial" w:cs="Arial"/>
                <w:sz w:val="20"/>
                <w:szCs w:val="20"/>
              </w:rPr>
              <w:t xml:space="preserve">As Reported by the National Climatic Data Center through 2004.  Formatted by ADEC on </w:t>
            </w:r>
            <w:smartTag w:uri="urn:schemas-microsoft-com:office:smarttags" w:element="date">
              <w:smartTagPr>
                <w:attr w:name="Month" w:val="2"/>
                <w:attr w:name="Day" w:val="14"/>
                <w:attr w:name="Year" w:val="2006"/>
              </w:smartTagPr>
              <w:r>
                <w:rPr>
                  <w:rFonts w:ascii="Arial" w:hAnsi="Arial" w:cs="Arial"/>
                  <w:sz w:val="20"/>
                  <w:szCs w:val="20"/>
                </w:rPr>
                <w:t>2/14/06</w:t>
              </w:r>
            </w:smartTag>
          </w:p>
        </w:tc>
      </w:tr>
      <w:tr w:rsidR="002B40DC" w14:paraId="4FE680EB" w14:textId="77777777" w:rsidTr="006B524B">
        <w:trPr>
          <w:trHeight w:val="288"/>
          <w:jc w:val="center"/>
        </w:trPr>
        <w:tc>
          <w:tcPr>
            <w:tcW w:w="3100" w:type="dxa"/>
            <w:tcBorders>
              <w:top w:val="nil"/>
              <w:left w:val="nil"/>
              <w:bottom w:val="single" w:sz="4" w:space="0" w:color="auto"/>
              <w:right w:val="nil"/>
            </w:tcBorders>
            <w:noWrap/>
            <w:vAlign w:val="center"/>
          </w:tcPr>
          <w:p w14:paraId="520260A5" w14:textId="77777777" w:rsidR="00793C88" w:rsidRDefault="00793C88" w:rsidP="008738F2">
            <w:pPr>
              <w:spacing w:after="60"/>
              <w:rPr>
                <w:rFonts w:ascii="Arial" w:hAnsi="Arial" w:cs="Arial"/>
                <w:sz w:val="20"/>
                <w:szCs w:val="20"/>
              </w:rPr>
            </w:pPr>
          </w:p>
        </w:tc>
        <w:tc>
          <w:tcPr>
            <w:tcW w:w="643" w:type="dxa"/>
            <w:tcBorders>
              <w:top w:val="nil"/>
              <w:left w:val="nil"/>
              <w:bottom w:val="single" w:sz="4" w:space="0" w:color="auto"/>
              <w:right w:val="nil"/>
            </w:tcBorders>
            <w:noWrap/>
            <w:vAlign w:val="center"/>
          </w:tcPr>
          <w:p w14:paraId="40427B0C" w14:textId="77777777" w:rsidR="00793C88" w:rsidRDefault="00793C88" w:rsidP="008738F2">
            <w:pPr>
              <w:spacing w:after="60"/>
              <w:rPr>
                <w:rFonts w:ascii="Arial" w:hAnsi="Arial" w:cs="Arial"/>
                <w:sz w:val="20"/>
                <w:szCs w:val="20"/>
              </w:rPr>
            </w:pPr>
          </w:p>
        </w:tc>
        <w:tc>
          <w:tcPr>
            <w:tcW w:w="594" w:type="dxa"/>
            <w:tcBorders>
              <w:top w:val="nil"/>
              <w:left w:val="nil"/>
              <w:bottom w:val="single" w:sz="4" w:space="0" w:color="auto"/>
              <w:right w:val="nil"/>
            </w:tcBorders>
            <w:noWrap/>
            <w:vAlign w:val="center"/>
          </w:tcPr>
          <w:p w14:paraId="517764C8" w14:textId="77777777" w:rsidR="00793C88" w:rsidRDefault="00793C88" w:rsidP="008738F2">
            <w:pPr>
              <w:spacing w:after="60"/>
              <w:rPr>
                <w:rFonts w:ascii="Arial" w:hAnsi="Arial" w:cs="Arial"/>
                <w:sz w:val="20"/>
                <w:szCs w:val="20"/>
              </w:rPr>
            </w:pPr>
          </w:p>
        </w:tc>
        <w:tc>
          <w:tcPr>
            <w:tcW w:w="610" w:type="dxa"/>
            <w:tcBorders>
              <w:top w:val="nil"/>
              <w:left w:val="nil"/>
              <w:bottom w:val="single" w:sz="4" w:space="0" w:color="auto"/>
              <w:right w:val="nil"/>
            </w:tcBorders>
            <w:noWrap/>
            <w:vAlign w:val="center"/>
          </w:tcPr>
          <w:p w14:paraId="6C623C4C" w14:textId="77777777" w:rsidR="00793C88" w:rsidRDefault="00793C88" w:rsidP="008738F2">
            <w:pPr>
              <w:spacing w:after="60"/>
              <w:rPr>
                <w:rFonts w:ascii="Arial" w:hAnsi="Arial" w:cs="Arial"/>
                <w:sz w:val="20"/>
                <w:szCs w:val="20"/>
              </w:rPr>
            </w:pPr>
          </w:p>
        </w:tc>
        <w:tc>
          <w:tcPr>
            <w:tcW w:w="691" w:type="dxa"/>
            <w:tcBorders>
              <w:top w:val="nil"/>
              <w:left w:val="nil"/>
              <w:bottom w:val="single" w:sz="4" w:space="0" w:color="auto"/>
              <w:right w:val="nil"/>
            </w:tcBorders>
            <w:noWrap/>
            <w:vAlign w:val="center"/>
          </w:tcPr>
          <w:p w14:paraId="0FB0222E" w14:textId="77777777" w:rsidR="00793C88" w:rsidRDefault="00793C88" w:rsidP="008738F2">
            <w:pPr>
              <w:spacing w:after="60"/>
              <w:rPr>
                <w:rFonts w:ascii="Arial" w:hAnsi="Arial" w:cs="Arial"/>
                <w:sz w:val="20"/>
                <w:szCs w:val="20"/>
              </w:rPr>
            </w:pPr>
          </w:p>
        </w:tc>
        <w:tc>
          <w:tcPr>
            <w:tcW w:w="643" w:type="dxa"/>
            <w:tcBorders>
              <w:top w:val="nil"/>
              <w:left w:val="nil"/>
              <w:bottom w:val="single" w:sz="4" w:space="0" w:color="auto"/>
              <w:right w:val="nil"/>
            </w:tcBorders>
            <w:noWrap/>
            <w:vAlign w:val="center"/>
          </w:tcPr>
          <w:p w14:paraId="731BE7D8" w14:textId="77777777" w:rsidR="00793C88" w:rsidRDefault="00793C88" w:rsidP="008738F2">
            <w:pPr>
              <w:spacing w:after="60"/>
              <w:rPr>
                <w:rFonts w:ascii="Arial" w:hAnsi="Arial" w:cs="Arial"/>
                <w:sz w:val="20"/>
                <w:szCs w:val="20"/>
              </w:rPr>
            </w:pPr>
          </w:p>
        </w:tc>
        <w:tc>
          <w:tcPr>
            <w:tcW w:w="675" w:type="dxa"/>
            <w:tcBorders>
              <w:top w:val="nil"/>
              <w:left w:val="nil"/>
              <w:bottom w:val="single" w:sz="4" w:space="0" w:color="auto"/>
              <w:right w:val="nil"/>
            </w:tcBorders>
            <w:noWrap/>
            <w:vAlign w:val="center"/>
          </w:tcPr>
          <w:p w14:paraId="109A3EF6" w14:textId="77777777" w:rsidR="00793C88" w:rsidRDefault="00793C88" w:rsidP="008738F2">
            <w:pPr>
              <w:spacing w:after="60"/>
              <w:rPr>
                <w:rFonts w:ascii="Arial" w:hAnsi="Arial" w:cs="Arial"/>
                <w:sz w:val="20"/>
                <w:szCs w:val="20"/>
              </w:rPr>
            </w:pPr>
          </w:p>
        </w:tc>
        <w:tc>
          <w:tcPr>
            <w:tcW w:w="610" w:type="dxa"/>
            <w:tcBorders>
              <w:top w:val="nil"/>
              <w:left w:val="nil"/>
              <w:bottom w:val="single" w:sz="4" w:space="0" w:color="auto"/>
              <w:right w:val="nil"/>
            </w:tcBorders>
            <w:noWrap/>
            <w:vAlign w:val="center"/>
          </w:tcPr>
          <w:p w14:paraId="086E0FA7" w14:textId="77777777" w:rsidR="00793C88" w:rsidRDefault="00793C88" w:rsidP="008738F2">
            <w:pPr>
              <w:spacing w:after="60"/>
              <w:rPr>
                <w:rFonts w:ascii="Arial" w:hAnsi="Arial" w:cs="Arial"/>
                <w:sz w:val="20"/>
                <w:szCs w:val="20"/>
              </w:rPr>
            </w:pPr>
          </w:p>
        </w:tc>
        <w:tc>
          <w:tcPr>
            <w:tcW w:w="572" w:type="dxa"/>
            <w:tcBorders>
              <w:top w:val="nil"/>
              <w:left w:val="nil"/>
              <w:bottom w:val="single" w:sz="4" w:space="0" w:color="auto"/>
              <w:right w:val="nil"/>
            </w:tcBorders>
            <w:noWrap/>
            <w:vAlign w:val="center"/>
          </w:tcPr>
          <w:p w14:paraId="015B3A8F" w14:textId="77777777" w:rsidR="00793C88" w:rsidRDefault="00793C88" w:rsidP="008738F2">
            <w:pPr>
              <w:spacing w:after="60"/>
              <w:rPr>
                <w:rFonts w:ascii="Arial" w:hAnsi="Arial" w:cs="Arial"/>
                <w:sz w:val="20"/>
                <w:szCs w:val="20"/>
              </w:rPr>
            </w:pPr>
          </w:p>
        </w:tc>
        <w:tc>
          <w:tcPr>
            <w:tcW w:w="675" w:type="dxa"/>
            <w:tcBorders>
              <w:top w:val="nil"/>
              <w:left w:val="nil"/>
              <w:bottom w:val="single" w:sz="4" w:space="0" w:color="auto"/>
              <w:right w:val="nil"/>
            </w:tcBorders>
            <w:noWrap/>
            <w:vAlign w:val="center"/>
          </w:tcPr>
          <w:p w14:paraId="23E23EF7" w14:textId="77777777" w:rsidR="00793C88" w:rsidRDefault="00793C88" w:rsidP="008738F2">
            <w:pPr>
              <w:spacing w:after="60"/>
              <w:rPr>
                <w:rFonts w:ascii="Arial" w:hAnsi="Arial" w:cs="Arial"/>
                <w:sz w:val="20"/>
                <w:szCs w:val="20"/>
              </w:rPr>
            </w:pPr>
          </w:p>
        </w:tc>
        <w:tc>
          <w:tcPr>
            <w:tcW w:w="627" w:type="dxa"/>
            <w:tcBorders>
              <w:top w:val="nil"/>
              <w:left w:val="nil"/>
              <w:bottom w:val="single" w:sz="4" w:space="0" w:color="auto"/>
              <w:right w:val="nil"/>
            </w:tcBorders>
            <w:noWrap/>
            <w:vAlign w:val="center"/>
          </w:tcPr>
          <w:p w14:paraId="39965A5B" w14:textId="77777777" w:rsidR="00793C88" w:rsidRDefault="00793C88" w:rsidP="008738F2">
            <w:pPr>
              <w:spacing w:after="60"/>
              <w:rPr>
                <w:rFonts w:ascii="Arial" w:hAnsi="Arial" w:cs="Arial"/>
                <w:sz w:val="20"/>
                <w:szCs w:val="20"/>
              </w:rPr>
            </w:pPr>
          </w:p>
        </w:tc>
        <w:tc>
          <w:tcPr>
            <w:tcW w:w="659" w:type="dxa"/>
            <w:tcBorders>
              <w:top w:val="nil"/>
              <w:left w:val="nil"/>
              <w:bottom w:val="single" w:sz="4" w:space="0" w:color="auto"/>
              <w:right w:val="nil"/>
            </w:tcBorders>
            <w:noWrap/>
            <w:vAlign w:val="center"/>
          </w:tcPr>
          <w:p w14:paraId="5815251E" w14:textId="77777777" w:rsidR="00793C88" w:rsidRDefault="00793C88" w:rsidP="008738F2">
            <w:pPr>
              <w:spacing w:after="60"/>
              <w:rPr>
                <w:rFonts w:ascii="Arial" w:hAnsi="Arial" w:cs="Arial"/>
                <w:sz w:val="20"/>
                <w:szCs w:val="20"/>
              </w:rPr>
            </w:pPr>
          </w:p>
        </w:tc>
        <w:tc>
          <w:tcPr>
            <w:tcW w:w="675" w:type="dxa"/>
            <w:tcBorders>
              <w:top w:val="nil"/>
              <w:left w:val="nil"/>
              <w:bottom w:val="single" w:sz="4" w:space="0" w:color="auto"/>
              <w:right w:val="nil"/>
            </w:tcBorders>
            <w:noWrap/>
            <w:vAlign w:val="center"/>
          </w:tcPr>
          <w:p w14:paraId="3E3DE024" w14:textId="77777777" w:rsidR="00793C88" w:rsidRDefault="00793C88" w:rsidP="008738F2">
            <w:pPr>
              <w:spacing w:after="60"/>
              <w:rPr>
                <w:rFonts w:ascii="Arial" w:hAnsi="Arial" w:cs="Arial"/>
                <w:sz w:val="20"/>
                <w:szCs w:val="20"/>
              </w:rPr>
            </w:pPr>
          </w:p>
        </w:tc>
        <w:tc>
          <w:tcPr>
            <w:tcW w:w="659" w:type="dxa"/>
            <w:tcBorders>
              <w:top w:val="nil"/>
              <w:left w:val="nil"/>
              <w:bottom w:val="single" w:sz="4" w:space="0" w:color="auto"/>
              <w:right w:val="nil"/>
            </w:tcBorders>
            <w:noWrap/>
            <w:vAlign w:val="center"/>
          </w:tcPr>
          <w:p w14:paraId="66CCA2A9" w14:textId="77777777" w:rsidR="00793C88" w:rsidRDefault="00793C88" w:rsidP="008738F2">
            <w:pPr>
              <w:spacing w:after="60"/>
              <w:rPr>
                <w:rFonts w:ascii="Arial" w:hAnsi="Arial" w:cs="Arial"/>
                <w:sz w:val="20"/>
                <w:szCs w:val="20"/>
              </w:rPr>
            </w:pPr>
          </w:p>
        </w:tc>
        <w:tc>
          <w:tcPr>
            <w:tcW w:w="659" w:type="dxa"/>
            <w:tcBorders>
              <w:top w:val="nil"/>
              <w:left w:val="nil"/>
              <w:bottom w:val="single" w:sz="4" w:space="0" w:color="auto"/>
              <w:right w:val="nil"/>
            </w:tcBorders>
            <w:noWrap/>
            <w:vAlign w:val="center"/>
          </w:tcPr>
          <w:p w14:paraId="53892893" w14:textId="77777777" w:rsidR="00793C88" w:rsidRDefault="00793C88" w:rsidP="008738F2">
            <w:pPr>
              <w:spacing w:after="60"/>
              <w:rPr>
                <w:rFonts w:ascii="Arial" w:hAnsi="Arial" w:cs="Arial"/>
                <w:sz w:val="20"/>
                <w:szCs w:val="20"/>
              </w:rPr>
            </w:pPr>
          </w:p>
        </w:tc>
      </w:tr>
      <w:tr w:rsidR="002B40DC" w14:paraId="21B62AE1" w14:textId="77777777" w:rsidTr="006B524B">
        <w:trPr>
          <w:trHeight w:val="288"/>
          <w:jc w:val="center"/>
        </w:trPr>
        <w:tc>
          <w:tcPr>
            <w:tcW w:w="3100" w:type="dxa"/>
            <w:tcBorders>
              <w:top w:val="single" w:sz="4" w:space="0" w:color="auto"/>
              <w:left w:val="single" w:sz="4" w:space="0" w:color="auto"/>
              <w:bottom w:val="single" w:sz="12" w:space="0" w:color="auto"/>
              <w:right w:val="single" w:sz="4" w:space="0" w:color="auto"/>
            </w:tcBorders>
            <w:shd w:val="pct10" w:color="auto" w:fill="auto"/>
            <w:noWrap/>
            <w:vAlign w:val="center"/>
          </w:tcPr>
          <w:p w14:paraId="58EC9854" w14:textId="77777777" w:rsidR="00793C88" w:rsidRDefault="00793C88" w:rsidP="008738F2">
            <w:pPr>
              <w:spacing w:after="60"/>
              <w:rPr>
                <w:rFonts w:ascii="Arial" w:hAnsi="Arial" w:cs="Arial"/>
                <w:sz w:val="20"/>
                <w:szCs w:val="20"/>
              </w:rPr>
            </w:pPr>
            <w:r>
              <w:rPr>
                <w:rFonts w:ascii="Arial" w:hAnsi="Arial" w:cs="Arial"/>
                <w:sz w:val="20"/>
                <w:szCs w:val="20"/>
              </w:rPr>
              <w:t>DATA THROUGH 2004</w:t>
            </w:r>
          </w:p>
        </w:tc>
        <w:tc>
          <w:tcPr>
            <w:tcW w:w="643" w:type="dxa"/>
            <w:tcBorders>
              <w:top w:val="single" w:sz="4" w:space="0" w:color="auto"/>
              <w:left w:val="nil"/>
              <w:bottom w:val="single" w:sz="12" w:space="0" w:color="auto"/>
              <w:right w:val="single" w:sz="4" w:space="0" w:color="auto"/>
            </w:tcBorders>
            <w:shd w:val="pct10" w:color="auto" w:fill="auto"/>
            <w:noWrap/>
            <w:vAlign w:val="center"/>
          </w:tcPr>
          <w:p w14:paraId="079CAA02" w14:textId="77777777" w:rsidR="00793C88" w:rsidRDefault="00793C88" w:rsidP="008738F2">
            <w:pPr>
              <w:spacing w:after="60"/>
              <w:jc w:val="right"/>
              <w:rPr>
                <w:rFonts w:ascii="Arial" w:hAnsi="Arial" w:cs="Arial"/>
                <w:sz w:val="20"/>
                <w:szCs w:val="20"/>
              </w:rPr>
            </w:pPr>
            <w:r>
              <w:rPr>
                <w:rFonts w:ascii="Arial" w:hAnsi="Arial" w:cs="Arial"/>
                <w:sz w:val="20"/>
                <w:szCs w:val="20"/>
              </w:rPr>
              <w:t>YRS</w:t>
            </w:r>
          </w:p>
        </w:tc>
        <w:tc>
          <w:tcPr>
            <w:tcW w:w="594" w:type="dxa"/>
            <w:tcBorders>
              <w:top w:val="single" w:sz="4" w:space="0" w:color="auto"/>
              <w:left w:val="nil"/>
              <w:bottom w:val="single" w:sz="12" w:space="0" w:color="auto"/>
              <w:right w:val="single" w:sz="4" w:space="0" w:color="auto"/>
            </w:tcBorders>
            <w:shd w:val="pct10" w:color="auto" w:fill="auto"/>
            <w:noWrap/>
            <w:vAlign w:val="center"/>
          </w:tcPr>
          <w:p w14:paraId="2032B9E3" w14:textId="77777777" w:rsidR="00793C88" w:rsidRDefault="00793C88" w:rsidP="008738F2">
            <w:pPr>
              <w:spacing w:after="60"/>
              <w:jc w:val="right"/>
              <w:rPr>
                <w:rFonts w:ascii="Arial" w:hAnsi="Arial" w:cs="Arial"/>
                <w:sz w:val="20"/>
                <w:szCs w:val="20"/>
              </w:rPr>
            </w:pPr>
            <w:r>
              <w:rPr>
                <w:rFonts w:ascii="Arial" w:hAnsi="Arial" w:cs="Arial"/>
                <w:sz w:val="20"/>
                <w:szCs w:val="20"/>
              </w:rPr>
              <w:t>JAN</w:t>
            </w:r>
          </w:p>
        </w:tc>
        <w:tc>
          <w:tcPr>
            <w:tcW w:w="610" w:type="dxa"/>
            <w:tcBorders>
              <w:top w:val="single" w:sz="4" w:space="0" w:color="auto"/>
              <w:left w:val="nil"/>
              <w:bottom w:val="single" w:sz="12" w:space="0" w:color="auto"/>
              <w:right w:val="single" w:sz="4" w:space="0" w:color="auto"/>
            </w:tcBorders>
            <w:shd w:val="pct10" w:color="auto" w:fill="auto"/>
            <w:noWrap/>
            <w:vAlign w:val="center"/>
          </w:tcPr>
          <w:p w14:paraId="551204EB" w14:textId="77777777" w:rsidR="00793C88" w:rsidRDefault="00793C88" w:rsidP="008738F2">
            <w:pPr>
              <w:spacing w:after="60"/>
              <w:jc w:val="right"/>
              <w:rPr>
                <w:rFonts w:ascii="Arial" w:hAnsi="Arial" w:cs="Arial"/>
                <w:sz w:val="20"/>
                <w:szCs w:val="20"/>
              </w:rPr>
            </w:pPr>
            <w:r>
              <w:rPr>
                <w:rFonts w:ascii="Arial" w:hAnsi="Arial" w:cs="Arial"/>
                <w:sz w:val="20"/>
                <w:szCs w:val="20"/>
              </w:rPr>
              <w:t>FEB</w:t>
            </w:r>
          </w:p>
        </w:tc>
        <w:tc>
          <w:tcPr>
            <w:tcW w:w="691" w:type="dxa"/>
            <w:tcBorders>
              <w:top w:val="single" w:sz="4" w:space="0" w:color="auto"/>
              <w:left w:val="nil"/>
              <w:bottom w:val="single" w:sz="12" w:space="0" w:color="auto"/>
              <w:right w:val="single" w:sz="4" w:space="0" w:color="auto"/>
            </w:tcBorders>
            <w:shd w:val="pct10" w:color="auto" w:fill="auto"/>
            <w:noWrap/>
            <w:vAlign w:val="center"/>
          </w:tcPr>
          <w:p w14:paraId="2F5381D7" w14:textId="77777777" w:rsidR="00793C88" w:rsidRDefault="00793C88" w:rsidP="008738F2">
            <w:pPr>
              <w:spacing w:after="60"/>
              <w:jc w:val="right"/>
              <w:rPr>
                <w:rFonts w:ascii="Arial" w:hAnsi="Arial" w:cs="Arial"/>
                <w:sz w:val="20"/>
                <w:szCs w:val="20"/>
              </w:rPr>
            </w:pPr>
            <w:r>
              <w:rPr>
                <w:rFonts w:ascii="Arial" w:hAnsi="Arial" w:cs="Arial"/>
                <w:sz w:val="20"/>
                <w:szCs w:val="20"/>
              </w:rPr>
              <w:t>MAR</w:t>
            </w:r>
          </w:p>
        </w:tc>
        <w:tc>
          <w:tcPr>
            <w:tcW w:w="643" w:type="dxa"/>
            <w:tcBorders>
              <w:top w:val="single" w:sz="4" w:space="0" w:color="auto"/>
              <w:left w:val="nil"/>
              <w:bottom w:val="single" w:sz="12" w:space="0" w:color="auto"/>
              <w:right w:val="single" w:sz="4" w:space="0" w:color="auto"/>
            </w:tcBorders>
            <w:shd w:val="pct10" w:color="auto" w:fill="auto"/>
            <w:noWrap/>
            <w:vAlign w:val="center"/>
          </w:tcPr>
          <w:p w14:paraId="31A8E01C" w14:textId="77777777" w:rsidR="00793C88" w:rsidRDefault="00793C88" w:rsidP="008738F2">
            <w:pPr>
              <w:spacing w:after="60"/>
              <w:jc w:val="right"/>
              <w:rPr>
                <w:rFonts w:ascii="Arial" w:hAnsi="Arial" w:cs="Arial"/>
                <w:sz w:val="20"/>
                <w:szCs w:val="20"/>
              </w:rPr>
            </w:pPr>
            <w:r>
              <w:rPr>
                <w:rFonts w:ascii="Arial" w:hAnsi="Arial" w:cs="Arial"/>
                <w:sz w:val="20"/>
                <w:szCs w:val="20"/>
              </w:rPr>
              <w:t>APR</w:t>
            </w:r>
          </w:p>
        </w:tc>
        <w:tc>
          <w:tcPr>
            <w:tcW w:w="675" w:type="dxa"/>
            <w:tcBorders>
              <w:top w:val="single" w:sz="4" w:space="0" w:color="auto"/>
              <w:left w:val="nil"/>
              <w:bottom w:val="single" w:sz="12" w:space="0" w:color="auto"/>
              <w:right w:val="single" w:sz="4" w:space="0" w:color="auto"/>
            </w:tcBorders>
            <w:shd w:val="pct10" w:color="auto" w:fill="auto"/>
            <w:noWrap/>
            <w:vAlign w:val="center"/>
          </w:tcPr>
          <w:p w14:paraId="36AA6531" w14:textId="77777777" w:rsidR="00793C88" w:rsidRDefault="00793C88" w:rsidP="008738F2">
            <w:pPr>
              <w:spacing w:after="60"/>
              <w:jc w:val="right"/>
              <w:rPr>
                <w:rFonts w:ascii="Arial" w:hAnsi="Arial" w:cs="Arial"/>
                <w:sz w:val="20"/>
                <w:szCs w:val="20"/>
              </w:rPr>
            </w:pPr>
            <w:r>
              <w:rPr>
                <w:rFonts w:ascii="Arial" w:hAnsi="Arial" w:cs="Arial"/>
                <w:sz w:val="20"/>
                <w:szCs w:val="20"/>
              </w:rPr>
              <w:t>MAY</w:t>
            </w:r>
          </w:p>
        </w:tc>
        <w:tc>
          <w:tcPr>
            <w:tcW w:w="610" w:type="dxa"/>
            <w:tcBorders>
              <w:top w:val="single" w:sz="4" w:space="0" w:color="auto"/>
              <w:left w:val="nil"/>
              <w:bottom w:val="single" w:sz="12" w:space="0" w:color="auto"/>
              <w:right w:val="single" w:sz="4" w:space="0" w:color="auto"/>
            </w:tcBorders>
            <w:shd w:val="pct10" w:color="auto" w:fill="auto"/>
            <w:noWrap/>
            <w:vAlign w:val="center"/>
          </w:tcPr>
          <w:p w14:paraId="41F8EC88" w14:textId="77777777" w:rsidR="00793C88" w:rsidRDefault="00793C88" w:rsidP="008738F2">
            <w:pPr>
              <w:spacing w:after="60"/>
              <w:jc w:val="right"/>
              <w:rPr>
                <w:rFonts w:ascii="Arial" w:hAnsi="Arial" w:cs="Arial"/>
                <w:sz w:val="20"/>
                <w:szCs w:val="20"/>
              </w:rPr>
            </w:pPr>
            <w:r>
              <w:rPr>
                <w:rFonts w:ascii="Arial" w:hAnsi="Arial" w:cs="Arial"/>
                <w:sz w:val="20"/>
                <w:szCs w:val="20"/>
              </w:rPr>
              <w:t>JUN</w:t>
            </w:r>
          </w:p>
        </w:tc>
        <w:tc>
          <w:tcPr>
            <w:tcW w:w="572" w:type="dxa"/>
            <w:tcBorders>
              <w:top w:val="single" w:sz="4" w:space="0" w:color="auto"/>
              <w:left w:val="nil"/>
              <w:bottom w:val="single" w:sz="12" w:space="0" w:color="auto"/>
              <w:right w:val="single" w:sz="4" w:space="0" w:color="auto"/>
            </w:tcBorders>
            <w:shd w:val="pct10" w:color="auto" w:fill="auto"/>
            <w:noWrap/>
            <w:vAlign w:val="center"/>
          </w:tcPr>
          <w:p w14:paraId="0596EE2F" w14:textId="77777777" w:rsidR="00793C88" w:rsidRDefault="00793C88" w:rsidP="008738F2">
            <w:pPr>
              <w:spacing w:after="60"/>
              <w:jc w:val="right"/>
              <w:rPr>
                <w:rFonts w:ascii="Arial" w:hAnsi="Arial" w:cs="Arial"/>
                <w:sz w:val="20"/>
                <w:szCs w:val="20"/>
              </w:rPr>
            </w:pPr>
            <w:r>
              <w:rPr>
                <w:rFonts w:ascii="Arial" w:hAnsi="Arial" w:cs="Arial"/>
                <w:sz w:val="20"/>
                <w:szCs w:val="20"/>
              </w:rPr>
              <w:t>JUL</w:t>
            </w:r>
          </w:p>
        </w:tc>
        <w:tc>
          <w:tcPr>
            <w:tcW w:w="675" w:type="dxa"/>
            <w:tcBorders>
              <w:top w:val="single" w:sz="4" w:space="0" w:color="auto"/>
              <w:left w:val="nil"/>
              <w:bottom w:val="single" w:sz="12" w:space="0" w:color="auto"/>
              <w:right w:val="single" w:sz="4" w:space="0" w:color="auto"/>
            </w:tcBorders>
            <w:shd w:val="pct10" w:color="auto" w:fill="auto"/>
            <w:noWrap/>
            <w:vAlign w:val="center"/>
          </w:tcPr>
          <w:p w14:paraId="0A3C2D36" w14:textId="77777777" w:rsidR="00793C88" w:rsidRDefault="00793C88" w:rsidP="008738F2">
            <w:pPr>
              <w:spacing w:after="60"/>
              <w:jc w:val="right"/>
              <w:rPr>
                <w:rFonts w:ascii="Arial" w:hAnsi="Arial" w:cs="Arial"/>
                <w:sz w:val="20"/>
                <w:szCs w:val="20"/>
              </w:rPr>
            </w:pPr>
            <w:r>
              <w:rPr>
                <w:rFonts w:ascii="Arial" w:hAnsi="Arial" w:cs="Arial"/>
                <w:sz w:val="20"/>
                <w:szCs w:val="20"/>
              </w:rPr>
              <w:t>AUG</w:t>
            </w:r>
          </w:p>
        </w:tc>
        <w:tc>
          <w:tcPr>
            <w:tcW w:w="627" w:type="dxa"/>
            <w:tcBorders>
              <w:top w:val="single" w:sz="4" w:space="0" w:color="auto"/>
              <w:left w:val="nil"/>
              <w:bottom w:val="single" w:sz="12" w:space="0" w:color="auto"/>
              <w:right w:val="single" w:sz="4" w:space="0" w:color="auto"/>
            </w:tcBorders>
            <w:shd w:val="pct10" w:color="auto" w:fill="auto"/>
            <w:noWrap/>
            <w:vAlign w:val="center"/>
          </w:tcPr>
          <w:p w14:paraId="419F2392" w14:textId="77777777" w:rsidR="00793C88" w:rsidRDefault="00793C88" w:rsidP="008738F2">
            <w:pPr>
              <w:spacing w:after="60"/>
              <w:jc w:val="right"/>
              <w:rPr>
                <w:rFonts w:ascii="Arial" w:hAnsi="Arial" w:cs="Arial"/>
                <w:sz w:val="20"/>
                <w:szCs w:val="20"/>
              </w:rPr>
            </w:pPr>
            <w:r>
              <w:rPr>
                <w:rFonts w:ascii="Arial" w:hAnsi="Arial" w:cs="Arial"/>
                <w:sz w:val="20"/>
                <w:szCs w:val="20"/>
              </w:rPr>
              <w:t>SEP</w:t>
            </w:r>
          </w:p>
        </w:tc>
        <w:tc>
          <w:tcPr>
            <w:tcW w:w="659" w:type="dxa"/>
            <w:tcBorders>
              <w:top w:val="single" w:sz="4" w:space="0" w:color="auto"/>
              <w:left w:val="nil"/>
              <w:bottom w:val="single" w:sz="12" w:space="0" w:color="auto"/>
              <w:right w:val="single" w:sz="4" w:space="0" w:color="auto"/>
            </w:tcBorders>
            <w:shd w:val="pct10" w:color="auto" w:fill="auto"/>
            <w:noWrap/>
            <w:vAlign w:val="center"/>
          </w:tcPr>
          <w:p w14:paraId="11245F4D" w14:textId="77777777" w:rsidR="00793C88" w:rsidRDefault="00793C88" w:rsidP="008738F2">
            <w:pPr>
              <w:spacing w:after="60"/>
              <w:jc w:val="right"/>
              <w:rPr>
                <w:rFonts w:ascii="Arial" w:hAnsi="Arial" w:cs="Arial"/>
                <w:sz w:val="20"/>
                <w:szCs w:val="20"/>
              </w:rPr>
            </w:pPr>
            <w:r>
              <w:rPr>
                <w:rFonts w:ascii="Arial" w:hAnsi="Arial" w:cs="Arial"/>
                <w:sz w:val="20"/>
                <w:szCs w:val="20"/>
              </w:rPr>
              <w:t>OCT</w:t>
            </w:r>
          </w:p>
        </w:tc>
        <w:tc>
          <w:tcPr>
            <w:tcW w:w="675" w:type="dxa"/>
            <w:tcBorders>
              <w:top w:val="single" w:sz="4" w:space="0" w:color="auto"/>
              <w:left w:val="nil"/>
              <w:bottom w:val="single" w:sz="12" w:space="0" w:color="auto"/>
              <w:right w:val="single" w:sz="4" w:space="0" w:color="auto"/>
            </w:tcBorders>
            <w:shd w:val="pct10" w:color="auto" w:fill="auto"/>
            <w:noWrap/>
            <w:vAlign w:val="center"/>
          </w:tcPr>
          <w:p w14:paraId="3B68B67C" w14:textId="77777777" w:rsidR="00793C88" w:rsidRDefault="00793C88" w:rsidP="008738F2">
            <w:pPr>
              <w:spacing w:after="60"/>
              <w:jc w:val="right"/>
              <w:rPr>
                <w:rFonts w:ascii="Arial" w:hAnsi="Arial" w:cs="Arial"/>
                <w:sz w:val="20"/>
                <w:szCs w:val="20"/>
              </w:rPr>
            </w:pPr>
            <w:r>
              <w:rPr>
                <w:rFonts w:ascii="Arial" w:hAnsi="Arial" w:cs="Arial"/>
                <w:sz w:val="20"/>
                <w:szCs w:val="20"/>
              </w:rPr>
              <w:t>NOV</w:t>
            </w:r>
          </w:p>
        </w:tc>
        <w:tc>
          <w:tcPr>
            <w:tcW w:w="659" w:type="dxa"/>
            <w:tcBorders>
              <w:top w:val="single" w:sz="4" w:space="0" w:color="auto"/>
              <w:left w:val="nil"/>
              <w:bottom w:val="single" w:sz="12" w:space="0" w:color="auto"/>
              <w:right w:val="single" w:sz="4" w:space="0" w:color="auto"/>
            </w:tcBorders>
            <w:shd w:val="pct10" w:color="auto" w:fill="auto"/>
            <w:noWrap/>
            <w:vAlign w:val="center"/>
          </w:tcPr>
          <w:p w14:paraId="3B2D7EA6" w14:textId="77777777" w:rsidR="00793C88" w:rsidRDefault="00793C88" w:rsidP="008738F2">
            <w:pPr>
              <w:spacing w:after="60"/>
              <w:jc w:val="right"/>
              <w:rPr>
                <w:rFonts w:ascii="Arial" w:hAnsi="Arial" w:cs="Arial"/>
                <w:sz w:val="20"/>
                <w:szCs w:val="20"/>
              </w:rPr>
            </w:pPr>
            <w:r>
              <w:rPr>
                <w:rFonts w:ascii="Arial" w:hAnsi="Arial" w:cs="Arial"/>
                <w:sz w:val="20"/>
                <w:szCs w:val="20"/>
              </w:rPr>
              <w:t>DEC</w:t>
            </w:r>
          </w:p>
        </w:tc>
        <w:tc>
          <w:tcPr>
            <w:tcW w:w="659" w:type="dxa"/>
            <w:tcBorders>
              <w:top w:val="single" w:sz="4" w:space="0" w:color="auto"/>
              <w:left w:val="nil"/>
              <w:bottom w:val="single" w:sz="12" w:space="0" w:color="auto"/>
              <w:right w:val="single" w:sz="4" w:space="0" w:color="auto"/>
            </w:tcBorders>
            <w:shd w:val="pct10" w:color="auto" w:fill="auto"/>
            <w:noWrap/>
            <w:vAlign w:val="center"/>
          </w:tcPr>
          <w:p w14:paraId="5B608AB5" w14:textId="77777777" w:rsidR="00793C88" w:rsidRDefault="00793C88" w:rsidP="008738F2">
            <w:pPr>
              <w:spacing w:after="60"/>
              <w:jc w:val="right"/>
              <w:rPr>
                <w:rFonts w:ascii="Arial" w:hAnsi="Arial" w:cs="Arial"/>
                <w:sz w:val="20"/>
                <w:szCs w:val="20"/>
              </w:rPr>
            </w:pPr>
            <w:r>
              <w:rPr>
                <w:rFonts w:ascii="Arial" w:hAnsi="Arial" w:cs="Arial"/>
                <w:sz w:val="20"/>
                <w:szCs w:val="20"/>
              </w:rPr>
              <w:t>ANN</w:t>
            </w:r>
          </w:p>
        </w:tc>
      </w:tr>
      <w:tr w:rsidR="00793C88" w14:paraId="0A7EC909" w14:textId="77777777" w:rsidTr="006B524B">
        <w:trPr>
          <w:trHeight w:val="288"/>
          <w:jc w:val="center"/>
        </w:trPr>
        <w:tc>
          <w:tcPr>
            <w:tcW w:w="3100" w:type="dxa"/>
            <w:tcBorders>
              <w:top w:val="single" w:sz="12" w:space="0" w:color="auto"/>
              <w:left w:val="single" w:sz="4" w:space="0" w:color="auto"/>
              <w:bottom w:val="single" w:sz="4" w:space="0" w:color="auto"/>
              <w:right w:val="single" w:sz="4" w:space="0" w:color="auto"/>
            </w:tcBorders>
            <w:noWrap/>
            <w:vAlign w:val="center"/>
          </w:tcPr>
          <w:p w14:paraId="6497CD82" w14:textId="77777777" w:rsidR="00793C88" w:rsidRDefault="00793C88" w:rsidP="008738F2">
            <w:pPr>
              <w:spacing w:after="60"/>
              <w:rPr>
                <w:rFonts w:ascii="Arial" w:hAnsi="Arial" w:cs="Arial"/>
                <w:sz w:val="20"/>
                <w:szCs w:val="20"/>
              </w:rPr>
            </w:pPr>
            <w:smartTag w:uri="urn:schemas-microsoft-com:office:smarttags" w:element="place">
              <w:smartTag w:uri="urn:schemas-microsoft-com:office:smarttags" w:element="City">
                <w:r>
                  <w:rPr>
                    <w:rFonts w:ascii="Arial" w:hAnsi="Arial" w:cs="Arial"/>
                    <w:sz w:val="20"/>
                    <w:szCs w:val="20"/>
                  </w:rPr>
                  <w:t>ANCHORAGE</w:t>
                </w:r>
              </w:smartTag>
              <w:r>
                <w:rPr>
                  <w:rFonts w:ascii="Arial" w:hAnsi="Arial" w:cs="Arial"/>
                  <w:sz w:val="20"/>
                  <w:szCs w:val="20"/>
                </w:rPr>
                <w:t xml:space="preserve">, </w:t>
              </w:r>
              <w:smartTag w:uri="urn:schemas-microsoft-com:office:smarttags" w:element="State">
                <w:r>
                  <w:rPr>
                    <w:rFonts w:ascii="Arial" w:hAnsi="Arial" w:cs="Arial"/>
                    <w:sz w:val="20"/>
                    <w:szCs w:val="20"/>
                  </w:rPr>
                  <w:t>AK</w:t>
                </w:r>
              </w:smartTag>
            </w:smartTag>
          </w:p>
        </w:tc>
        <w:tc>
          <w:tcPr>
            <w:tcW w:w="643" w:type="dxa"/>
            <w:tcBorders>
              <w:top w:val="single" w:sz="12" w:space="0" w:color="auto"/>
              <w:left w:val="nil"/>
              <w:bottom w:val="single" w:sz="4" w:space="0" w:color="auto"/>
              <w:right w:val="single" w:sz="4" w:space="0" w:color="auto"/>
            </w:tcBorders>
            <w:noWrap/>
            <w:vAlign w:val="center"/>
          </w:tcPr>
          <w:p w14:paraId="2EB3D0EA" w14:textId="77777777" w:rsidR="00793C88" w:rsidRDefault="00793C88" w:rsidP="008738F2">
            <w:pPr>
              <w:spacing w:after="60"/>
              <w:jc w:val="right"/>
              <w:rPr>
                <w:rFonts w:ascii="Arial" w:hAnsi="Arial" w:cs="Arial"/>
                <w:sz w:val="20"/>
                <w:szCs w:val="20"/>
              </w:rPr>
            </w:pPr>
            <w:r>
              <w:rPr>
                <w:rFonts w:ascii="Arial" w:hAnsi="Arial" w:cs="Arial"/>
                <w:sz w:val="20"/>
                <w:szCs w:val="20"/>
              </w:rPr>
              <w:t>40</w:t>
            </w:r>
          </w:p>
        </w:tc>
        <w:tc>
          <w:tcPr>
            <w:tcW w:w="594" w:type="dxa"/>
            <w:tcBorders>
              <w:top w:val="single" w:sz="12" w:space="0" w:color="auto"/>
              <w:left w:val="nil"/>
              <w:bottom w:val="single" w:sz="4" w:space="0" w:color="auto"/>
              <w:right w:val="single" w:sz="4" w:space="0" w:color="auto"/>
            </w:tcBorders>
            <w:noWrap/>
            <w:vAlign w:val="center"/>
          </w:tcPr>
          <w:p w14:paraId="43626EEF" w14:textId="77777777" w:rsidR="00793C88" w:rsidRDefault="00793C88" w:rsidP="008738F2">
            <w:pPr>
              <w:spacing w:after="60"/>
              <w:jc w:val="right"/>
              <w:rPr>
                <w:rFonts w:ascii="Arial" w:hAnsi="Arial" w:cs="Arial"/>
                <w:sz w:val="20"/>
                <w:szCs w:val="20"/>
              </w:rPr>
            </w:pPr>
            <w:r>
              <w:rPr>
                <w:rFonts w:ascii="Arial" w:hAnsi="Arial" w:cs="Arial"/>
                <w:sz w:val="20"/>
                <w:szCs w:val="20"/>
              </w:rPr>
              <w:t>31</w:t>
            </w:r>
          </w:p>
        </w:tc>
        <w:tc>
          <w:tcPr>
            <w:tcW w:w="610" w:type="dxa"/>
            <w:tcBorders>
              <w:top w:val="single" w:sz="12" w:space="0" w:color="auto"/>
              <w:left w:val="nil"/>
              <w:bottom w:val="single" w:sz="4" w:space="0" w:color="auto"/>
              <w:right w:val="single" w:sz="4" w:space="0" w:color="auto"/>
            </w:tcBorders>
            <w:noWrap/>
            <w:vAlign w:val="center"/>
          </w:tcPr>
          <w:p w14:paraId="32469D11" w14:textId="77777777" w:rsidR="00793C88" w:rsidRDefault="00793C88" w:rsidP="008738F2">
            <w:pPr>
              <w:spacing w:after="60"/>
              <w:jc w:val="right"/>
              <w:rPr>
                <w:rFonts w:ascii="Arial" w:hAnsi="Arial" w:cs="Arial"/>
                <w:sz w:val="20"/>
                <w:szCs w:val="20"/>
              </w:rPr>
            </w:pPr>
            <w:r>
              <w:rPr>
                <w:rFonts w:ascii="Arial" w:hAnsi="Arial" w:cs="Arial"/>
                <w:sz w:val="20"/>
                <w:szCs w:val="20"/>
              </w:rPr>
              <w:t>27</w:t>
            </w:r>
          </w:p>
        </w:tc>
        <w:tc>
          <w:tcPr>
            <w:tcW w:w="691" w:type="dxa"/>
            <w:tcBorders>
              <w:top w:val="single" w:sz="12" w:space="0" w:color="auto"/>
              <w:left w:val="nil"/>
              <w:bottom w:val="single" w:sz="4" w:space="0" w:color="auto"/>
              <w:right w:val="single" w:sz="4" w:space="0" w:color="auto"/>
            </w:tcBorders>
            <w:noWrap/>
            <w:vAlign w:val="center"/>
          </w:tcPr>
          <w:p w14:paraId="5A0471A3" w14:textId="77777777" w:rsidR="00793C88" w:rsidRDefault="00793C88" w:rsidP="008738F2">
            <w:pPr>
              <w:spacing w:after="60"/>
              <w:jc w:val="right"/>
              <w:rPr>
                <w:rFonts w:ascii="Arial" w:hAnsi="Arial" w:cs="Arial"/>
                <w:sz w:val="20"/>
                <w:szCs w:val="20"/>
              </w:rPr>
            </w:pPr>
            <w:r>
              <w:rPr>
                <w:rFonts w:ascii="Arial" w:hAnsi="Arial" w:cs="Arial"/>
                <w:sz w:val="20"/>
                <w:szCs w:val="20"/>
              </w:rPr>
              <w:t>29</w:t>
            </w:r>
          </w:p>
        </w:tc>
        <w:tc>
          <w:tcPr>
            <w:tcW w:w="643" w:type="dxa"/>
            <w:tcBorders>
              <w:top w:val="single" w:sz="12" w:space="0" w:color="auto"/>
              <w:left w:val="nil"/>
              <w:bottom w:val="single" w:sz="4" w:space="0" w:color="auto"/>
              <w:right w:val="single" w:sz="4" w:space="0" w:color="auto"/>
            </w:tcBorders>
            <w:noWrap/>
            <w:vAlign w:val="center"/>
          </w:tcPr>
          <w:p w14:paraId="77885998" w14:textId="77777777" w:rsidR="00793C88" w:rsidRDefault="00793C88" w:rsidP="008738F2">
            <w:pPr>
              <w:spacing w:after="60"/>
              <w:jc w:val="right"/>
              <w:rPr>
                <w:rFonts w:ascii="Arial" w:hAnsi="Arial" w:cs="Arial"/>
                <w:sz w:val="20"/>
                <w:szCs w:val="20"/>
              </w:rPr>
            </w:pPr>
            <w:r>
              <w:rPr>
                <w:rFonts w:ascii="Arial" w:hAnsi="Arial" w:cs="Arial"/>
                <w:sz w:val="20"/>
                <w:szCs w:val="20"/>
              </w:rPr>
              <w:t>20</w:t>
            </w:r>
          </w:p>
        </w:tc>
        <w:tc>
          <w:tcPr>
            <w:tcW w:w="675" w:type="dxa"/>
            <w:tcBorders>
              <w:top w:val="single" w:sz="12" w:space="0" w:color="auto"/>
              <w:left w:val="nil"/>
              <w:bottom w:val="single" w:sz="4" w:space="0" w:color="auto"/>
              <w:right w:val="single" w:sz="4" w:space="0" w:color="auto"/>
            </w:tcBorders>
            <w:noWrap/>
            <w:vAlign w:val="center"/>
          </w:tcPr>
          <w:p w14:paraId="44E22530" w14:textId="77777777" w:rsidR="00793C88" w:rsidRDefault="00793C88" w:rsidP="008738F2">
            <w:pPr>
              <w:spacing w:after="60"/>
              <w:jc w:val="right"/>
              <w:rPr>
                <w:rFonts w:ascii="Arial" w:hAnsi="Arial" w:cs="Arial"/>
                <w:sz w:val="20"/>
                <w:szCs w:val="20"/>
              </w:rPr>
            </w:pPr>
            <w:r>
              <w:rPr>
                <w:rFonts w:ascii="Arial" w:hAnsi="Arial" w:cs="Arial"/>
                <w:sz w:val="20"/>
                <w:szCs w:val="20"/>
              </w:rPr>
              <w:t>3</w:t>
            </w:r>
          </w:p>
        </w:tc>
        <w:tc>
          <w:tcPr>
            <w:tcW w:w="610" w:type="dxa"/>
            <w:tcBorders>
              <w:top w:val="single" w:sz="12" w:space="0" w:color="auto"/>
              <w:left w:val="nil"/>
              <w:bottom w:val="single" w:sz="4" w:space="0" w:color="auto"/>
              <w:right w:val="single" w:sz="4" w:space="0" w:color="auto"/>
            </w:tcBorders>
            <w:noWrap/>
            <w:vAlign w:val="center"/>
          </w:tcPr>
          <w:p w14:paraId="32B97DC7" w14:textId="77777777" w:rsidR="00793C88" w:rsidRDefault="00793C88" w:rsidP="008738F2">
            <w:pPr>
              <w:spacing w:after="60"/>
              <w:jc w:val="right"/>
              <w:rPr>
                <w:rFonts w:ascii="Arial" w:hAnsi="Arial" w:cs="Arial"/>
                <w:sz w:val="20"/>
                <w:szCs w:val="20"/>
              </w:rPr>
            </w:pPr>
            <w:r>
              <w:rPr>
                <w:rFonts w:ascii="Arial" w:hAnsi="Arial" w:cs="Arial"/>
                <w:sz w:val="20"/>
                <w:szCs w:val="20"/>
              </w:rPr>
              <w:t>0</w:t>
            </w:r>
          </w:p>
        </w:tc>
        <w:tc>
          <w:tcPr>
            <w:tcW w:w="572" w:type="dxa"/>
            <w:tcBorders>
              <w:top w:val="single" w:sz="12" w:space="0" w:color="auto"/>
              <w:left w:val="nil"/>
              <w:bottom w:val="single" w:sz="4" w:space="0" w:color="auto"/>
              <w:right w:val="single" w:sz="4" w:space="0" w:color="auto"/>
            </w:tcBorders>
            <w:noWrap/>
            <w:vAlign w:val="center"/>
          </w:tcPr>
          <w:p w14:paraId="111AFEE2" w14:textId="77777777" w:rsidR="00793C88" w:rsidRDefault="00793C88" w:rsidP="008738F2">
            <w:pPr>
              <w:spacing w:after="60"/>
              <w:jc w:val="right"/>
              <w:rPr>
                <w:rFonts w:ascii="Arial" w:hAnsi="Arial" w:cs="Arial"/>
                <w:sz w:val="20"/>
                <w:szCs w:val="20"/>
              </w:rPr>
            </w:pPr>
            <w:r>
              <w:rPr>
                <w:rFonts w:ascii="Arial" w:hAnsi="Arial" w:cs="Arial"/>
                <w:sz w:val="20"/>
                <w:szCs w:val="20"/>
              </w:rPr>
              <w:t>0</w:t>
            </w:r>
          </w:p>
        </w:tc>
        <w:tc>
          <w:tcPr>
            <w:tcW w:w="675" w:type="dxa"/>
            <w:tcBorders>
              <w:top w:val="single" w:sz="12" w:space="0" w:color="auto"/>
              <w:left w:val="nil"/>
              <w:bottom w:val="single" w:sz="4" w:space="0" w:color="auto"/>
              <w:right w:val="single" w:sz="4" w:space="0" w:color="auto"/>
            </w:tcBorders>
            <w:noWrap/>
            <w:vAlign w:val="center"/>
          </w:tcPr>
          <w:p w14:paraId="53B0D16F" w14:textId="77777777" w:rsidR="00793C88" w:rsidRDefault="00793C88" w:rsidP="008738F2">
            <w:pPr>
              <w:spacing w:after="60"/>
              <w:jc w:val="right"/>
              <w:rPr>
                <w:rFonts w:ascii="Arial" w:hAnsi="Arial" w:cs="Arial"/>
                <w:sz w:val="20"/>
                <w:szCs w:val="20"/>
              </w:rPr>
            </w:pPr>
            <w:r>
              <w:rPr>
                <w:rFonts w:ascii="Arial" w:hAnsi="Arial" w:cs="Arial"/>
                <w:sz w:val="20"/>
                <w:szCs w:val="20"/>
              </w:rPr>
              <w:t>*</w:t>
            </w:r>
          </w:p>
        </w:tc>
        <w:tc>
          <w:tcPr>
            <w:tcW w:w="627" w:type="dxa"/>
            <w:tcBorders>
              <w:top w:val="single" w:sz="12" w:space="0" w:color="auto"/>
              <w:left w:val="nil"/>
              <w:bottom w:val="single" w:sz="4" w:space="0" w:color="auto"/>
              <w:right w:val="single" w:sz="4" w:space="0" w:color="auto"/>
            </w:tcBorders>
            <w:noWrap/>
            <w:vAlign w:val="center"/>
          </w:tcPr>
          <w:p w14:paraId="415F650B" w14:textId="77777777" w:rsidR="00793C88" w:rsidRDefault="00793C88" w:rsidP="008738F2">
            <w:pPr>
              <w:spacing w:after="60"/>
              <w:jc w:val="right"/>
              <w:rPr>
                <w:rFonts w:ascii="Arial" w:hAnsi="Arial" w:cs="Arial"/>
                <w:sz w:val="20"/>
                <w:szCs w:val="20"/>
              </w:rPr>
            </w:pPr>
            <w:r>
              <w:rPr>
                <w:rFonts w:ascii="Arial" w:hAnsi="Arial" w:cs="Arial"/>
                <w:sz w:val="20"/>
                <w:szCs w:val="20"/>
              </w:rPr>
              <w:t>3</w:t>
            </w:r>
          </w:p>
        </w:tc>
        <w:tc>
          <w:tcPr>
            <w:tcW w:w="659" w:type="dxa"/>
            <w:tcBorders>
              <w:top w:val="single" w:sz="12" w:space="0" w:color="auto"/>
              <w:left w:val="nil"/>
              <w:bottom w:val="single" w:sz="4" w:space="0" w:color="auto"/>
              <w:right w:val="single" w:sz="4" w:space="0" w:color="auto"/>
            </w:tcBorders>
            <w:noWrap/>
            <w:vAlign w:val="center"/>
          </w:tcPr>
          <w:p w14:paraId="03B4290C" w14:textId="77777777" w:rsidR="00793C88" w:rsidRDefault="00793C88" w:rsidP="008738F2">
            <w:pPr>
              <w:spacing w:after="60"/>
              <w:jc w:val="right"/>
              <w:rPr>
                <w:rFonts w:ascii="Arial" w:hAnsi="Arial" w:cs="Arial"/>
                <w:sz w:val="20"/>
                <w:szCs w:val="20"/>
              </w:rPr>
            </w:pPr>
            <w:r>
              <w:rPr>
                <w:rFonts w:ascii="Arial" w:hAnsi="Arial" w:cs="Arial"/>
                <w:sz w:val="20"/>
                <w:szCs w:val="20"/>
              </w:rPr>
              <w:t>20</w:t>
            </w:r>
          </w:p>
        </w:tc>
        <w:tc>
          <w:tcPr>
            <w:tcW w:w="675" w:type="dxa"/>
            <w:tcBorders>
              <w:top w:val="single" w:sz="12" w:space="0" w:color="auto"/>
              <w:left w:val="nil"/>
              <w:bottom w:val="single" w:sz="4" w:space="0" w:color="auto"/>
              <w:right w:val="single" w:sz="4" w:space="0" w:color="auto"/>
            </w:tcBorders>
            <w:noWrap/>
            <w:vAlign w:val="center"/>
          </w:tcPr>
          <w:p w14:paraId="319760DD" w14:textId="77777777" w:rsidR="00793C88" w:rsidRDefault="00793C88" w:rsidP="008738F2">
            <w:pPr>
              <w:spacing w:after="60"/>
              <w:jc w:val="right"/>
              <w:rPr>
                <w:rFonts w:ascii="Arial" w:hAnsi="Arial" w:cs="Arial"/>
                <w:sz w:val="20"/>
                <w:szCs w:val="20"/>
              </w:rPr>
            </w:pPr>
            <w:r>
              <w:rPr>
                <w:rFonts w:ascii="Arial" w:hAnsi="Arial" w:cs="Arial"/>
                <w:sz w:val="20"/>
                <w:szCs w:val="20"/>
              </w:rPr>
              <w:t>28</w:t>
            </w:r>
          </w:p>
        </w:tc>
        <w:tc>
          <w:tcPr>
            <w:tcW w:w="659" w:type="dxa"/>
            <w:tcBorders>
              <w:top w:val="single" w:sz="12" w:space="0" w:color="auto"/>
              <w:left w:val="nil"/>
              <w:bottom w:val="single" w:sz="4" w:space="0" w:color="auto"/>
              <w:right w:val="single" w:sz="4" w:space="0" w:color="auto"/>
            </w:tcBorders>
            <w:noWrap/>
            <w:vAlign w:val="center"/>
          </w:tcPr>
          <w:p w14:paraId="176BDE45" w14:textId="77777777" w:rsidR="00793C88" w:rsidRDefault="00793C88" w:rsidP="008738F2">
            <w:pPr>
              <w:spacing w:after="60"/>
              <w:jc w:val="right"/>
              <w:rPr>
                <w:rFonts w:ascii="Arial" w:hAnsi="Arial" w:cs="Arial"/>
                <w:sz w:val="20"/>
                <w:szCs w:val="20"/>
              </w:rPr>
            </w:pPr>
            <w:r>
              <w:rPr>
                <w:rFonts w:ascii="Arial" w:hAnsi="Arial" w:cs="Arial"/>
                <w:sz w:val="20"/>
                <w:szCs w:val="20"/>
              </w:rPr>
              <w:t>30</w:t>
            </w:r>
          </w:p>
        </w:tc>
        <w:tc>
          <w:tcPr>
            <w:tcW w:w="659" w:type="dxa"/>
            <w:tcBorders>
              <w:top w:val="single" w:sz="12" w:space="0" w:color="auto"/>
              <w:left w:val="nil"/>
              <w:bottom w:val="single" w:sz="4" w:space="0" w:color="auto"/>
              <w:right w:val="single" w:sz="4" w:space="0" w:color="auto"/>
            </w:tcBorders>
            <w:noWrap/>
            <w:vAlign w:val="center"/>
          </w:tcPr>
          <w:p w14:paraId="203ACAB2" w14:textId="77777777" w:rsidR="00793C88" w:rsidRDefault="00793C88" w:rsidP="008738F2">
            <w:pPr>
              <w:spacing w:after="60"/>
              <w:jc w:val="right"/>
              <w:rPr>
                <w:rFonts w:ascii="Arial" w:hAnsi="Arial" w:cs="Arial"/>
                <w:sz w:val="20"/>
                <w:szCs w:val="20"/>
              </w:rPr>
            </w:pPr>
            <w:r>
              <w:rPr>
                <w:rFonts w:ascii="Arial" w:hAnsi="Arial" w:cs="Arial"/>
                <w:sz w:val="20"/>
                <w:szCs w:val="20"/>
              </w:rPr>
              <w:t>191</w:t>
            </w:r>
          </w:p>
        </w:tc>
      </w:tr>
      <w:tr w:rsidR="00793C88" w14:paraId="6F5385BD" w14:textId="77777777" w:rsidTr="006B524B">
        <w:trPr>
          <w:trHeight w:val="288"/>
          <w:jc w:val="center"/>
        </w:trPr>
        <w:tc>
          <w:tcPr>
            <w:tcW w:w="3100" w:type="dxa"/>
            <w:tcBorders>
              <w:top w:val="nil"/>
              <w:left w:val="single" w:sz="4" w:space="0" w:color="auto"/>
              <w:bottom w:val="single" w:sz="4" w:space="0" w:color="auto"/>
              <w:right w:val="single" w:sz="4" w:space="0" w:color="auto"/>
            </w:tcBorders>
            <w:noWrap/>
            <w:vAlign w:val="center"/>
          </w:tcPr>
          <w:p w14:paraId="3CF324DA" w14:textId="77777777" w:rsidR="00793C88" w:rsidRDefault="00793C88" w:rsidP="008738F2">
            <w:pPr>
              <w:spacing w:after="60"/>
              <w:rPr>
                <w:rFonts w:ascii="Arial" w:hAnsi="Arial" w:cs="Arial"/>
                <w:sz w:val="20"/>
                <w:szCs w:val="20"/>
              </w:rPr>
            </w:pPr>
            <w:smartTag w:uri="urn:schemas-microsoft-com:office:smarttags" w:element="place">
              <w:smartTag w:uri="urn:schemas-microsoft-com:office:smarttags" w:element="City">
                <w:r>
                  <w:rPr>
                    <w:rFonts w:ascii="Arial" w:hAnsi="Arial" w:cs="Arial"/>
                    <w:sz w:val="20"/>
                    <w:szCs w:val="20"/>
                  </w:rPr>
                  <w:t>ANNETTE</w:t>
                </w:r>
              </w:smartTag>
              <w:r>
                <w:rPr>
                  <w:rFonts w:ascii="Arial" w:hAnsi="Arial" w:cs="Arial"/>
                  <w:sz w:val="20"/>
                  <w:szCs w:val="20"/>
                </w:rPr>
                <w:t xml:space="preserve">, </w:t>
              </w:r>
              <w:smartTag w:uri="urn:schemas-microsoft-com:office:smarttags" w:element="State">
                <w:r>
                  <w:rPr>
                    <w:rFonts w:ascii="Arial" w:hAnsi="Arial" w:cs="Arial"/>
                    <w:sz w:val="20"/>
                    <w:szCs w:val="20"/>
                  </w:rPr>
                  <w:t>AK</w:t>
                </w:r>
              </w:smartTag>
            </w:smartTag>
          </w:p>
        </w:tc>
        <w:tc>
          <w:tcPr>
            <w:tcW w:w="643" w:type="dxa"/>
            <w:tcBorders>
              <w:top w:val="nil"/>
              <w:left w:val="nil"/>
              <w:bottom w:val="single" w:sz="4" w:space="0" w:color="auto"/>
              <w:right w:val="single" w:sz="4" w:space="0" w:color="auto"/>
            </w:tcBorders>
            <w:noWrap/>
            <w:vAlign w:val="center"/>
          </w:tcPr>
          <w:p w14:paraId="56D99D14" w14:textId="77777777" w:rsidR="00793C88" w:rsidRDefault="00793C88" w:rsidP="008738F2">
            <w:pPr>
              <w:spacing w:after="60"/>
              <w:jc w:val="right"/>
              <w:rPr>
                <w:rFonts w:ascii="Arial" w:hAnsi="Arial" w:cs="Arial"/>
                <w:sz w:val="20"/>
                <w:szCs w:val="20"/>
              </w:rPr>
            </w:pPr>
            <w:r>
              <w:rPr>
                <w:rFonts w:ascii="Arial" w:hAnsi="Arial" w:cs="Arial"/>
                <w:sz w:val="20"/>
                <w:szCs w:val="20"/>
              </w:rPr>
              <w:t>44</w:t>
            </w:r>
          </w:p>
        </w:tc>
        <w:tc>
          <w:tcPr>
            <w:tcW w:w="594" w:type="dxa"/>
            <w:tcBorders>
              <w:top w:val="nil"/>
              <w:left w:val="nil"/>
              <w:bottom w:val="single" w:sz="4" w:space="0" w:color="auto"/>
              <w:right w:val="single" w:sz="4" w:space="0" w:color="auto"/>
            </w:tcBorders>
            <w:noWrap/>
            <w:vAlign w:val="center"/>
          </w:tcPr>
          <w:p w14:paraId="756BF8F4" w14:textId="77777777" w:rsidR="00793C88" w:rsidRDefault="00793C88" w:rsidP="008738F2">
            <w:pPr>
              <w:spacing w:after="60"/>
              <w:jc w:val="right"/>
              <w:rPr>
                <w:rFonts w:ascii="Arial" w:hAnsi="Arial" w:cs="Arial"/>
                <w:sz w:val="20"/>
                <w:szCs w:val="20"/>
              </w:rPr>
            </w:pPr>
            <w:r>
              <w:rPr>
                <w:rFonts w:ascii="Arial" w:hAnsi="Arial" w:cs="Arial"/>
                <w:sz w:val="20"/>
                <w:szCs w:val="20"/>
              </w:rPr>
              <w:t>17</w:t>
            </w:r>
          </w:p>
        </w:tc>
        <w:tc>
          <w:tcPr>
            <w:tcW w:w="610" w:type="dxa"/>
            <w:tcBorders>
              <w:top w:val="nil"/>
              <w:left w:val="nil"/>
              <w:bottom w:val="single" w:sz="4" w:space="0" w:color="auto"/>
              <w:right w:val="single" w:sz="4" w:space="0" w:color="auto"/>
            </w:tcBorders>
            <w:noWrap/>
            <w:vAlign w:val="center"/>
          </w:tcPr>
          <w:p w14:paraId="4A3AB009" w14:textId="77777777" w:rsidR="00793C88" w:rsidRDefault="00793C88" w:rsidP="008738F2">
            <w:pPr>
              <w:spacing w:after="60"/>
              <w:jc w:val="right"/>
              <w:rPr>
                <w:rFonts w:ascii="Arial" w:hAnsi="Arial" w:cs="Arial"/>
                <w:sz w:val="20"/>
                <w:szCs w:val="20"/>
              </w:rPr>
            </w:pPr>
            <w:r>
              <w:rPr>
                <w:rFonts w:ascii="Arial" w:hAnsi="Arial" w:cs="Arial"/>
                <w:sz w:val="20"/>
                <w:szCs w:val="20"/>
              </w:rPr>
              <w:t>13</w:t>
            </w:r>
          </w:p>
        </w:tc>
        <w:tc>
          <w:tcPr>
            <w:tcW w:w="691" w:type="dxa"/>
            <w:tcBorders>
              <w:top w:val="nil"/>
              <w:left w:val="nil"/>
              <w:bottom w:val="single" w:sz="4" w:space="0" w:color="auto"/>
              <w:right w:val="single" w:sz="4" w:space="0" w:color="auto"/>
            </w:tcBorders>
            <w:noWrap/>
            <w:vAlign w:val="center"/>
          </w:tcPr>
          <w:p w14:paraId="48802BCD" w14:textId="77777777" w:rsidR="00793C88" w:rsidRDefault="00793C88" w:rsidP="008738F2">
            <w:pPr>
              <w:spacing w:after="60"/>
              <w:jc w:val="right"/>
              <w:rPr>
                <w:rFonts w:ascii="Arial" w:hAnsi="Arial" w:cs="Arial"/>
                <w:sz w:val="20"/>
                <w:szCs w:val="20"/>
              </w:rPr>
            </w:pPr>
            <w:r>
              <w:rPr>
                <w:rFonts w:ascii="Arial" w:hAnsi="Arial" w:cs="Arial"/>
                <w:sz w:val="20"/>
                <w:szCs w:val="20"/>
              </w:rPr>
              <w:t>12</w:t>
            </w:r>
          </w:p>
        </w:tc>
        <w:tc>
          <w:tcPr>
            <w:tcW w:w="643" w:type="dxa"/>
            <w:tcBorders>
              <w:top w:val="nil"/>
              <w:left w:val="nil"/>
              <w:bottom w:val="single" w:sz="4" w:space="0" w:color="auto"/>
              <w:right w:val="single" w:sz="4" w:space="0" w:color="auto"/>
            </w:tcBorders>
            <w:noWrap/>
            <w:vAlign w:val="center"/>
          </w:tcPr>
          <w:p w14:paraId="781D2BD7" w14:textId="77777777" w:rsidR="00793C88" w:rsidRDefault="00793C88" w:rsidP="008738F2">
            <w:pPr>
              <w:spacing w:after="60"/>
              <w:jc w:val="right"/>
              <w:rPr>
                <w:rFonts w:ascii="Arial" w:hAnsi="Arial" w:cs="Arial"/>
                <w:sz w:val="20"/>
                <w:szCs w:val="20"/>
              </w:rPr>
            </w:pPr>
            <w:r>
              <w:rPr>
                <w:rFonts w:ascii="Arial" w:hAnsi="Arial" w:cs="Arial"/>
                <w:sz w:val="20"/>
                <w:szCs w:val="20"/>
              </w:rPr>
              <w:t>4</w:t>
            </w:r>
          </w:p>
        </w:tc>
        <w:tc>
          <w:tcPr>
            <w:tcW w:w="675" w:type="dxa"/>
            <w:tcBorders>
              <w:top w:val="nil"/>
              <w:left w:val="nil"/>
              <w:bottom w:val="single" w:sz="4" w:space="0" w:color="auto"/>
              <w:right w:val="single" w:sz="4" w:space="0" w:color="auto"/>
            </w:tcBorders>
            <w:noWrap/>
            <w:vAlign w:val="center"/>
          </w:tcPr>
          <w:p w14:paraId="1227C52E" w14:textId="77777777" w:rsidR="00793C88" w:rsidRDefault="00793C88" w:rsidP="008738F2">
            <w:pPr>
              <w:spacing w:after="60"/>
              <w:jc w:val="right"/>
              <w:rPr>
                <w:rFonts w:ascii="Arial" w:hAnsi="Arial" w:cs="Arial"/>
                <w:sz w:val="20"/>
                <w:szCs w:val="20"/>
              </w:rPr>
            </w:pPr>
            <w:r>
              <w:rPr>
                <w:rFonts w:ascii="Arial" w:hAnsi="Arial" w:cs="Arial"/>
                <w:sz w:val="20"/>
                <w:szCs w:val="20"/>
              </w:rPr>
              <w:t>*</w:t>
            </w:r>
          </w:p>
        </w:tc>
        <w:tc>
          <w:tcPr>
            <w:tcW w:w="610" w:type="dxa"/>
            <w:tcBorders>
              <w:top w:val="nil"/>
              <w:left w:val="nil"/>
              <w:bottom w:val="single" w:sz="4" w:space="0" w:color="auto"/>
              <w:right w:val="single" w:sz="4" w:space="0" w:color="auto"/>
            </w:tcBorders>
            <w:noWrap/>
            <w:vAlign w:val="center"/>
          </w:tcPr>
          <w:p w14:paraId="1AC422BF" w14:textId="77777777" w:rsidR="00793C88" w:rsidRDefault="00793C88" w:rsidP="008738F2">
            <w:pPr>
              <w:spacing w:after="60"/>
              <w:jc w:val="right"/>
              <w:rPr>
                <w:rFonts w:ascii="Arial" w:hAnsi="Arial" w:cs="Arial"/>
                <w:sz w:val="20"/>
                <w:szCs w:val="20"/>
              </w:rPr>
            </w:pPr>
            <w:r>
              <w:rPr>
                <w:rFonts w:ascii="Arial" w:hAnsi="Arial" w:cs="Arial"/>
                <w:sz w:val="20"/>
                <w:szCs w:val="20"/>
              </w:rPr>
              <w:t>0</w:t>
            </w:r>
          </w:p>
        </w:tc>
        <w:tc>
          <w:tcPr>
            <w:tcW w:w="572" w:type="dxa"/>
            <w:tcBorders>
              <w:top w:val="nil"/>
              <w:left w:val="nil"/>
              <w:bottom w:val="single" w:sz="4" w:space="0" w:color="auto"/>
              <w:right w:val="single" w:sz="4" w:space="0" w:color="auto"/>
            </w:tcBorders>
            <w:noWrap/>
            <w:vAlign w:val="center"/>
          </w:tcPr>
          <w:p w14:paraId="7175B33B" w14:textId="77777777" w:rsidR="00793C88" w:rsidRDefault="00793C88" w:rsidP="008738F2">
            <w:pPr>
              <w:spacing w:after="60"/>
              <w:jc w:val="right"/>
              <w:rPr>
                <w:rFonts w:ascii="Arial" w:hAnsi="Arial" w:cs="Arial"/>
                <w:sz w:val="20"/>
                <w:szCs w:val="20"/>
              </w:rPr>
            </w:pPr>
            <w:r>
              <w:rPr>
                <w:rFonts w:ascii="Arial" w:hAnsi="Arial" w:cs="Arial"/>
                <w:sz w:val="20"/>
                <w:szCs w:val="20"/>
              </w:rPr>
              <w:t>0</w:t>
            </w:r>
          </w:p>
        </w:tc>
        <w:tc>
          <w:tcPr>
            <w:tcW w:w="675" w:type="dxa"/>
            <w:tcBorders>
              <w:top w:val="nil"/>
              <w:left w:val="nil"/>
              <w:bottom w:val="single" w:sz="4" w:space="0" w:color="auto"/>
              <w:right w:val="single" w:sz="4" w:space="0" w:color="auto"/>
            </w:tcBorders>
            <w:noWrap/>
            <w:vAlign w:val="center"/>
          </w:tcPr>
          <w:p w14:paraId="4B69C0F7" w14:textId="77777777" w:rsidR="00793C88" w:rsidRDefault="00793C88" w:rsidP="008738F2">
            <w:pPr>
              <w:spacing w:after="60"/>
              <w:jc w:val="right"/>
              <w:rPr>
                <w:rFonts w:ascii="Arial" w:hAnsi="Arial" w:cs="Arial"/>
                <w:sz w:val="20"/>
                <w:szCs w:val="20"/>
              </w:rPr>
            </w:pPr>
            <w:r>
              <w:rPr>
                <w:rFonts w:ascii="Arial" w:hAnsi="Arial" w:cs="Arial"/>
                <w:sz w:val="20"/>
                <w:szCs w:val="20"/>
              </w:rPr>
              <w:t>0</w:t>
            </w:r>
          </w:p>
        </w:tc>
        <w:tc>
          <w:tcPr>
            <w:tcW w:w="627" w:type="dxa"/>
            <w:tcBorders>
              <w:top w:val="nil"/>
              <w:left w:val="nil"/>
              <w:bottom w:val="single" w:sz="4" w:space="0" w:color="auto"/>
              <w:right w:val="single" w:sz="4" w:space="0" w:color="auto"/>
            </w:tcBorders>
            <w:noWrap/>
            <w:vAlign w:val="center"/>
          </w:tcPr>
          <w:p w14:paraId="331C982D" w14:textId="77777777" w:rsidR="00793C88" w:rsidRDefault="00793C88" w:rsidP="008738F2">
            <w:pPr>
              <w:spacing w:after="60"/>
              <w:jc w:val="right"/>
              <w:rPr>
                <w:rFonts w:ascii="Arial" w:hAnsi="Arial" w:cs="Arial"/>
                <w:sz w:val="20"/>
                <w:szCs w:val="20"/>
              </w:rPr>
            </w:pPr>
            <w:r>
              <w:rPr>
                <w:rFonts w:ascii="Arial" w:hAnsi="Arial" w:cs="Arial"/>
                <w:sz w:val="20"/>
                <w:szCs w:val="20"/>
              </w:rPr>
              <w:t>0</w:t>
            </w:r>
          </w:p>
        </w:tc>
        <w:tc>
          <w:tcPr>
            <w:tcW w:w="659" w:type="dxa"/>
            <w:tcBorders>
              <w:top w:val="nil"/>
              <w:left w:val="nil"/>
              <w:bottom w:val="single" w:sz="4" w:space="0" w:color="auto"/>
              <w:right w:val="single" w:sz="4" w:space="0" w:color="auto"/>
            </w:tcBorders>
            <w:noWrap/>
            <w:vAlign w:val="center"/>
          </w:tcPr>
          <w:p w14:paraId="6B06C505" w14:textId="77777777" w:rsidR="00793C88" w:rsidRDefault="00793C88" w:rsidP="008738F2">
            <w:pPr>
              <w:spacing w:after="60"/>
              <w:jc w:val="right"/>
              <w:rPr>
                <w:rFonts w:ascii="Arial" w:hAnsi="Arial" w:cs="Arial"/>
                <w:sz w:val="20"/>
                <w:szCs w:val="20"/>
              </w:rPr>
            </w:pPr>
            <w:r>
              <w:rPr>
                <w:rFonts w:ascii="Arial" w:hAnsi="Arial" w:cs="Arial"/>
                <w:sz w:val="20"/>
                <w:szCs w:val="20"/>
              </w:rPr>
              <w:t>2</w:t>
            </w:r>
          </w:p>
        </w:tc>
        <w:tc>
          <w:tcPr>
            <w:tcW w:w="675" w:type="dxa"/>
            <w:tcBorders>
              <w:top w:val="nil"/>
              <w:left w:val="nil"/>
              <w:bottom w:val="single" w:sz="4" w:space="0" w:color="auto"/>
              <w:right w:val="single" w:sz="4" w:space="0" w:color="auto"/>
            </w:tcBorders>
            <w:noWrap/>
            <w:vAlign w:val="center"/>
          </w:tcPr>
          <w:p w14:paraId="7DC14660" w14:textId="77777777" w:rsidR="00793C88" w:rsidRDefault="00793C88" w:rsidP="008738F2">
            <w:pPr>
              <w:spacing w:after="60"/>
              <w:jc w:val="right"/>
              <w:rPr>
                <w:rFonts w:ascii="Arial" w:hAnsi="Arial" w:cs="Arial"/>
                <w:sz w:val="20"/>
                <w:szCs w:val="20"/>
              </w:rPr>
            </w:pPr>
            <w:r>
              <w:rPr>
                <w:rFonts w:ascii="Arial" w:hAnsi="Arial" w:cs="Arial"/>
                <w:sz w:val="20"/>
                <w:szCs w:val="20"/>
              </w:rPr>
              <w:t>10</w:t>
            </w:r>
          </w:p>
        </w:tc>
        <w:tc>
          <w:tcPr>
            <w:tcW w:w="659" w:type="dxa"/>
            <w:tcBorders>
              <w:top w:val="nil"/>
              <w:left w:val="nil"/>
              <w:bottom w:val="single" w:sz="4" w:space="0" w:color="auto"/>
              <w:right w:val="single" w:sz="4" w:space="0" w:color="auto"/>
            </w:tcBorders>
            <w:noWrap/>
            <w:vAlign w:val="center"/>
          </w:tcPr>
          <w:p w14:paraId="7AB5D0ED" w14:textId="77777777" w:rsidR="00793C88" w:rsidRDefault="00793C88" w:rsidP="008738F2">
            <w:pPr>
              <w:spacing w:after="60"/>
              <w:jc w:val="right"/>
              <w:rPr>
                <w:rFonts w:ascii="Arial" w:hAnsi="Arial" w:cs="Arial"/>
                <w:sz w:val="20"/>
                <w:szCs w:val="20"/>
              </w:rPr>
            </w:pPr>
            <w:r>
              <w:rPr>
                <w:rFonts w:ascii="Arial" w:hAnsi="Arial" w:cs="Arial"/>
                <w:sz w:val="20"/>
                <w:szCs w:val="20"/>
              </w:rPr>
              <w:t>14</w:t>
            </w:r>
          </w:p>
        </w:tc>
        <w:tc>
          <w:tcPr>
            <w:tcW w:w="659" w:type="dxa"/>
            <w:tcBorders>
              <w:top w:val="nil"/>
              <w:left w:val="nil"/>
              <w:bottom w:val="single" w:sz="4" w:space="0" w:color="auto"/>
              <w:right w:val="single" w:sz="4" w:space="0" w:color="auto"/>
            </w:tcBorders>
            <w:noWrap/>
            <w:vAlign w:val="center"/>
          </w:tcPr>
          <w:p w14:paraId="2C1CFE46" w14:textId="77777777" w:rsidR="00793C88" w:rsidRDefault="00793C88" w:rsidP="008738F2">
            <w:pPr>
              <w:spacing w:after="60"/>
              <w:jc w:val="right"/>
              <w:rPr>
                <w:rFonts w:ascii="Arial" w:hAnsi="Arial" w:cs="Arial"/>
                <w:sz w:val="20"/>
                <w:szCs w:val="20"/>
              </w:rPr>
            </w:pPr>
            <w:r>
              <w:rPr>
                <w:rFonts w:ascii="Arial" w:hAnsi="Arial" w:cs="Arial"/>
                <w:sz w:val="20"/>
                <w:szCs w:val="20"/>
              </w:rPr>
              <w:t>71</w:t>
            </w:r>
          </w:p>
        </w:tc>
      </w:tr>
      <w:tr w:rsidR="00793C88" w14:paraId="25AC2D6D" w14:textId="77777777" w:rsidTr="006B524B">
        <w:trPr>
          <w:trHeight w:val="288"/>
          <w:jc w:val="center"/>
        </w:trPr>
        <w:tc>
          <w:tcPr>
            <w:tcW w:w="3100" w:type="dxa"/>
            <w:tcBorders>
              <w:top w:val="nil"/>
              <w:left w:val="single" w:sz="4" w:space="0" w:color="auto"/>
              <w:bottom w:val="single" w:sz="4" w:space="0" w:color="auto"/>
              <w:right w:val="single" w:sz="4" w:space="0" w:color="auto"/>
            </w:tcBorders>
            <w:noWrap/>
            <w:vAlign w:val="center"/>
          </w:tcPr>
          <w:p w14:paraId="723E9A58" w14:textId="77777777" w:rsidR="00793C88" w:rsidRDefault="00793C88" w:rsidP="008738F2">
            <w:pPr>
              <w:spacing w:after="60"/>
              <w:rPr>
                <w:rFonts w:ascii="Arial" w:hAnsi="Arial" w:cs="Arial"/>
                <w:sz w:val="20"/>
                <w:szCs w:val="20"/>
              </w:rPr>
            </w:pPr>
            <w:r>
              <w:rPr>
                <w:rFonts w:ascii="Arial" w:hAnsi="Arial" w:cs="Arial"/>
                <w:sz w:val="20"/>
                <w:szCs w:val="20"/>
              </w:rPr>
              <w:t>BARROW, AK</w:t>
            </w:r>
          </w:p>
        </w:tc>
        <w:tc>
          <w:tcPr>
            <w:tcW w:w="643" w:type="dxa"/>
            <w:tcBorders>
              <w:top w:val="nil"/>
              <w:left w:val="nil"/>
              <w:bottom w:val="single" w:sz="4" w:space="0" w:color="auto"/>
              <w:right w:val="single" w:sz="4" w:space="0" w:color="auto"/>
            </w:tcBorders>
            <w:noWrap/>
            <w:vAlign w:val="center"/>
          </w:tcPr>
          <w:p w14:paraId="66B41761" w14:textId="77777777" w:rsidR="00793C88" w:rsidRDefault="00793C88" w:rsidP="008738F2">
            <w:pPr>
              <w:spacing w:after="60"/>
              <w:jc w:val="right"/>
              <w:rPr>
                <w:rFonts w:ascii="Arial" w:hAnsi="Arial" w:cs="Arial"/>
                <w:sz w:val="20"/>
                <w:szCs w:val="20"/>
              </w:rPr>
            </w:pPr>
            <w:r>
              <w:rPr>
                <w:rFonts w:ascii="Arial" w:hAnsi="Arial" w:cs="Arial"/>
                <w:sz w:val="20"/>
                <w:szCs w:val="20"/>
              </w:rPr>
              <w:t>84</w:t>
            </w:r>
          </w:p>
        </w:tc>
        <w:tc>
          <w:tcPr>
            <w:tcW w:w="594" w:type="dxa"/>
            <w:tcBorders>
              <w:top w:val="nil"/>
              <w:left w:val="nil"/>
              <w:bottom w:val="single" w:sz="4" w:space="0" w:color="auto"/>
              <w:right w:val="single" w:sz="4" w:space="0" w:color="auto"/>
            </w:tcBorders>
            <w:noWrap/>
            <w:vAlign w:val="center"/>
          </w:tcPr>
          <w:p w14:paraId="25F1D65B" w14:textId="77777777" w:rsidR="00793C88" w:rsidRDefault="00793C88" w:rsidP="008738F2">
            <w:pPr>
              <w:spacing w:after="60"/>
              <w:jc w:val="right"/>
              <w:rPr>
                <w:rFonts w:ascii="Arial" w:hAnsi="Arial" w:cs="Arial"/>
                <w:sz w:val="20"/>
                <w:szCs w:val="20"/>
              </w:rPr>
            </w:pPr>
            <w:r>
              <w:rPr>
                <w:rFonts w:ascii="Arial" w:hAnsi="Arial" w:cs="Arial"/>
                <w:sz w:val="20"/>
                <w:szCs w:val="20"/>
              </w:rPr>
              <w:t>31</w:t>
            </w:r>
          </w:p>
        </w:tc>
        <w:tc>
          <w:tcPr>
            <w:tcW w:w="610" w:type="dxa"/>
            <w:tcBorders>
              <w:top w:val="nil"/>
              <w:left w:val="nil"/>
              <w:bottom w:val="single" w:sz="4" w:space="0" w:color="auto"/>
              <w:right w:val="single" w:sz="4" w:space="0" w:color="auto"/>
            </w:tcBorders>
            <w:noWrap/>
            <w:vAlign w:val="center"/>
          </w:tcPr>
          <w:p w14:paraId="49B92D09" w14:textId="77777777" w:rsidR="00793C88" w:rsidRDefault="00793C88" w:rsidP="008738F2">
            <w:pPr>
              <w:spacing w:after="60"/>
              <w:jc w:val="right"/>
              <w:rPr>
                <w:rFonts w:ascii="Arial" w:hAnsi="Arial" w:cs="Arial"/>
                <w:sz w:val="20"/>
                <w:szCs w:val="20"/>
              </w:rPr>
            </w:pPr>
            <w:r>
              <w:rPr>
                <w:rFonts w:ascii="Arial" w:hAnsi="Arial" w:cs="Arial"/>
                <w:sz w:val="20"/>
                <w:szCs w:val="20"/>
              </w:rPr>
              <w:t>28</w:t>
            </w:r>
          </w:p>
        </w:tc>
        <w:tc>
          <w:tcPr>
            <w:tcW w:w="691" w:type="dxa"/>
            <w:tcBorders>
              <w:top w:val="nil"/>
              <w:left w:val="nil"/>
              <w:bottom w:val="single" w:sz="4" w:space="0" w:color="auto"/>
              <w:right w:val="single" w:sz="4" w:space="0" w:color="auto"/>
            </w:tcBorders>
            <w:noWrap/>
            <w:vAlign w:val="center"/>
          </w:tcPr>
          <w:p w14:paraId="60019326" w14:textId="77777777" w:rsidR="00793C88" w:rsidRDefault="00793C88" w:rsidP="008738F2">
            <w:pPr>
              <w:spacing w:after="60"/>
              <w:jc w:val="right"/>
              <w:rPr>
                <w:rFonts w:ascii="Arial" w:hAnsi="Arial" w:cs="Arial"/>
                <w:sz w:val="20"/>
                <w:szCs w:val="20"/>
              </w:rPr>
            </w:pPr>
            <w:r>
              <w:rPr>
                <w:rFonts w:ascii="Arial" w:hAnsi="Arial" w:cs="Arial"/>
                <w:sz w:val="20"/>
                <w:szCs w:val="20"/>
              </w:rPr>
              <w:t>31</w:t>
            </w:r>
          </w:p>
        </w:tc>
        <w:tc>
          <w:tcPr>
            <w:tcW w:w="643" w:type="dxa"/>
            <w:tcBorders>
              <w:top w:val="nil"/>
              <w:left w:val="nil"/>
              <w:bottom w:val="single" w:sz="4" w:space="0" w:color="auto"/>
              <w:right w:val="single" w:sz="4" w:space="0" w:color="auto"/>
            </w:tcBorders>
            <w:noWrap/>
            <w:vAlign w:val="center"/>
          </w:tcPr>
          <w:p w14:paraId="377713B0" w14:textId="77777777" w:rsidR="00793C88" w:rsidRDefault="00793C88" w:rsidP="008738F2">
            <w:pPr>
              <w:spacing w:after="60"/>
              <w:jc w:val="right"/>
              <w:rPr>
                <w:rFonts w:ascii="Arial" w:hAnsi="Arial" w:cs="Arial"/>
                <w:sz w:val="20"/>
                <w:szCs w:val="20"/>
              </w:rPr>
            </w:pPr>
            <w:r>
              <w:rPr>
                <w:rFonts w:ascii="Arial" w:hAnsi="Arial" w:cs="Arial"/>
                <w:sz w:val="20"/>
                <w:szCs w:val="20"/>
              </w:rPr>
              <w:t>30</w:t>
            </w:r>
          </w:p>
        </w:tc>
        <w:tc>
          <w:tcPr>
            <w:tcW w:w="675" w:type="dxa"/>
            <w:tcBorders>
              <w:top w:val="nil"/>
              <w:left w:val="nil"/>
              <w:bottom w:val="single" w:sz="4" w:space="0" w:color="auto"/>
              <w:right w:val="single" w:sz="4" w:space="0" w:color="auto"/>
            </w:tcBorders>
            <w:noWrap/>
            <w:vAlign w:val="center"/>
          </w:tcPr>
          <w:p w14:paraId="6E3B1C94" w14:textId="77777777" w:rsidR="00793C88" w:rsidRDefault="00793C88" w:rsidP="008738F2">
            <w:pPr>
              <w:spacing w:after="60"/>
              <w:jc w:val="right"/>
              <w:rPr>
                <w:rFonts w:ascii="Arial" w:hAnsi="Arial" w:cs="Arial"/>
                <w:sz w:val="20"/>
                <w:szCs w:val="20"/>
              </w:rPr>
            </w:pPr>
            <w:r>
              <w:rPr>
                <w:rFonts w:ascii="Arial" w:hAnsi="Arial" w:cs="Arial"/>
                <w:sz w:val="20"/>
                <w:szCs w:val="20"/>
              </w:rPr>
              <w:t>31</w:t>
            </w:r>
          </w:p>
        </w:tc>
        <w:tc>
          <w:tcPr>
            <w:tcW w:w="610" w:type="dxa"/>
            <w:tcBorders>
              <w:top w:val="nil"/>
              <w:left w:val="nil"/>
              <w:bottom w:val="single" w:sz="4" w:space="0" w:color="auto"/>
              <w:right w:val="single" w:sz="4" w:space="0" w:color="auto"/>
            </w:tcBorders>
            <w:noWrap/>
            <w:vAlign w:val="center"/>
          </w:tcPr>
          <w:p w14:paraId="6CC44B34" w14:textId="77777777" w:rsidR="00793C88" w:rsidRDefault="00793C88" w:rsidP="008738F2">
            <w:pPr>
              <w:spacing w:after="60"/>
              <w:jc w:val="right"/>
              <w:rPr>
                <w:rFonts w:ascii="Arial" w:hAnsi="Arial" w:cs="Arial"/>
                <w:sz w:val="20"/>
                <w:szCs w:val="20"/>
              </w:rPr>
            </w:pPr>
            <w:r>
              <w:rPr>
                <w:rFonts w:ascii="Arial" w:hAnsi="Arial" w:cs="Arial"/>
                <w:sz w:val="20"/>
                <w:szCs w:val="20"/>
              </w:rPr>
              <w:t>24</w:t>
            </w:r>
          </w:p>
        </w:tc>
        <w:tc>
          <w:tcPr>
            <w:tcW w:w="572" w:type="dxa"/>
            <w:tcBorders>
              <w:top w:val="nil"/>
              <w:left w:val="nil"/>
              <w:bottom w:val="single" w:sz="4" w:space="0" w:color="auto"/>
              <w:right w:val="single" w:sz="4" w:space="0" w:color="auto"/>
            </w:tcBorders>
            <w:noWrap/>
            <w:vAlign w:val="center"/>
          </w:tcPr>
          <w:p w14:paraId="41860A65" w14:textId="77777777" w:rsidR="00793C88" w:rsidRDefault="00793C88" w:rsidP="008738F2">
            <w:pPr>
              <w:spacing w:after="60"/>
              <w:jc w:val="right"/>
              <w:rPr>
                <w:rFonts w:ascii="Arial" w:hAnsi="Arial" w:cs="Arial"/>
                <w:sz w:val="20"/>
                <w:szCs w:val="20"/>
              </w:rPr>
            </w:pPr>
            <w:r>
              <w:rPr>
                <w:rFonts w:ascii="Arial" w:hAnsi="Arial" w:cs="Arial"/>
                <w:sz w:val="20"/>
                <w:szCs w:val="20"/>
              </w:rPr>
              <w:t>14</w:t>
            </w:r>
          </w:p>
        </w:tc>
        <w:tc>
          <w:tcPr>
            <w:tcW w:w="675" w:type="dxa"/>
            <w:tcBorders>
              <w:top w:val="nil"/>
              <w:left w:val="nil"/>
              <w:bottom w:val="single" w:sz="4" w:space="0" w:color="auto"/>
              <w:right w:val="single" w:sz="4" w:space="0" w:color="auto"/>
            </w:tcBorders>
            <w:noWrap/>
            <w:vAlign w:val="center"/>
          </w:tcPr>
          <w:p w14:paraId="4E498BF3" w14:textId="77777777" w:rsidR="00793C88" w:rsidRDefault="00793C88" w:rsidP="008738F2">
            <w:pPr>
              <w:spacing w:after="60"/>
              <w:jc w:val="right"/>
              <w:rPr>
                <w:rFonts w:ascii="Arial" w:hAnsi="Arial" w:cs="Arial"/>
                <w:sz w:val="20"/>
                <w:szCs w:val="20"/>
              </w:rPr>
            </w:pPr>
            <w:r>
              <w:rPr>
                <w:rFonts w:ascii="Arial" w:hAnsi="Arial" w:cs="Arial"/>
                <w:sz w:val="20"/>
                <w:szCs w:val="20"/>
              </w:rPr>
              <w:t>15</w:t>
            </w:r>
          </w:p>
        </w:tc>
        <w:tc>
          <w:tcPr>
            <w:tcW w:w="627" w:type="dxa"/>
            <w:tcBorders>
              <w:top w:val="nil"/>
              <w:left w:val="nil"/>
              <w:bottom w:val="single" w:sz="4" w:space="0" w:color="auto"/>
              <w:right w:val="single" w:sz="4" w:space="0" w:color="auto"/>
            </w:tcBorders>
            <w:noWrap/>
            <w:vAlign w:val="center"/>
          </w:tcPr>
          <w:p w14:paraId="768AB926" w14:textId="77777777" w:rsidR="00793C88" w:rsidRDefault="00793C88" w:rsidP="008738F2">
            <w:pPr>
              <w:spacing w:after="60"/>
              <w:jc w:val="right"/>
              <w:rPr>
                <w:rFonts w:ascii="Arial" w:hAnsi="Arial" w:cs="Arial"/>
                <w:sz w:val="20"/>
                <w:szCs w:val="20"/>
              </w:rPr>
            </w:pPr>
            <w:r>
              <w:rPr>
                <w:rFonts w:ascii="Arial" w:hAnsi="Arial" w:cs="Arial"/>
                <w:sz w:val="20"/>
                <w:szCs w:val="20"/>
              </w:rPr>
              <w:t>25</w:t>
            </w:r>
          </w:p>
        </w:tc>
        <w:tc>
          <w:tcPr>
            <w:tcW w:w="659" w:type="dxa"/>
            <w:tcBorders>
              <w:top w:val="nil"/>
              <w:left w:val="nil"/>
              <w:bottom w:val="single" w:sz="4" w:space="0" w:color="auto"/>
              <w:right w:val="single" w:sz="4" w:space="0" w:color="auto"/>
            </w:tcBorders>
            <w:noWrap/>
            <w:vAlign w:val="center"/>
          </w:tcPr>
          <w:p w14:paraId="42EDD8C5" w14:textId="77777777" w:rsidR="00793C88" w:rsidRDefault="00793C88" w:rsidP="008738F2">
            <w:pPr>
              <w:spacing w:after="60"/>
              <w:jc w:val="right"/>
              <w:rPr>
                <w:rFonts w:ascii="Arial" w:hAnsi="Arial" w:cs="Arial"/>
                <w:sz w:val="20"/>
                <w:szCs w:val="20"/>
              </w:rPr>
            </w:pPr>
            <w:r>
              <w:rPr>
                <w:rFonts w:ascii="Arial" w:hAnsi="Arial" w:cs="Arial"/>
                <w:sz w:val="20"/>
                <w:szCs w:val="20"/>
              </w:rPr>
              <w:t>31</w:t>
            </w:r>
          </w:p>
        </w:tc>
        <w:tc>
          <w:tcPr>
            <w:tcW w:w="675" w:type="dxa"/>
            <w:tcBorders>
              <w:top w:val="nil"/>
              <w:left w:val="nil"/>
              <w:bottom w:val="single" w:sz="4" w:space="0" w:color="auto"/>
              <w:right w:val="single" w:sz="4" w:space="0" w:color="auto"/>
            </w:tcBorders>
            <w:noWrap/>
            <w:vAlign w:val="center"/>
          </w:tcPr>
          <w:p w14:paraId="39A1E20C" w14:textId="77777777" w:rsidR="00793C88" w:rsidRDefault="00793C88" w:rsidP="008738F2">
            <w:pPr>
              <w:spacing w:after="60"/>
              <w:jc w:val="right"/>
              <w:rPr>
                <w:rFonts w:ascii="Arial" w:hAnsi="Arial" w:cs="Arial"/>
                <w:sz w:val="20"/>
                <w:szCs w:val="20"/>
              </w:rPr>
            </w:pPr>
            <w:r>
              <w:rPr>
                <w:rFonts w:ascii="Arial" w:hAnsi="Arial" w:cs="Arial"/>
                <w:sz w:val="20"/>
                <w:szCs w:val="20"/>
              </w:rPr>
              <w:t>30</w:t>
            </w:r>
          </w:p>
        </w:tc>
        <w:tc>
          <w:tcPr>
            <w:tcW w:w="659" w:type="dxa"/>
            <w:tcBorders>
              <w:top w:val="nil"/>
              <w:left w:val="nil"/>
              <w:bottom w:val="single" w:sz="4" w:space="0" w:color="auto"/>
              <w:right w:val="single" w:sz="4" w:space="0" w:color="auto"/>
            </w:tcBorders>
            <w:noWrap/>
            <w:vAlign w:val="center"/>
          </w:tcPr>
          <w:p w14:paraId="1269B018" w14:textId="77777777" w:rsidR="00793C88" w:rsidRDefault="00793C88" w:rsidP="008738F2">
            <w:pPr>
              <w:spacing w:after="60"/>
              <w:jc w:val="right"/>
              <w:rPr>
                <w:rFonts w:ascii="Arial" w:hAnsi="Arial" w:cs="Arial"/>
                <w:sz w:val="20"/>
                <w:szCs w:val="20"/>
              </w:rPr>
            </w:pPr>
            <w:r>
              <w:rPr>
                <w:rFonts w:ascii="Arial" w:hAnsi="Arial" w:cs="Arial"/>
                <w:sz w:val="20"/>
                <w:szCs w:val="20"/>
              </w:rPr>
              <w:t>31</w:t>
            </w:r>
          </w:p>
        </w:tc>
        <w:tc>
          <w:tcPr>
            <w:tcW w:w="659" w:type="dxa"/>
            <w:tcBorders>
              <w:top w:val="nil"/>
              <w:left w:val="nil"/>
              <w:bottom w:val="single" w:sz="4" w:space="0" w:color="auto"/>
              <w:right w:val="single" w:sz="4" w:space="0" w:color="auto"/>
            </w:tcBorders>
            <w:noWrap/>
            <w:vAlign w:val="center"/>
          </w:tcPr>
          <w:p w14:paraId="7B953200" w14:textId="77777777" w:rsidR="00793C88" w:rsidRDefault="00793C88" w:rsidP="008738F2">
            <w:pPr>
              <w:spacing w:after="60"/>
              <w:jc w:val="right"/>
              <w:rPr>
                <w:rFonts w:ascii="Arial" w:hAnsi="Arial" w:cs="Arial"/>
                <w:sz w:val="20"/>
                <w:szCs w:val="20"/>
              </w:rPr>
            </w:pPr>
            <w:r>
              <w:rPr>
                <w:rFonts w:ascii="Arial" w:hAnsi="Arial" w:cs="Arial"/>
                <w:sz w:val="20"/>
                <w:szCs w:val="20"/>
              </w:rPr>
              <w:t>321</w:t>
            </w:r>
          </w:p>
        </w:tc>
      </w:tr>
      <w:tr w:rsidR="00793C88" w14:paraId="238DF45E" w14:textId="77777777" w:rsidTr="006B524B">
        <w:trPr>
          <w:trHeight w:val="288"/>
          <w:jc w:val="center"/>
        </w:trPr>
        <w:tc>
          <w:tcPr>
            <w:tcW w:w="3100" w:type="dxa"/>
            <w:tcBorders>
              <w:top w:val="nil"/>
              <w:left w:val="single" w:sz="4" w:space="0" w:color="auto"/>
              <w:bottom w:val="single" w:sz="4" w:space="0" w:color="auto"/>
              <w:right w:val="single" w:sz="4" w:space="0" w:color="auto"/>
            </w:tcBorders>
            <w:noWrap/>
            <w:vAlign w:val="center"/>
          </w:tcPr>
          <w:p w14:paraId="59577926" w14:textId="77777777" w:rsidR="00793C88" w:rsidRDefault="00793C88" w:rsidP="008738F2">
            <w:pPr>
              <w:spacing w:after="60"/>
              <w:rPr>
                <w:rFonts w:ascii="Arial" w:hAnsi="Arial" w:cs="Arial"/>
                <w:sz w:val="20"/>
                <w:szCs w:val="20"/>
              </w:rPr>
            </w:pPr>
            <w:r>
              <w:rPr>
                <w:rFonts w:ascii="Arial" w:hAnsi="Arial" w:cs="Arial"/>
                <w:sz w:val="20"/>
                <w:szCs w:val="20"/>
              </w:rPr>
              <w:t xml:space="preserve">BARTER </w:t>
            </w:r>
            <w:proofErr w:type="gramStart"/>
            <w:r>
              <w:rPr>
                <w:rFonts w:ascii="Arial" w:hAnsi="Arial" w:cs="Arial"/>
                <w:sz w:val="20"/>
                <w:szCs w:val="20"/>
              </w:rPr>
              <w:t>IS.,AK</w:t>
            </w:r>
            <w:proofErr w:type="gramEnd"/>
          </w:p>
        </w:tc>
        <w:tc>
          <w:tcPr>
            <w:tcW w:w="643" w:type="dxa"/>
            <w:tcBorders>
              <w:top w:val="nil"/>
              <w:left w:val="nil"/>
              <w:bottom w:val="single" w:sz="4" w:space="0" w:color="auto"/>
              <w:right w:val="single" w:sz="4" w:space="0" w:color="auto"/>
            </w:tcBorders>
            <w:noWrap/>
            <w:vAlign w:val="center"/>
          </w:tcPr>
          <w:p w14:paraId="0BCF9CBF" w14:textId="77777777" w:rsidR="00793C88" w:rsidRDefault="00793C88" w:rsidP="008738F2">
            <w:pPr>
              <w:spacing w:after="60"/>
              <w:jc w:val="right"/>
              <w:rPr>
                <w:rFonts w:ascii="Arial" w:hAnsi="Arial" w:cs="Arial"/>
                <w:sz w:val="20"/>
                <w:szCs w:val="20"/>
              </w:rPr>
            </w:pPr>
            <w:r>
              <w:rPr>
                <w:rFonts w:ascii="Arial" w:hAnsi="Arial" w:cs="Arial"/>
                <w:sz w:val="20"/>
                <w:szCs w:val="20"/>
              </w:rPr>
              <w:t>41</w:t>
            </w:r>
          </w:p>
        </w:tc>
        <w:tc>
          <w:tcPr>
            <w:tcW w:w="594" w:type="dxa"/>
            <w:tcBorders>
              <w:top w:val="nil"/>
              <w:left w:val="nil"/>
              <w:bottom w:val="single" w:sz="4" w:space="0" w:color="auto"/>
              <w:right w:val="single" w:sz="4" w:space="0" w:color="auto"/>
            </w:tcBorders>
            <w:noWrap/>
            <w:vAlign w:val="center"/>
          </w:tcPr>
          <w:p w14:paraId="36BCFB1E" w14:textId="77777777" w:rsidR="00793C88" w:rsidRDefault="00793C88" w:rsidP="008738F2">
            <w:pPr>
              <w:spacing w:after="60"/>
              <w:jc w:val="right"/>
              <w:rPr>
                <w:rFonts w:ascii="Arial" w:hAnsi="Arial" w:cs="Arial"/>
                <w:sz w:val="20"/>
                <w:szCs w:val="20"/>
              </w:rPr>
            </w:pPr>
            <w:r>
              <w:rPr>
                <w:rFonts w:ascii="Arial" w:hAnsi="Arial" w:cs="Arial"/>
                <w:sz w:val="20"/>
                <w:szCs w:val="20"/>
              </w:rPr>
              <w:t>31</w:t>
            </w:r>
          </w:p>
        </w:tc>
        <w:tc>
          <w:tcPr>
            <w:tcW w:w="610" w:type="dxa"/>
            <w:tcBorders>
              <w:top w:val="nil"/>
              <w:left w:val="nil"/>
              <w:bottom w:val="single" w:sz="4" w:space="0" w:color="auto"/>
              <w:right w:val="single" w:sz="4" w:space="0" w:color="auto"/>
            </w:tcBorders>
            <w:noWrap/>
            <w:vAlign w:val="center"/>
          </w:tcPr>
          <w:p w14:paraId="0AFA7C6D" w14:textId="77777777" w:rsidR="00793C88" w:rsidRDefault="00793C88" w:rsidP="008738F2">
            <w:pPr>
              <w:spacing w:after="60"/>
              <w:jc w:val="right"/>
              <w:rPr>
                <w:rFonts w:ascii="Arial" w:hAnsi="Arial" w:cs="Arial"/>
                <w:sz w:val="20"/>
                <w:szCs w:val="20"/>
              </w:rPr>
            </w:pPr>
            <w:r>
              <w:rPr>
                <w:rFonts w:ascii="Arial" w:hAnsi="Arial" w:cs="Arial"/>
                <w:sz w:val="20"/>
                <w:szCs w:val="20"/>
              </w:rPr>
              <w:t>28</w:t>
            </w:r>
          </w:p>
        </w:tc>
        <w:tc>
          <w:tcPr>
            <w:tcW w:w="691" w:type="dxa"/>
            <w:tcBorders>
              <w:top w:val="nil"/>
              <w:left w:val="nil"/>
              <w:bottom w:val="single" w:sz="4" w:space="0" w:color="auto"/>
              <w:right w:val="single" w:sz="4" w:space="0" w:color="auto"/>
            </w:tcBorders>
            <w:noWrap/>
            <w:vAlign w:val="center"/>
          </w:tcPr>
          <w:p w14:paraId="468422DC" w14:textId="77777777" w:rsidR="00793C88" w:rsidRDefault="00793C88" w:rsidP="008738F2">
            <w:pPr>
              <w:spacing w:after="60"/>
              <w:jc w:val="right"/>
              <w:rPr>
                <w:rFonts w:ascii="Arial" w:hAnsi="Arial" w:cs="Arial"/>
                <w:sz w:val="20"/>
                <w:szCs w:val="20"/>
              </w:rPr>
            </w:pPr>
            <w:r>
              <w:rPr>
                <w:rFonts w:ascii="Arial" w:hAnsi="Arial" w:cs="Arial"/>
                <w:sz w:val="20"/>
                <w:szCs w:val="20"/>
              </w:rPr>
              <w:t>31</w:t>
            </w:r>
          </w:p>
        </w:tc>
        <w:tc>
          <w:tcPr>
            <w:tcW w:w="643" w:type="dxa"/>
            <w:tcBorders>
              <w:top w:val="nil"/>
              <w:left w:val="nil"/>
              <w:bottom w:val="single" w:sz="4" w:space="0" w:color="auto"/>
              <w:right w:val="single" w:sz="4" w:space="0" w:color="auto"/>
            </w:tcBorders>
            <w:noWrap/>
            <w:vAlign w:val="center"/>
          </w:tcPr>
          <w:p w14:paraId="563A33C7" w14:textId="77777777" w:rsidR="00793C88" w:rsidRDefault="00793C88" w:rsidP="008738F2">
            <w:pPr>
              <w:spacing w:after="60"/>
              <w:jc w:val="right"/>
              <w:rPr>
                <w:rFonts w:ascii="Arial" w:hAnsi="Arial" w:cs="Arial"/>
                <w:sz w:val="20"/>
                <w:szCs w:val="20"/>
              </w:rPr>
            </w:pPr>
            <w:r>
              <w:rPr>
                <w:rFonts w:ascii="Arial" w:hAnsi="Arial" w:cs="Arial"/>
                <w:sz w:val="20"/>
                <w:szCs w:val="20"/>
              </w:rPr>
              <w:t>30</w:t>
            </w:r>
          </w:p>
        </w:tc>
        <w:tc>
          <w:tcPr>
            <w:tcW w:w="675" w:type="dxa"/>
            <w:tcBorders>
              <w:top w:val="nil"/>
              <w:left w:val="nil"/>
              <w:bottom w:val="single" w:sz="4" w:space="0" w:color="auto"/>
              <w:right w:val="single" w:sz="4" w:space="0" w:color="auto"/>
            </w:tcBorders>
            <w:noWrap/>
            <w:vAlign w:val="center"/>
          </w:tcPr>
          <w:p w14:paraId="11E13BAD" w14:textId="77777777" w:rsidR="00793C88" w:rsidRDefault="00793C88" w:rsidP="008738F2">
            <w:pPr>
              <w:spacing w:after="60"/>
              <w:jc w:val="right"/>
              <w:rPr>
                <w:rFonts w:ascii="Arial" w:hAnsi="Arial" w:cs="Arial"/>
                <w:sz w:val="20"/>
                <w:szCs w:val="20"/>
              </w:rPr>
            </w:pPr>
            <w:r>
              <w:rPr>
                <w:rFonts w:ascii="Arial" w:hAnsi="Arial" w:cs="Arial"/>
                <w:sz w:val="20"/>
                <w:szCs w:val="20"/>
              </w:rPr>
              <w:t>31</w:t>
            </w:r>
          </w:p>
        </w:tc>
        <w:tc>
          <w:tcPr>
            <w:tcW w:w="610" w:type="dxa"/>
            <w:tcBorders>
              <w:top w:val="nil"/>
              <w:left w:val="nil"/>
              <w:bottom w:val="single" w:sz="4" w:space="0" w:color="auto"/>
              <w:right w:val="single" w:sz="4" w:space="0" w:color="auto"/>
            </w:tcBorders>
            <w:noWrap/>
            <w:vAlign w:val="center"/>
          </w:tcPr>
          <w:p w14:paraId="08BB2249" w14:textId="77777777" w:rsidR="00793C88" w:rsidRDefault="00793C88" w:rsidP="008738F2">
            <w:pPr>
              <w:spacing w:after="60"/>
              <w:jc w:val="right"/>
              <w:rPr>
                <w:rFonts w:ascii="Arial" w:hAnsi="Arial" w:cs="Arial"/>
                <w:sz w:val="20"/>
                <w:szCs w:val="20"/>
              </w:rPr>
            </w:pPr>
            <w:r>
              <w:rPr>
                <w:rFonts w:ascii="Arial" w:hAnsi="Arial" w:cs="Arial"/>
                <w:sz w:val="20"/>
                <w:szCs w:val="20"/>
              </w:rPr>
              <w:t>23</w:t>
            </w:r>
          </w:p>
        </w:tc>
        <w:tc>
          <w:tcPr>
            <w:tcW w:w="572" w:type="dxa"/>
            <w:tcBorders>
              <w:top w:val="nil"/>
              <w:left w:val="nil"/>
              <w:bottom w:val="single" w:sz="4" w:space="0" w:color="auto"/>
              <w:right w:val="single" w:sz="4" w:space="0" w:color="auto"/>
            </w:tcBorders>
            <w:noWrap/>
            <w:vAlign w:val="center"/>
          </w:tcPr>
          <w:p w14:paraId="0E1EF41C" w14:textId="77777777" w:rsidR="00793C88" w:rsidRDefault="00793C88" w:rsidP="008738F2">
            <w:pPr>
              <w:spacing w:after="60"/>
              <w:jc w:val="right"/>
              <w:rPr>
                <w:rFonts w:ascii="Arial" w:hAnsi="Arial" w:cs="Arial"/>
                <w:sz w:val="20"/>
                <w:szCs w:val="20"/>
              </w:rPr>
            </w:pPr>
            <w:r>
              <w:rPr>
                <w:rFonts w:ascii="Arial" w:hAnsi="Arial" w:cs="Arial"/>
                <w:sz w:val="20"/>
                <w:szCs w:val="20"/>
              </w:rPr>
              <w:t>9</w:t>
            </w:r>
          </w:p>
        </w:tc>
        <w:tc>
          <w:tcPr>
            <w:tcW w:w="675" w:type="dxa"/>
            <w:tcBorders>
              <w:top w:val="nil"/>
              <w:left w:val="nil"/>
              <w:bottom w:val="single" w:sz="4" w:space="0" w:color="auto"/>
              <w:right w:val="single" w:sz="4" w:space="0" w:color="auto"/>
            </w:tcBorders>
            <w:noWrap/>
            <w:vAlign w:val="center"/>
          </w:tcPr>
          <w:p w14:paraId="54878261" w14:textId="77777777" w:rsidR="00793C88" w:rsidRDefault="00793C88" w:rsidP="008738F2">
            <w:pPr>
              <w:spacing w:after="60"/>
              <w:jc w:val="right"/>
              <w:rPr>
                <w:rFonts w:ascii="Arial" w:hAnsi="Arial" w:cs="Arial"/>
                <w:sz w:val="20"/>
                <w:szCs w:val="20"/>
              </w:rPr>
            </w:pPr>
            <w:r>
              <w:rPr>
                <w:rFonts w:ascii="Arial" w:hAnsi="Arial" w:cs="Arial"/>
                <w:sz w:val="20"/>
                <w:szCs w:val="20"/>
              </w:rPr>
              <w:t>11</w:t>
            </w:r>
          </w:p>
        </w:tc>
        <w:tc>
          <w:tcPr>
            <w:tcW w:w="627" w:type="dxa"/>
            <w:tcBorders>
              <w:top w:val="nil"/>
              <w:left w:val="nil"/>
              <w:bottom w:val="single" w:sz="4" w:space="0" w:color="auto"/>
              <w:right w:val="single" w:sz="4" w:space="0" w:color="auto"/>
            </w:tcBorders>
            <w:noWrap/>
            <w:vAlign w:val="center"/>
          </w:tcPr>
          <w:p w14:paraId="6DA1A385" w14:textId="77777777" w:rsidR="00793C88" w:rsidRDefault="00793C88" w:rsidP="008738F2">
            <w:pPr>
              <w:spacing w:after="60"/>
              <w:jc w:val="right"/>
              <w:rPr>
                <w:rFonts w:ascii="Arial" w:hAnsi="Arial" w:cs="Arial"/>
                <w:sz w:val="20"/>
                <w:szCs w:val="20"/>
              </w:rPr>
            </w:pPr>
            <w:r>
              <w:rPr>
                <w:rFonts w:ascii="Arial" w:hAnsi="Arial" w:cs="Arial"/>
                <w:sz w:val="20"/>
                <w:szCs w:val="20"/>
              </w:rPr>
              <w:t>25</w:t>
            </w:r>
          </w:p>
        </w:tc>
        <w:tc>
          <w:tcPr>
            <w:tcW w:w="659" w:type="dxa"/>
            <w:tcBorders>
              <w:top w:val="nil"/>
              <w:left w:val="nil"/>
              <w:bottom w:val="single" w:sz="4" w:space="0" w:color="auto"/>
              <w:right w:val="single" w:sz="4" w:space="0" w:color="auto"/>
            </w:tcBorders>
            <w:noWrap/>
            <w:vAlign w:val="center"/>
          </w:tcPr>
          <w:p w14:paraId="6D0B0ED0" w14:textId="77777777" w:rsidR="00793C88" w:rsidRDefault="00793C88" w:rsidP="008738F2">
            <w:pPr>
              <w:spacing w:after="60"/>
              <w:jc w:val="right"/>
              <w:rPr>
                <w:rFonts w:ascii="Arial" w:hAnsi="Arial" w:cs="Arial"/>
                <w:sz w:val="20"/>
                <w:szCs w:val="20"/>
              </w:rPr>
            </w:pPr>
            <w:r>
              <w:rPr>
                <w:rFonts w:ascii="Arial" w:hAnsi="Arial" w:cs="Arial"/>
                <w:sz w:val="20"/>
                <w:szCs w:val="20"/>
              </w:rPr>
              <w:t>31</w:t>
            </w:r>
          </w:p>
        </w:tc>
        <w:tc>
          <w:tcPr>
            <w:tcW w:w="675" w:type="dxa"/>
            <w:tcBorders>
              <w:top w:val="nil"/>
              <w:left w:val="nil"/>
              <w:bottom w:val="single" w:sz="4" w:space="0" w:color="auto"/>
              <w:right w:val="single" w:sz="4" w:space="0" w:color="auto"/>
            </w:tcBorders>
            <w:noWrap/>
            <w:vAlign w:val="center"/>
          </w:tcPr>
          <w:p w14:paraId="5C44382C" w14:textId="77777777" w:rsidR="00793C88" w:rsidRDefault="00793C88" w:rsidP="008738F2">
            <w:pPr>
              <w:spacing w:after="60"/>
              <w:jc w:val="right"/>
              <w:rPr>
                <w:rFonts w:ascii="Arial" w:hAnsi="Arial" w:cs="Arial"/>
                <w:sz w:val="20"/>
                <w:szCs w:val="20"/>
              </w:rPr>
            </w:pPr>
            <w:r>
              <w:rPr>
                <w:rFonts w:ascii="Arial" w:hAnsi="Arial" w:cs="Arial"/>
                <w:sz w:val="20"/>
                <w:szCs w:val="20"/>
              </w:rPr>
              <w:t>30</w:t>
            </w:r>
          </w:p>
        </w:tc>
        <w:tc>
          <w:tcPr>
            <w:tcW w:w="659" w:type="dxa"/>
            <w:tcBorders>
              <w:top w:val="nil"/>
              <w:left w:val="nil"/>
              <w:bottom w:val="single" w:sz="4" w:space="0" w:color="auto"/>
              <w:right w:val="single" w:sz="4" w:space="0" w:color="auto"/>
            </w:tcBorders>
            <w:noWrap/>
            <w:vAlign w:val="center"/>
          </w:tcPr>
          <w:p w14:paraId="402BDE81" w14:textId="77777777" w:rsidR="00793C88" w:rsidRDefault="00793C88" w:rsidP="008738F2">
            <w:pPr>
              <w:spacing w:after="60"/>
              <w:jc w:val="right"/>
              <w:rPr>
                <w:rFonts w:ascii="Arial" w:hAnsi="Arial" w:cs="Arial"/>
                <w:sz w:val="20"/>
                <w:szCs w:val="20"/>
              </w:rPr>
            </w:pPr>
            <w:r>
              <w:rPr>
                <w:rFonts w:ascii="Arial" w:hAnsi="Arial" w:cs="Arial"/>
                <w:sz w:val="20"/>
                <w:szCs w:val="20"/>
              </w:rPr>
              <w:t>31</w:t>
            </w:r>
          </w:p>
        </w:tc>
        <w:tc>
          <w:tcPr>
            <w:tcW w:w="659" w:type="dxa"/>
            <w:tcBorders>
              <w:top w:val="nil"/>
              <w:left w:val="nil"/>
              <w:bottom w:val="single" w:sz="4" w:space="0" w:color="auto"/>
              <w:right w:val="single" w:sz="4" w:space="0" w:color="auto"/>
            </w:tcBorders>
            <w:noWrap/>
            <w:vAlign w:val="center"/>
          </w:tcPr>
          <w:p w14:paraId="6E03D1A1" w14:textId="77777777" w:rsidR="00793C88" w:rsidRDefault="00793C88" w:rsidP="008738F2">
            <w:pPr>
              <w:spacing w:after="60"/>
              <w:jc w:val="right"/>
              <w:rPr>
                <w:rFonts w:ascii="Arial" w:hAnsi="Arial" w:cs="Arial"/>
                <w:sz w:val="20"/>
                <w:szCs w:val="20"/>
              </w:rPr>
            </w:pPr>
            <w:r>
              <w:rPr>
                <w:rFonts w:ascii="Arial" w:hAnsi="Arial" w:cs="Arial"/>
                <w:sz w:val="20"/>
                <w:szCs w:val="20"/>
              </w:rPr>
              <w:t>310</w:t>
            </w:r>
          </w:p>
        </w:tc>
      </w:tr>
      <w:tr w:rsidR="00793C88" w14:paraId="15EE8A60" w14:textId="77777777" w:rsidTr="006B524B">
        <w:trPr>
          <w:trHeight w:val="288"/>
          <w:jc w:val="center"/>
        </w:trPr>
        <w:tc>
          <w:tcPr>
            <w:tcW w:w="3100" w:type="dxa"/>
            <w:tcBorders>
              <w:top w:val="nil"/>
              <w:left w:val="single" w:sz="4" w:space="0" w:color="auto"/>
              <w:bottom w:val="single" w:sz="4" w:space="0" w:color="auto"/>
              <w:right w:val="single" w:sz="4" w:space="0" w:color="auto"/>
            </w:tcBorders>
            <w:noWrap/>
            <w:vAlign w:val="center"/>
          </w:tcPr>
          <w:p w14:paraId="17E47CC3" w14:textId="77777777" w:rsidR="00793C88" w:rsidRDefault="00793C88" w:rsidP="008738F2">
            <w:pPr>
              <w:spacing w:after="60"/>
              <w:rPr>
                <w:rFonts w:ascii="Arial" w:hAnsi="Arial" w:cs="Arial"/>
                <w:sz w:val="20"/>
                <w:szCs w:val="20"/>
              </w:rPr>
            </w:pPr>
            <w:smartTag w:uri="urn:schemas-microsoft-com:office:smarttags" w:element="place">
              <w:smartTag w:uri="urn:schemas-microsoft-com:office:smarttags" w:element="City">
                <w:r>
                  <w:rPr>
                    <w:rFonts w:ascii="Arial" w:hAnsi="Arial" w:cs="Arial"/>
                    <w:sz w:val="20"/>
                    <w:szCs w:val="20"/>
                  </w:rPr>
                  <w:t>BETHEL</w:t>
                </w:r>
              </w:smartTag>
              <w:r>
                <w:rPr>
                  <w:rFonts w:ascii="Arial" w:hAnsi="Arial" w:cs="Arial"/>
                  <w:sz w:val="20"/>
                  <w:szCs w:val="20"/>
                </w:rPr>
                <w:t xml:space="preserve">, </w:t>
              </w:r>
              <w:smartTag w:uri="urn:schemas-microsoft-com:office:smarttags" w:element="State">
                <w:r>
                  <w:rPr>
                    <w:rFonts w:ascii="Arial" w:hAnsi="Arial" w:cs="Arial"/>
                    <w:sz w:val="20"/>
                    <w:szCs w:val="20"/>
                  </w:rPr>
                  <w:t>AK</w:t>
                </w:r>
              </w:smartTag>
            </w:smartTag>
          </w:p>
        </w:tc>
        <w:tc>
          <w:tcPr>
            <w:tcW w:w="643" w:type="dxa"/>
            <w:tcBorders>
              <w:top w:val="nil"/>
              <w:left w:val="nil"/>
              <w:bottom w:val="single" w:sz="4" w:space="0" w:color="auto"/>
              <w:right w:val="single" w:sz="4" w:space="0" w:color="auto"/>
            </w:tcBorders>
            <w:noWrap/>
            <w:vAlign w:val="center"/>
          </w:tcPr>
          <w:p w14:paraId="33930AAD" w14:textId="77777777" w:rsidR="00793C88" w:rsidRDefault="00793C88" w:rsidP="008738F2">
            <w:pPr>
              <w:spacing w:after="60"/>
              <w:jc w:val="right"/>
              <w:rPr>
                <w:rFonts w:ascii="Arial" w:hAnsi="Arial" w:cs="Arial"/>
                <w:sz w:val="20"/>
                <w:szCs w:val="20"/>
              </w:rPr>
            </w:pPr>
            <w:r>
              <w:rPr>
                <w:rFonts w:ascii="Arial" w:hAnsi="Arial" w:cs="Arial"/>
                <w:sz w:val="20"/>
                <w:szCs w:val="20"/>
              </w:rPr>
              <w:t>46</w:t>
            </w:r>
          </w:p>
        </w:tc>
        <w:tc>
          <w:tcPr>
            <w:tcW w:w="594" w:type="dxa"/>
            <w:tcBorders>
              <w:top w:val="nil"/>
              <w:left w:val="nil"/>
              <w:bottom w:val="single" w:sz="4" w:space="0" w:color="auto"/>
              <w:right w:val="single" w:sz="4" w:space="0" w:color="auto"/>
            </w:tcBorders>
            <w:noWrap/>
            <w:vAlign w:val="center"/>
          </w:tcPr>
          <w:p w14:paraId="2B0D4D6A" w14:textId="77777777" w:rsidR="00793C88" w:rsidRDefault="00793C88" w:rsidP="008738F2">
            <w:pPr>
              <w:spacing w:after="60"/>
              <w:jc w:val="right"/>
              <w:rPr>
                <w:rFonts w:ascii="Arial" w:hAnsi="Arial" w:cs="Arial"/>
                <w:sz w:val="20"/>
                <w:szCs w:val="20"/>
              </w:rPr>
            </w:pPr>
            <w:r>
              <w:rPr>
                <w:rFonts w:ascii="Arial" w:hAnsi="Arial" w:cs="Arial"/>
                <w:sz w:val="20"/>
                <w:szCs w:val="20"/>
              </w:rPr>
              <w:t>30</w:t>
            </w:r>
          </w:p>
        </w:tc>
        <w:tc>
          <w:tcPr>
            <w:tcW w:w="610" w:type="dxa"/>
            <w:tcBorders>
              <w:top w:val="nil"/>
              <w:left w:val="nil"/>
              <w:bottom w:val="single" w:sz="4" w:space="0" w:color="auto"/>
              <w:right w:val="single" w:sz="4" w:space="0" w:color="auto"/>
            </w:tcBorders>
            <w:noWrap/>
            <w:vAlign w:val="center"/>
          </w:tcPr>
          <w:p w14:paraId="385FA8AF" w14:textId="77777777" w:rsidR="00793C88" w:rsidRDefault="00793C88" w:rsidP="008738F2">
            <w:pPr>
              <w:spacing w:after="60"/>
              <w:jc w:val="right"/>
              <w:rPr>
                <w:rFonts w:ascii="Arial" w:hAnsi="Arial" w:cs="Arial"/>
                <w:sz w:val="20"/>
                <w:szCs w:val="20"/>
              </w:rPr>
            </w:pPr>
            <w:r>
              <w:rPr>
                <w:rFonts w:ascii="Arial" w:hAnsi="Arial" w:cs="Arial"/>
                <w:sz w:val="20"/>
                <w:szCs w:val="20"/>
              </w:rPr>
              <w:t>28</w:t>
            </w:r>
          </w:p>
        </w:tc>
        <w:tc>
          <w:tcPr>
            <w:tcW w:w="691" w:type="dxa"/>
            <w:tcBorders>
              <w:top w:val="nil"/>
              <w:left w:val="nil"/>
              <w:bottom w:val="single" w:sz="4" w:space="0" w:color="auto"/>
              <w:right w:val="single" w:sz="4" w:space="0" w:color="auto"/>
            </w:tcBorders>
            <w:noWrap/>
            <w:vAlign w:val="center"/>
          </w:tcPr>
          <w:p w14:paraId="48D71EDC" w14:textId="77777777" w:rsidR="00793C88" w:rsidRDefault="00793C88" w:rsidP="008738F2">
            <w:pPr>
              <w:spacing w:after="60"/>
              <w:jc w:val="right"/>
              <w:rPr>
                <w:rFonts w:ascii="Arial" w:hAnsi="Arial" w:cs="Arial"/>
                <w:sz w:val="20"/>
                <w:szCs w:val="20"/>
              </w:rPr>
            </w:pPr>
            <w:r>
              <w:rPr>
                <w:rFonts w:ascii="Arial" w:hAnsi="Arial" w:cs="Arial"/>
                <w:sz w:val="20"/>
                <w:szCs w:val="20"/>
              </w:rPr>
              <w:t>31</w:t>
            </w:r>
          </w:p>
        </w:tc>
        <w:tc>
          <w:tcPr>
            <w:tcW w:w="643" w:type="dxa"/>
            <w:tcBorders>
              <w:top w:val="nil"/>
              <w:left w:val="nil"/>
              <w:bottom w:val="single" w:sz="4" w:space="0" w:color="auto"/>
              <w:right w:val="single" w:sz="4" w:space="0" w:color="auto"/>
            </w:tcBorders>
            <w:noWrap/>
            <w:vAlign w:val="center"/>
          </w:tcPr>
          <w:p w14:paraId="7FC7BD3A" w14:textId="77777777" w:rsidR="00793C88" w:rsidRDefault="00793C88" w:rsidP="008738F2">
            <w:pPr>
              <w:spacing w:after="60"/>
              <w:jc w:val="right"/>
              <w:rPr>
                <w:rFonts w:ascii="Arial" w:hAnsi="Arial" w:cs="Arial"/>
                <w:sz w:val="20"/>
                <w:szCs w:val="20"/>
              </w:rPr>
            </w:pPr>
            <w:r>
              <w:rPr>
                <w:rFonts w:ascii="Arial" w:hAnsi="Arial" w:cs="Arial"/>
                <w:sz w:val="20"/>
                <w:szCs w:val="20"/>
              </w:rPr>
              <w:t>27</w:t>
            </w:r>
          </w:p>
        </w:tc>
        <w:tc>
          <w:tcPr>
            <w:tcW w:w="675" w:type="dxa"/>
            <w:tcBorders>
              <w:top w:val="nil"/>
              <w:left w:val="nil"/>
              <w:bottom w:val="single" w:sz="4" w:space="0" w:color="auto"/>
              <w:right w:val="single" w:sz="4" w:space="0" w:color="auto"/>
            </w:tcBorders>
            <w:noWrap/>
            <w:vAlign w:val="center"/>
          </w:tcPr>
          <w:p w14:paraId="2CB35C13" w14:textId="77777777" w:rsidR="00793C88" w:rsidRDefault="00793C88" w:rsidP="008738F2">
            <w:pPr>
              <w:spacing w:after="60"/>
              <w:jc w:val="right"/>
              <w:rPr>
                <w:rFonts w:ascii="Arial" w:hAnsi="Arial" w:cs="Arial"/>
                <w:sz w:val="20"/>
                <w:szCs w:val="20"/>
              </w:rPr>
            </w:pPr>
            <w:r>
              <w:rPr>
                <w:rFonts w:ascii="Arial" w:hAnsi="Arial" w:cs="Arial"/>
                <w:sz w:val="20"/>
                <w:szCs w:val="20"/>
              </w:rPr>
              <w:t>16</w:t>
            </w:r>
          </w:p>
        </w:tc>
        <w:tc>
          <w:tcPr>
            <w:tcW w:w="610" w:type="dxa"/>
            <w:tcBorders>
              <w:top w:val="nil"/>
              <w:left w:val="nil"/>
              <w:bottom w:val="single" w:sz="4" w:space="0" w:color="auto"/>
              <w:right w:val="single" w:sz="4" w:space="0" w:color="auto"/>
            </w:tcBorders>
            <w:noWrap/>
            <w:vAlign w:val="center"/>
          </w:tcPr>
          <w:p w14:paraId="77DFFE12" w14:textId="77777777" w:rsidR="00793C88" w:rsidRDefault="00793C88" w:rsidP="008738F2">
            <w:pPr>
              <w:spacing w:after="60"/>
              <w:jc w:val="right"/>
              <w:rPr>
                <w:rFonts w:ascii="Arial" w:hAnsi="Arial" w:cs="Arial"/>
                <w:sz w:val="20"/>
                <w:szCs w:val="20"/>
              </w:rPr>
            </w:pPr>
            <w:r>
              <w:rPr>
                <w:rFonts w:ascii="Arial" w:hAnsi="Arial" w:cs="Arial"/>
                <w:sz w:val="20"/>
                <w:szCs w:val="20"/>
              </w:rPr>
              <w:t>1</w:t>
            </w:r>
          </w:p>
        </w:tc>
        <w:tc>
          <w:tcPr>
            <w:tcW w:w="572" w:type="dxa"/>
            <w:tcBorders>
              <w:top w:val="nil"/>
              <w:left w:val="nil"/>
              <w:bottom w:val="single" w:sz="4" w:space="0" w:color="auto"/>
              <w:right w:val="single" w:sz="4" w:space="0" w:color="auto"/>
            </w:tcBorders>
            <w:noWrap/>
            <w:vAlign w:val="center"/>
          </w:tcPr>
          <w:p w14:paraId="6722E914" w14:textId="77777777" w:rsidR="00793C88" w:rsidRDefault="00793C88" w:rsidP="008738F2">
            <w:pPr>
              <w:spacing w:after="60"/>
              <w:jc w:val="right"/>
              <w:rPr>
                <w:rFonts w:ascii="Arial" w:hAnsi="Arial" w:cs="Arial"/>
                <w:sz w:val="20"/>
                <w:szCs w:val="20"/>
              </w:rPr>
            </w:pPr>
            <w:r>
              <w:rPr>
                <w:rFonts w:ascii="Arial" w:hAnsi="Arial" w:cs="Arial"/>
                <w:sz w:val="20"/>
                <w:szCs w:val="20"/>
              </w:rPr>
              <w:t>*</w:t>
            </w:r>
          </w:p>
        </w:tc>
        <w:tc>
          <w:tcPr>
            <w:tcW w:w="675" w:type="dxa"/>
            <w:tcBorders>
              <w:top w:val="nil"/>
              <w:left w:val="nil"/>
              <w:bottom w:val="single" w:sz="4" w:space="0" w:color="auto"/>
              <w:right w:val="single" w:sz="4" w:space="0" w:color="auto"/>
            </w:tcBorders>
            <w:noWrap/>
            <w:vAlign w:val="center"/>
          </w:tcPr>
          <w:p w14:paraId="41549DE0" w14:textId="77777777" w:rsidR="00793C88" w:rsidRDefault="00793C88" w:rsidP="008738F2">
            <w:pPr>
              <w:spacing w:after="60"/>
              <w:jc w:val="right"/>
              <w:rPr>
                <w:rFonts w:ascii="Arial" w:hAnsi="Arial" w:cs="Arial"/>
                <w:sz w:val="20"/>
                <w:szCs w:val="20"/>
              </w:rPr>
            </w:pPr>
            <w:r>
              <w:rPr>
                <w:rFonts w:ascii="Arial" w:hAnsi="Arial" w:cs="Arial"/>
                <w:sz w:val="20"/>
                <w:szCs w:val="20"/>
              </w:rPr>
              <w:t>*</w:t>
            </w:r>
          </w:p>
        </w:tc>
        <w:tc>
          <w:tcPr>
            <w:tcW w:w="627" w:type="dxa"/>
            <w:tcBorders>
              <w:top w:val="nil"/>
              <w:left w:val="nil"/>
              <w:bottom w:val="single" w:sz="4" w:space="0" w:color="auto"/>
              <w:right w:val="single" w:sz="4" w:space="0" w:color="auto"/>
            </w:tcBorders>
            <w:noWrap/>
            <w:vAlign w:val="center"/>
          </w:tcPr>
          <w:p w14:paraId="66396CA5" w14:textId="77777777" w:rsidR="00793C88" w:rsidRDefault="00793C88" w:rsidP="008738F2">
            <w:pPr>
              <w:spacing w:after="60"/>
              <w:jc w:val="right"/>
              <w:rPr>
                <w:rFonts w:ascii="Arial" w:hAnsi="Arial" w:cs="Arial"/>
                <w:sz w:val="20"/>
                <w:szCs w:val="20"/>
              </w:rPr>
            </w:pPr>
            <w:r>
              <w:rPr>
                <w:rFonts w:ascii="Arial" w:hAnsi="Arial" w:cs="Arial"/>
                <w:sz w:val="20"/>
                <w:szCs w:val="20"/>
              </w:rPr>
              <w:t>6</w:t>
            </w:r>
          </w:p>
        </w:tc>
        <w:tc>
          <w:tcPr>
            <w:tcW w:w="659" w:type="dxa"/>
            <w:tcBorders>
              <w:top w:val="nil"/>
              <w:left w:val="nil"/>
              <w:bottom w:val="single" w:sz="4" w:space="0" w:color="auto"/>
              <w:right w:val="single" w:sz="4" w:space="0" w:color="auto"/>
            </w:tcBorders>
            <w:noWrap/>
            <w:vAlign w:val="center"/>
          </w:tcPr>
          <w:p w14:paraId="4409E0B7" w14:textId="77777777" w:rsidR="00793C88" w:rsidRDefault="00793C88" w:rsidP="008738F2">
            <w:pPr>
              <w:spacing w:after="60"/>
              <w:jc w:val="right"/>
              <w:rPr>
                <w:rFonts w:ascii="Arial" w:hAnsi="Arial" w:cs="Arial"/>
                <w:sz w:val="20"/>
                <w:szCs w:val="20"/>
              </w:rPr>
            </w:pPr>
            <w:r>
              <w:rPr>
                <w:rFonts w:ascii="Arial" w:hAnsi="Arial" w:cs="Arial"/>
                <w:sz w:val="20"/>
                <w:szCs w:val="20"/>
              </w:rPr>
              <w:t>26</w:t>
            </w:r>
          </w:p>
        </w:tc>
        <w:tc>
          <w:tcPr>
            <w:tcW w:w="675" w:type="dxa"/>
            <w:tcBorders>
              <w:top w:val="nil"/>
              <w:left w:val="nil"/>
              <w:bottom w:val="single" w:sz="4" w:space="0" w:color="auto"/>
              <w:right w:val="single" w:sz="4" w:space="0" w:color="auto"/>
            </w:tcBorders>
            <w:noWrap/>
            <w:vAlign w:val="center"/>
          </w:tcPr>
          <w:p w14:paraId="49FEA01A" w14:textId="77777777" w:rsidR="00793C88" w:rsidRDefault="00793C88" w:rsidP="008738F2">
            <w:pPr>
              <w:spacing w:after="60"/>
              <w:jc w:val="right"/>
              <w:rPr>
                <w:rFonts w:ascii="Arial" w:hAnsi="Arial" w:cs="Arial"/>
                <w:sz w:val="20"/>
                <w:szCs w:val="20"/>
              </w:rPr>
            </w:pPr>
            <w:r>
              <w:rPr>
                <w:rFonts w:ascii="Arial" w:hAnsi="Arial" w:cs="Arial"/>
                <w:sz w:val="20"/>
                <w:szCs w:val="20"/>
              </w:rPr>
              <w:t>28</w:t>
            </w:r>
          </w:p>
        </w:tc>
        <w:tc>
          <w:tcPr>
            <w:tcW w:w="659" w:type="dxa"/>
            <w:tcBorders>
              <w:top w:val="nil"/>
              <w:left w:val="nil"/>
              <w:bottom w:val="single" w:sz="4" w:space="0" w:color="auto"/>
              <w:right w:val="single" w:sz="4" w:space="0" w:color="auto"/>
            </w:tcBorders>
            <w:noWrap/>
            <w:vAlign w:val="center"/>
          </w:tcPr>
          <w:p w14:paraId="4850D432" w14:textId="77777777" w:rsidR="00793C88" w:rsidRDefault="00793C88" w:rsidP="008738F2">
            <w:pPr>
              <w:spacing w:after="60"/>
              <w:jc w:val="right"/>
              <w:rPr>
                <w:rFonts w:ascii="Arial" w:hAnsi="Arial" w:cs="Arial"/>
                <w:sz w:val="20"/>
                <w:szCs w:val="20"/>
              </w:rPr>
            </w:pPr>
            <w:r>
              <w:rPr>
                <w:rFonts w:ascii="Arial" w:hAnsi="Arial" w:cs="Arial"/>
                <w:sz w:val="20"/>
                <w:szCs w:val="20"/>
              </w:rPr>
              <w:t>30</w:t>
            </w:r>
          </w:p>
        </w:tc>
        <w:tc>
          <w:tcPr>
            <w:tcW w:w="659" w:type="dxa"/>
            <w:tcBorders>
              <w:top w:val="nil"/>
              <w:left w:val="nil"/>
              <w:bottom w:val="single" w:sz="4" w:space="0" w:color="auto"/>
              <w:right w:val="single" w:sz="4" w:space="0" w:color="auto"/>
            </w:tcBorders>
            <w:noWrap/>
            <w:vAlign w:val="center"/>
          </w:tcPr>
          <w:p w14:paraId="5FE95854" w14:textId="77777777" w:rsidR="00793C88" w:rsidRDefault="00793C88" w:rsidP="008738F2">
            <w:pPr>
              <w:spacing w:after="60"/>
              <w:jc w:val="right"/>
              <w:rPr>
                <w:rFonts w:ascii="Arial" w:hAnsi="Arial" w:cs="Arial"/>
                <w:sz w:val="20"/>
                <w:szCs w:val="20"/>
              </w:rPr>
            </w:pPr>
            <w:r>
              <w:rPr>
                <w:rFonts w:ascii="Arial" w:hAnsi="Arial" w:cs="Arial"/>
                <w:sz w:val="20"/>
                <w:szCs w:val="20"/>
              </w:rPr>
              <w:t>223</w:t>
            </w:r>
          </w:p>
        </w:tc>
      </w:tr>
      <w:tr w:rsidR="00793C88" w14:paraId="06362F48" w14:textId="77777777" w:rsidTr="006B524B">
        <w:trPr>
          <w:trHeight w:val="288"/>
          <w:jc w:val="center"/>
        </w:trPr>
        <w:tc>
          <w:tcPr>
            <w:tcW w:w="3100" w:type="dxa"/>
            <w:tcBorders>
              <w:top w:val="nil"/>
              <w:left w:val="single" w:sz="4" w:space="0" w:color="auto"/>
              <w:bottom w:val="single" w:sz="4" w:space="0" w:color="auto"/>
              <w:right w:val="single" w:sz="4" w:space="0" w:color="auto"/>
            </w:tcBorders>
            <w:noWrap/>
            <w:vAlign w:val="center"/>
          </w:tcPr>
          <w:p w14:paraId="7B3F4203" w14:textId="77777777" w:rsidR="00793C88" w:rsidRDefault="00793C88" w:rsidP="008738F2">
            <w:pPr>
              <w:spacing w:after="60"/>
              <w:rPr>
                <w:rFonts w:ascii="Arial" w:hAnsi="Arial" w:cs="Arial"/>
                <w:sz w:val="20"/>
                <w:szCs w:val="20"/>
              </w:rPr>
            </w:pPr>
            <w:proofErr w:type="gramStart"/>
            <w:smartTag w:uri="urn:schemas-microsoft-com:office:smarttags" w:element="place">
              <w:smartTag w:uri="urn:schemas-microsoft-com:office:smarttags" w:element="City">
                <w:r>
                  <w:rPr>
                    <w:rFonts w:ascii="Arial" w:hAnsi="Arial" w:cs="Arial"/>
                    <w:sz w:val="20"/>
                    <w:szCs w:val="20"/>
                  </w:rPr>
                  <w:t>BETTLES</w:t>
                </w:r>
              </w:smartTag>
              <w:r>
                <w:rPr>
                  <w:rFonts w:ascii="Arial" w:hAnsi="Arial" w:cs="Arial"/>
                  <w:sz w:val="20"/>
                  <w:szCs w:val="20"/>
                </w:rPr>
                <w:t>,</w:t>
              </w:r>
              <w:smartTag w:uri="urn:schemas-microsoft-com:office:smarttags" w:element="State">
                <w:r>
                  <w:rPr>
                    <w:rFonts w:ascii="Arial" w:hAnsi="Arial" w:cs="Arial"/>
                    <w:sz w:val="20"/>
                    <w:szCs w:val="20"/>
                  </w:rPr>
                  <w:t>AK</w:t>
                </w:r>
              </w:smartTag>
            </w:smartTag>
            <w:proofErr w:type="gramEnd"/>
          </w:p>
        </w:tc>
        <w:tc>
          <w:tcPr>
            <w:tcW w:w="643" w:type="dxa"/>
            <w:tcBorders>
              <w:top w:val="nil"/>
              <w:left w:val="nil"/>
              <w:bottom w:val="single" w:sz="4" w:space="0" w:color="auto"/>
              <w:right w:val="single" w:sz="4" w:space="0" w:color="auto"/>
            </w:tcBorders>
            <w:noWrap/>
            <w:vAlign w:val="center"/>
          </w:tcPr>
          <w:p w14:paraId="44D475AF" w14:textId="77777777" w:rsidR="00793C88" w:rsidRDefault="00793C88" w:rsidP="008738F2">
            <w:pPr>
              <w:spacing w:after="60"/>
              <w:jc w:val="right"/>
              <w:rPr>
                <w:rFonts w:ascii="Arial" w:hAnsi="Arial" w:cs="Arial"/>
                <w:sz w:val="20"/>
                <w:szCs w:val="20"/>
              </w:rPr>
            </w:pPr>
            <w:r>
              <w:rPr>
                <w:rFonts w:ascii="Arial" w:hAnsi="Arial" w:cs="Arial"/>
                <w:sz w:val="20"/>
                <w:szCs w:val="20"/>
              </w:rPr>
              <w:t>52</w:t>
            </w:r>
          </w:p>
        </w:tc>
        <w:tc>
          <w:tcPr>
            <w:tcW w:w="594" w:type="dxa"/>
            <w:tcBorders>
              <w:top w:val="nil"/>
              <w:left w:val="nil"/>
              <w:bottom w:val="single" w:sz="4" w:space="0" w:color="auto"/>
              <w:right w:val="single" w:sz="4" w:space="0" w:color="auto"/>
            </w:tcBorders>
            <w:noWrap/>
            <w:vAlign w:val="center"/>
          </w:tcPr>
          <w:p w14:paraId="25B39983" w14:textId="77777777" w:rsidR="00793C88" w:rsidRDefault="00793C88" w:rsidP="008738F2">
            <w:pPr>
              <w:spacing w:after="60"/>
              <w:jc w:val="right"/>
              <w:rPr>
                <w:rFonts w:ascii="Arial" w:hAnsi="Arial" w:cs="Arial"/>
                <w:sz w:val="20"/>
                <w:szCs w:val="20"/>
              </w:rPr>
            </w:pPr>
            <w:r>
              <w:rPr>
                <w:rFonts w:ascii="Arial" w:hAnsi="Arial" w:cs="Arial"/>
                <w:sz w:val="20"/>
                <w:szCs w:val="20"/>
              </w:rPr>
              <w:t>31</w:t>
            </w:r>
          </w:p>
        </w:tc>
        <w:tc>
          <w:tcPr>
            <w:tcW w:w="610" w:type="dxa"/>
            <w:tcBorders>
              <w:top w:val="nil"/>
              <w:left w:val="nil"/>
              <w:bottom w:val="single" w:sz="4" w:space="0" w:color="auto"/>
              <w:right w:val="single" w:sz="4" w:space="0" w:color="auto"/>
            </w:tcBorders>
            <w:noWrap/>
            <w:vAlign w:val="center"/>
          </w:tcPr>
          <w:p w14:paraId="7614EF62" w14:textId="77777777" w:rsidR="00793C88" w:rsidRDefault="00793C88" w:rsidP="008738F2">
            <w:pPr>
              <w:spacing w:after="60"/>
              <w:jc w:val="right"/>
              <w:rPr>
                <w:rFonts w:ascii="Arial" w:hAnsi="Arial" w:cs="Arial"/>
                <w:sz w:val="20"/>
                <w:szCs w:val="20"/>
              </w:rPr>
            </w:pPr>
            <w:r>
              <w:rPr>
                <w:rFonts w:ascii="Arial" w:hAnsi="Arial" w:cs="Arial"/>
                <w:sz w:val="20"/>
                <w:szCs w:val="20"/>
              </w:rPr>
              <w:t>28</w:t>
            </w:r>
          </w:p>
        </w:tc>
        <w:tc>
          <w:tcPr>
            <w:tcW w:w="691" w:type="dxa"/>
            <w:tcBorders>
              <w:top w:val="nil"/>
              <w:left w:val="nil"/>
              <w:bottom w:val="single" w:sz="4" w:space="0" w:color="auto"/>
              <w:right w:val="single" w:sz="4" w:space="0" w:color="auto"/>
            </w:tcBorders>
            <w:noWrap/>
            <w:vAlign w:val="center"/>
          </w:tcPr>
          <w:p w14:paraId="1C3076AB" w14:textId="77777777" w:rsidR="00793C88" w:rsidRDefault="00793C88" w:rsidP="008738F2">
            <w:pPr>
              <w:spacing w:after="60"/>
              <w:jc w:val="right"/>
              <w:rPr>
                <w:rFonts w:ascii="Arial" w:hAnsi="Arial" w:cs="Arial"/>
                <w:sz w:val="20"/>
                <w:szCs w:val="20"/>
              </w:rPr>
            </w:pPr>
            <w:r>
              <w:rPr>
                <w:rFonts w:ascii="Arial" w:hAnsi="Arial" w:cs="Arial"/>
                <w:sz w:val="20"/>
                <w:szCs w:val="20"/>
              </w:rPr>
              <w:t>31</w:t>
            </w:r>
          </w:p>
        </w:tc>
        <w:tc>
          <w:tcPr>
            <w:tcW w:w="643" w:type="dxa"/>
            <w:tcBorders>
              <w:top w:val="nil"/>
              <w:left w:val="nil"/>
              <w:bottom w:val="single" w:sz="4" w:space="0" w:color="auto"/>
              <w:right w:val="single" w:sz="4" w:space="0" w:color="auto"/>
            </w:tcBorders>
            <w:noWrap/>
            <w:vAlign w:val="center"/>
          </w:tcPr>
          <w:p w14:paraId="0A453F89" w14:textId="77777777" w:rsidR="00793C88" w:rsidRDefault="00793C88" w:rsidP="008738F2">
            <w:pPr>
              <w:spacing w:after="60"/>
              <w:jc w:val="right"/>
              <w:rPr>
                <w:rFonts w:ascii="Arial" w:hAnsi="Arial" w:cs="Arial"/>
                <w:sz w:val="20"/>
                <w:szCs w:val="20"/>
              </w:rPr>
            </w:pPr>
            <w:r>
              <w:rPr>
                <w:rFonts w:ascii="Arial" w:hAnsi="Arial" w:cs="Arial"/>
                <w:sz w:val="20"/>
                <w:szCs w:val="20"/>
              </w:rPr>
              <w:t>29</w:t>
            </w:r>
          </w:p>
        </w:tc>
        <w:tc>
          <w:tcPr>
            <w:tcW w:w="675" w:type="dxa"/>
            <w:tcBorders>
              <w:top w:val="nil"/>
              <w:left w:val="nil"/>
              <w:bottom w:val="single" w:sz="4" w:space="0" w:color="auto"/>
              <w:right w:val="single" w:sz="4" w:space="0" w:color="auto"/>
            </w:tcBorders>
            <w:noWrap/>
            <w:vAlign w:val="center"/>
          </w:tcPr>
          <w:p w14:paraId="1DA33434" w14:textId="77777777" w:rsidR="00793C88" w:rsidRDefault="00793C88" w:rsidP="008738F2">
            <w:pPr>
              <w:spacing w:after="60"/>
              <w:jc w:val="right"/>
              <w:rPr>
                <w:rFonts w:ascii="Arial" w:hAnsi="Arial" w:cs="Arial"/>
                <w:sz w:val="20"/>
                <w:szCs w:val="20"/>
              </w:rPr>
            </w:pPr>
            <w:r>
              <w:rPr>
                <w:rFonts w:ascii="Arial" w:hAnsi="Arial" w:cs="Arial"/>
                <w:sz w:val="20"/>
                <w:szCs w:val="20"/>
              </w:rPr>
              <w:t>14</w:t>
            </w:r>
          </w:p>
        </w:tc>
        <w:tc>
          <w:tcPr>
            <w:tcW w:w="610" w:type="dxa"/>
            <w:tcBorders>
              <w:top w:val="nil"/>
              <w:left w:val="nil"/>
              <w:bottom w:val="single" w:sz="4" w:space="0" w:color="auto"/>
              <w:right w:val="single" w:sz="4" w:space="0" w:color="auto"/>
            </w:tcBorders>
            <w:noWrap/>
            <w:vAlign w:val="center"/>
          </w:tcPr>
          <w:p w14:paraId="191662AB" w14:textId="77777777" w:rsidR="00793C88" w:rsidRDefault="00793C88" w:rsidP="008738F2">
            <w:pPr>
              <w:spacing w:after="60"/>
              <w:jc w:val="right"/>
              <w:rPr>
                <w:rFonts w:ascii="Arial" w:hAnsi="Arial" w:cs="Arial"/>
                <w:sz w:val="20"/>
                <w:szCs w:val="20"/>
              </w:rPr>
            </w:pPr>
            <w:r>
              <w:rPr>
                <w:rFonts w:ascii="Arial" w:hAnsi="Arial" w:cs="Arial"/>
                <w:sz w:val="20"/>
                <w:szCs w:val="20"/>
              </w:rPr>
              <w:t>*</w:t>
            </w:r>
          </w:p>
        </w:tc>
        <w:tc>
          <w:tcPr>
            <w:tcW w:w="572" w:type="dxa"/>
            <w:tcBorders>
              <w:top w:val="nil"/>
              <w:left w:val="nil"/>
              <w:bottom w:val="single" w:sz="4" w:space="0" w:color="auto"/>
              <w:right w:val="single" w:sz="4" w:space="0" w:color="auto"/>
            </w:tcBorders>
            <w:noWrap/>
            <w:vAlign w:val="center"/>
          </w:tcPr>
          <w:p w14:paraId="0AD4014E" w14:textId="77777777" w:rsidR="00793C88" w:rsidRDefault="00793C88" w:rsidP="008738F2">
            <w:pPr>
              <w:spacing w:after="60"/>
              <w:jc w:val="right"/>
              <w:rPr>
                <w:rFonts w:ascii="Arial" w:hAnsi="Arial" w:cs="Arial"/>
                <w:sz w:val="20"/>
                <w:szCs w:val="20"/>
              </w:rPr>
            </w:pPr>
            <w:r>
              <w:rPr>
                <w:rFonts w:ascii="Arial" w:hAnsi="Arial" w:cs="Arial"/>
                <w:sz w:val="20"/>
                <w:szCs w:val="20"/>
              </w:rPr>
              <w:t>*</w:t>
            </w:r>
          </w:p>
        </w:tc>
        <w:tc>
          <w:tcPr>
            <w:tcW w:w="675" w:type="dxa"/>
            <w:tcBorders>
              <w:top w:val="nil"/>
              <w:left w:val="nil"/>
              <w:bottom w:val="single" w:sz="4" w:space="0" w:color="auto"/>
              <w:right w:val="single" w:sz="4" w:space="0" w:color="auto"/>
            </w:tcBorders>
            <w:noWrap/>
            <w:vAlign w:val="center"/>
          </w:tcPr>
          <w:p w14:paraId="0242D63F" w14:textId="77777777" w:rsidR="00793C88" w:rsidRDefault="00793C88" w:rsidP="008738F2">
            <w:pPr>
              <w:spacing w:after="60"/>
              <w:jc w:val="right"/>
              <w:rPr>
                <w:rFonts w:ascii="Arial" w:hAnsi="Arial" w:cs="Arial"/>
                <w:sz w:val="20"/>
                <w:szCs w:val="20"/>
              </w:rPr>
            </w:pPr>
            <w:r>
              <w:rPr>
                <w:rFonts w:ascii="Arial" w:hAnsi="Arial" w:cs="Arial"/>
                <w:sz w:val="20"/>
                <w:szCs w:val="20"/>
              </w:rPr>
              <w:t>2</w:t>
            </w:r>
          </w:p>
        </w:tc>
        <w:tc>
          <w:tcPr>
            <w:tcW w:w="627" w:type="dxa"/>
            <w:tcBorders>
              <w:top w:val="nil"/>
              <w:left w:val="nil"/>
              <w:bottom w:val="single" w:sz="4" w:space="0" w:color="auto"/>
              <w:right w:val="single" w:sz="4" w:space="0" w:color="auto"/>
            </w:tcBorders>
            <w:noWrap/>
            <w:vAlign w:val="center"/>
          </w:tcPr>
          <w:p w14:paraId="5921D83F" w14:textId="77777777" w:rsidR="00793C88" w:rsidRDefault="00793C88" w:rsidP="008738F2">
            <w:pPr>
              <w:spacing w:after="60"/>
              <w:jc w:val="right"/>
              <w:rPr>
                <w:rFonts w:ascii="Arial" w:hAnsi="Arial" w:cs="Arial"/>
                <w:sz w:val="20"/>
                <w:szCs w:val="20"/>
              </w:rPr>
            </w:pPr>
            <w:r>
              <w:rPr>
                <w:rFonts w:ascii="Arial" w:hAnsi="Arial" w:cs="Arial"/>
                <w:sz w:val="20"/>
                <w:szCs w:val="20"/>
              </w:rPr>
              <w:t>15</w:t>
            </w:r>
          </w:p>
        </w:tc>
        <w:tc>
          <w:tcPr>
            <w:tcW w:w="659" w:type="dxa"/>
            <w:tcBorders>
              <w:top w:val="nil"/>
              <w:left w:val="nil"/>
              <w:bottom w:val="single" w:sz="4" w:space="0" w:color="auto"/>
              <w:right w:val="single" w:sz="4" w:space="0" w:color="auto"/>
            </w:tcBorders>
            <w:noWrap/>
            <w:vAlign w:val="center"/>
          </w:tcPr>
          <w:p w14:paraId="0271CCEC" w14:textId="77777777" w:rsidR="00793C88" w:rsidRDefault="00793C88" w:rsidP="008738F2">
            <w:pPr>
              <w:spacing w:after="60"/>
              <w:jc w:val="right"/>
              <w:rPr>
                <w:rFonts w:ascii="Arial" w:hAnsi="Arial" w:cs="Arial"/>
                <w:sz w:val="20"/>
                <w:szCs w:val="20"/>
              </w:rPr>
            </w:pPr>
            <w:r>
              <w:rPr>
                <w:rFonts w:ascii="Arial" w:hAnsi="Arial" w:cs="Arial"/>
                <w:sz w:val="20"/>
                <w:szCs w:val="20"/>
              </w:rPr>
              <w:t>30</w:t>
            </w:r>
          </w:p>
        </w:tc>
        <w:tc>
          <w:tcPr>
            <w:tcW w:w="675" w:type="dxa"/>
            <w:tcBorders>
              <w:top w:val="nil"/>
              <w:left w:val="nil"/>
              <w:bottom w:val="single" w:sz="4" w:space="0" w:color="auto"/>
              <w:right w:val="single" w:sz="4" w:space="0" w:color="auto"/>
            </w:tcBorders>
            <w:noWrap/>
            <w:vAlign w:val="center"/>
          </w:tcPr>
          <w:p w14:paraId="62CF30A8" w14:textId="77777777" w:rsidR="00793C88" w:rsidRDefault="00793C88" w:rsidP="008738F2">
            <w:pPr>
              <w:spacing w:after="60"/>
              <w:jc w:val="right"/>
              <w:rPr>
                <w:rFonts w:ascii="Arial" w:hAnsi="Arial" w:cs="Arial"/>
                <w:sz w:val="20"/>
                <w:szCs w:val="20"/>
              </w:rPr>
            </w:pPr>
            <w:r>
              <w:rPr>
                <w:rFonts w:ascii="Arial" w:hAnsi="Arial" w:cs="Arial"/>
                <w:sz w:val="20"/>
                <w:szCs w:val="20"/>
              </w:rPr>
              <w:t>30</w:t>
            </w:r>
          </w:p>
        </w:tc>
        <w:tc>
          <w:tcPr>
            <w:tcW w:w="659" w:type="dxa"/>
            <w:tcBorders>
              <w:top w:val="nil"/>
              <w:left w:val="nil"/>
              <w:bottom w:val="single" w:sz="4" w:space="0" w:color="auto"/>
              <w:right w:val="single" w:sz="4" w:space="0" w:color="auto"/>
            </w:tcBorders>
            <w:noWrap/>
            <w:vAlign w:val="center"/>
          </w:tcPr>
          <w:p w14:paraId="418A7C58" w14:textId="77777777" w:rsidR="00793C88" w:rsidRDefault="00793C88" w:rsidP="008738F2">
            <w:pPr>
              <w:spacing w:after="60"/>
              <w:jc w:val="right"/>
              <w:rPr>
                <w:rFonts w:ascii="Arial" w:hAnsi="Arial" w:cs="Arial"/>
                <w:sz w:val="20"/>
                <w:szCs w:val="20"/>
              </w:rPr>
            </w:pPr>
            <w:r>
              <w:rPr>
                <w:rFonts w:ascii="Arial" w:hAnsi="Arial" w:cs="Arial"/>
                <w:sz w:val="20"/>
                <w:szCs w:val="20"/>
              </w:rPr>
              <w:t>31</w:t>
            </w:r>
          </w:p>
        </w:tc>
        <w:tc>
          <w:tcPr>
            <w:tcW w:w="659" w:type="dxa"/>
            <w:tcBorders>
              <w:top w:val="nil"/>
              <w:left w:val="nil"/>
              <w:bottom w:val="single" w:sz="4" w:space="0" w:color="auto"/>
              <w:right w:val="single" w:sz="4" w:space="0" w:color="auto"/>
            </w:tcBorders>
            <w:noWrap/>
            <w:vAlign w:val="center"/>
          </w:tcPr>
          <w:p w14:paraId="78D1083E" w14:textId="77777777" w:rsidR="00793C88" w:rsidRDefault="00793C88" w:rsidP="008738F2">
            <w:pPr>
              <w:spacing w:after="60"/>
              <w:jc w:val="right"/>
              <w:rPr>
                <w:rFonts w:ascii="Arial" w:hAnsi="Arial" w:cs="Arial"/>
                <w:sz w:val="20"/>
                <w:szCs w:val="20"/>
              </w:rPr>
            </w:pPr>
            <w:r>
              <w:rPr>
                <w:rFonts w:ascii="Arial" w:hAnsi="Arial" w:cs="Arial"/>
                <w:sz w:val="20"/>
                <w:szCs w:val="20"/>
              </w:rPr>
              <w:t>240</w:t>
            </w:r>
          </w:p>
        </w:tc>
      </w:tr>
      <w:tr w:rsidR="00793C88" w14:paraId="1BD31964" w14:textId="77777777" w:rsidTr="006B524B">
        <w:trPr>
          <w:trHeight w:val="288"/>
          <w:jc w:val="center"/>
        </w:trPr>
        <w:tc>
          <w:tcPr>
            <w:tcW w:w="3100" w:type="dxa"/>
            <w:tcBorders>
              <w:top w:val="nil"/>
              <w:left w:val="single" w:sz="4" w:space="0" w:color="auto"/>
              <w:bottom w:val="single" w:sz="4" w:space="0" w:color="auto"/>
              <w:right w:val="single" w:sz="4" w:space="0" w:color="auto"/>
            </w:tcBorders>
            <w:noWrap/>
            <w:vAlign w:val="center"/>
          </w:tcPr>
          <w:p w14:paraId="67C0A144" w14:textId="77777777" w:rsidR="00793C88" w:rsidRDefault="00793C88" w:rsidP="008738F2">
            <w:pPr>
              <w:spacing w:after="60"/>
              <w:rPr>
                <w:rFonts w:ascii="Arial" w:hAnsi="Arial" w:cs="Arial"/>
                <w:sz w:val="20"/>
                <w:szCs w:val="20"/>
              </w:rPr>
            </w:pPr>
            <w:r>
              <w:rPr>
                <w:rFonts w:ascii="Arial" w:hAnsi="Arial" w:cs="Arial"/>
                <w:sz w:val="20"/>
                <w:szCs w:val="20"/>
              </w:rPr>
              <w:t xml:space="preserve">BIG </w:t>
            </w:r>
            <w:proofErr w:type="gramStart"/>
            <w:r>
              <w:rPr>
                <w:rFonts w:ascii="Arial" w:hAnsi="Arial" w:cs="Arial"/>
                <w:sz w:val="20"/>
                <w:szCs w:val="20"/>
              </w:rPr>
              <w:t>DELTA,AK</w:t>
            </w:r>
            <w:proofErr w:type="gramEnd"/>
          </w:p>
        </w:tc>
        <w:tc>
          <w:tcPr>
            <w:tcW w:w="643" w:type="dxa"/>
            <w:tcBorders>
              <w:top w:val="nil"/>
              <w:left w:val="nil"/>
              <w:bottom w:val="single" w:sz="4" w:space="0" w:color="auto"/>
              <w:right w:val="single" w:sz="4" w:space="0" w:color="auto"/>
            </w:tcBorders>
            <w:noWrap/>
            <w:vAlign w:val="center"/>
          </w:tcPr>
          <w:p w14:paraId="63F78BD0" w14:textId="77777777" w:rsidR="00793C88" w:rsidRDefault="00793C88" w:rsidP="008738F2">
            <w:pPr>
              <w:spacing w:after="60"/>
              <w:jc w:val="right"/>
              <w:rPr>
                <w:rFonts w:ascii="Arial" w:hAnsi="Arial" w:cs="Arial"/>
                <w:sz w:val="20"/>
                <w:szCs w:val="20"/>
              </w:rPr>
            </w:pPr>
            <w:r>
              <w:rPr>
                <w:rFonts w:ascii="Arial" w:hAnsi="Arial" w:cs="Arial"/>
                <w:sz w:val="20"/>
                <w:szCs w:val="20"/>
              </w:rPr>
              <w:t>59</w:t>
            </w:r>
          </w:p>
        </w:tc>
        <w:tc>
          <w:tcPr>
            <w:tcW w:w="594" w:type="dxa"/>
            <w:tcBorders>
              <w:top w:val="nil"/>
              <w:left w:val="nil"/>
              <w:bottom w:val="single" w:sz="4" w:space="0" w:color="auto"/>
              <w:right w:val="single" w:sz="4" w:space="0" w:color="auto"/>
            </w:tcBorders>
            <w:noWrap/>
            <w:vAlign w:val="center"/>
          </w:tcPr>
          <w:p w14:paraId="2ABB89CC" w14:textId="77777777" w:rsidR="00793C88" w:rsidRDefault="00793C88" w:rsidP="008738F2">
            <w:pPr>
              <w:spacing w:after="60"/>
              <w:jc w:val="right"/>
              <w:rPr>
                <w:rFonts w:ascii="Arial" w:hAnsi="Arial" w:cs="Arial"/>
                <w:sz w:val="20"/>
                <w:szCs w:val="20"/>
              </w:rPr>
            </w:pPr>
            <w:r>
              <w:rPr>
                <w:rFonts w:ascii="Arial" w:hAnsi="Arial" w:cs="Arial"/>
                <w:sz w:val="20"/>
                <w:szCs w:val="20"/>
              </w:rPr>
              <w:t>31</w:t>
            </w:r>
          </w:p>
        </w:tc>
        <w:tc>
          <w:tcPr>
            <w:tcW w:w="610" w:type="dxa"/>
            <w:tcBorders>
              <w:top w:val="nil"/>
              <w:left w:val="nil"/>
              <w:bottom w:val="single" w:sz="4" w:space="0" w:color="auto"/>
              <w:right w:val="single" w:sz="4" w:space="0" w:color="auto"/>
            </w:tcBorders>
            <w:noWrap/>
            <w:vAlign w:val="center"/>
          </w:tcPr>
          <w:p w14:paraId="77A22BC6" w14:textId="77777777" w:rsidR="00793C88" w:rsidRDefault="00793C88" w:rsidP="008738F2">
            <w:pPr>
              <w:spacing w:after="60"/>
              <w:jc w:val="right"/>
              <w:rPr>
                <w:rFonts w:ascii="Arial" w:hAnsi="Arial" w:cs="Arial"/>
                <w:sz w:val="20"/>
                <w:szCs w:val="20"/>
              </w:rPr>
            </w:pPr>
            <w:r>
              <w:rPr>
                <w:rFonts w:ascii="Arial" w:hAnsi="Arial" w:cs="Arial"/>
                <w:sz w:val="20"/>
                <w:szCs w:val="20"/>
              </w:rPr>
              <w:t>28</w:t>
            </w:r>
          </w:p>
        </w:tc>
        <w:tc>
          <w:tcPr>
            <w:tcW w:w="691" w:type="dxa"/>
            <w:tcBorders>
              <w:top w:val="nil"/>
              <w:left w:val="nil"/>
              <w:bottom w:val="single" w:sz="4" w:space="0" w:color="auto"/>
              <w:right w:val="single" w:sz="4" w:space="0" w:color="auto"/>
            </w:tcBorders>
            <w:noWrap/>
            <w:vAlign w:val="center"/>
          </w:tcPr>
          <w:p w14:paraId="237654E0" w14:textId="77777777" w:rsidR="00793C88" w:rsidRDefault="00793C88" w:rsidP="008738F2">
            <w:pPr>
              <w:spacing w:after="60"/>
              <w:jc w:val="right"/>
              <w:rPr>
                <w:rFonts w:ascii="Arial" w:hAnsi="Arial" w:cs="Arial"/>
                <w:sz w:val="20"/>
                <w:szCs w:val="20"/>
              </w:rPr>
            </w:pPr>
            <w:r>
              <w:rPr>
                <w:rFonts w:ascii="Arial" w:hAnsi="Arial" w:cs="Arial"/>
                <w:sz w:val="20"/>
                <w:szCs w:val="20"/>
              </w:rPr>
              <w:t>30</w:t>
            </w:r>
          </w:p>
        </w:tc>
        <w:tc>
          <w:tcPr>
            <w:tcW w:w="643" w:type="dxa"/>
            <w:tcBorders>
              <w:top w:val="nil"/>
              <w:left w:val="nil"/>
              <w:bottom w:val="single" w:sz="4" w:space="0" w:color="auto"/>
              <w:right w:val="single" w:sz="4" w:space="0" w:color="auto"/>
            </w:tcBorders>
            <w:noWrap/>
            <w:vAlign w:val="center"/>
          </w:tcPr>
          <w:p w14:paraId="0DA2D84A" w14:textId="77777777" w:rsidR="00793C88" w:rsidRDefault="00793C88" w:rsidP="008738F2">
            <w:pPr>
              <w:spacing w:after="60"/>
              <w:jc w:val="right"/>
              <w:rPr>
                <w:rFonts w:ascii="Arial" w:hAnsi="Arial" w:cs="Arial"/>
                <w:sz w:val="20"/>
                <w:szCs w:val="20"/>
              </w:rPr>
            </w:pPr>
            <w:r>
              <w:rPr>
                <w:rFonts w:ascii="Arial" w:hAnsi="Arial" w:cs="Arial"/>
                <w:sz w:val="20"/>
                <w:szCs w:val="20"/>
              </w:rPr>
              <w:t>26</w:t>
            </w:r>
          </w:p>
        </w:tc>
        <w:tc>
          <w:tcPr>
            <w:tcW w:w="675" w:type="dxa"/>
            <w:tcBorders>
              <w:top w:val="nil"/>
              <w:left w:val="nil"/>
              <w:bottom w:val="single" w:sz="4" w:space="0" w:color="auto"/>
              <w:right w:val="single" w:sz="4" w:space="0" w:color="auto"/>
            </w:tcBorders>
            <w:noWrap/>
            <w:vAlign w:val="center"/>
          </w:tcPr>
          <w:p w14:paraId="3B504A3A" w14:textId="77777777" w:rsidR="00793C88" w:rsidRDefault="00793C88" w:rsidP="008738F2">
            <w:pPr>
              <w:spacing w:after="60"/>
              <w:jc w:val="right"/>
              <w:rPr>
                <w:rFonts w:ascii="Arial" w:hAnsi="Arial" w:cs="Arial"/>
                <w:sz w:val="20"/>
                <w:szCs w:val="20"/>
              </w:rPr>
            </w:pPr>
            <w:r>
              <w:rPr>
                <w:rFonts w:ascii="Arial" w:hAnsi="Arial" w:cs="Arial"/>
                <w:sz w:val="20"/>
                <w:szCs w:val="20"/>
              </w:rPr>
              <w:t>8</w:t>
            </w:r>
          </w:p>
        </w:tc>
        <w:tc>
          <w:tcPr>
            <w:tcW w:w="610" w:type="dxa"/>
            <w:tcBorders>
              <w:top w:val="nil"/>
              <w:left w:val="nil"/>
              <w:bottom w:val="single" w:sz="4" w:space="0" w:color="auto"/>
              <w:right w:val="single" w:sz="4" w:space="0" w:color="auto"/>
            </w:tcBorders>
            <w:noWrap/>
            <w:vAlign w:val="center"/>
          </w:tcPr>
          <w:p w14:paraId="123C6785" w14:textId="77777777" w:rsidR="00793C88" w:rsidRDefault="00793C88" w:rsidP="008738F2">
            <w:pPr>
              <w:spacing w:after="60"/>
              <w:jc w:val="right"/>
              <w:rPr>
                <w:rFonts w:ascii="Arial" w:hAnsi="Arial" w:cs="Arial"/>
                <w:sz w:val="20"/>
                <w:szCs w:val="20"/>
              </w:rPr>
            </w:pPr>
            <w:r>
              <w:rPr>
                <w:rFonts w:ascii="Arial" w:hAnsi="Arial" w:cs="Arial"/>
                <w:sz w:val="20"/>
                <w:szCs w:val="20"/>
              </w:rPr>
              <w:t>*</w:t>
            </w:r>
          </w:p>
        </w:tc>
        <w:tc>
          <w:tcPr>
            <w:tcW w:w="572" w:type="dxa"/>
            <w:tcBorders>
              <w:top w:val="nil"/>
              <w:left w:val="nil"/>
              <w:bottom w:val="single" w:sz="4" w:space="0" w:color="auto"/>
              <w:right w:val="single" w:sz="4" w:space="0" w:color="auto"/>
            </w:tcBorders>
            <w:noWrap/>
            <w:vAlign w:val="center"/>
          </w:tcPr>
          <w:p w14:paraId="325C01A1" w14:textId="77777777" w:rsidR="00793C88" w:rsidRDefault="00793C88" w:rsidP="008738F2">
            <w:pPr>
              <w:spacing w:after="60"/>
              <w:jc w:val="right"/>
              <w:rPr>
                <w:rFonts w:ascii="Arial" w:hAnsi="Arial" w:cs="Arial"/>
                <w:sz w:val="20"/>
                <w:szCs w:val="20"/>
              </w:rPr>
            </w:pPr>
            <w:r>
              <w:rPr>
                <w:rFonts w:ascii="Arial" w:hAnsi="Arial" w:cs="Arial"/>
                <w:sz w:val="20"/>
                <w:szCs w:val="20"/>
              </w:rPr>
              <w:t>*</w:t>
            </w:r>
          </w:p>
        </w:tc>
        <w:tc>
          <w:tcPr>
            <w:tcW w:w="675" w:type="dxa"/>
            <w:tcBorders>
              <w:top w:val="nil"/>
              <w:left w:val="nil"/>
              <w:bottom w:val="single" w:sz="4" w:space="0" w:color="auto"/>
              <w:right w:val="single" w:sz="4" w:space="0" w:color="auto"/>
            </w:tcBorders>
            <w:noWrap/>
            <w:vAlign w:val="center"/>
          </w:tcPr>
          <w:p w14:paraId="0EB74CB1" w14:textId="77777777" w:rsidR="00793C88" w:rsidRDefault="00793C88" w:rsidP="008738F2">
            <w:pPr>
              <w:spacing w:after="60"/>
              <w:jc w:val="right"/>
              <w:rPr>
                <w:rFonts w:ascii="Arial" w:hAnsi="Arial" w:cs="Arial"/>
                <w:sz w:val="20"/>
                <w:szCs w:val="20"/>
              </w:rPr>
            </w:pPr>
            <w:r>
              <w:rPr>
                <w:rFonts w:ascii="Arial" w:hAnsi="Arial" w:cs="Arial"/>
                <w:sz w:val="20"/>
                <w:szCs w:val="20"/>
              </w:rPr>
              <w:t>1</w:t>
            </w:r>
          </w:p>
        </w:tc>
        <w:tc>
          <w:tcPr>
            <w:tcW w:w="627" w:type="dxa"/>
            <w:tcBorders>
              <w:top w:val="nil"/>
              <w:left w:val="nil"/>
              <w:bottom w:val="single" w:sz="4" w:space="0" w:color="auto"/>
              <w:right w:val="single" w:sz="4" w:space="0" w:color="auto"/>
            </w:tcBorders>
            <w:noWrap/>
            <w:vAlign w:val="center"/>
          </w:tcPr>
          <w:p w14:paraId="2905D58E" w14:textId="77777777" w:rsidR="00793C88" w:rsidRDefault="00793C88" w:rsidP="008738F2">
            <w:pPr>
              <w:spacing w:after="60"/>
              <w:jc w:val="right"/>
              <w:rPr>
                <w:rFonts w:ascii="Arial" w:hAnsi="Arial" w:cs="Arial"/>
                <w:sz w:val="20"/>
                <w:szCs w:val="20"/>
              </w:rPr>
            </w:pPr>
            <w:r>
              <w:rPr>
                <w:rFonts w:ascii="Arial" w:hAnsi="Arial" w:cs="Arial"/>
                <w:sz w:val="20"/>
                <w:szCs w:val="20"/>
              </w:rPr>
              <w:t>10</w:t>
            </w:r>
          </w:p>
        </w:tc>
        <w:tc>
          <w:tcPr>
            <w:tcW w:w="659" w:type="dxa"/>
            <w:tcBorders>
              <w:top w:val="nil"/>
              <w:left w:val="nil"/>
              <w:bottom w:val="single" w:sz="4" w:space="0" w:color="auto"/>
              <w:right w:val="single" w:sz="4" w:space="0" w:color="auto"/>
            </w:tcBorders>
            <w:noWrap/>
            <w:vAlign w:val="center"/>
          </w:tcPr>
          <w:p w14:paraId="5FDE655A" w14:textId="77777777" w:rsidR="00793C88" w:rsidRDefault="00793C88" w:rsidP="008738F2">
            <w:pPr>
              <w:spacing w:after="60"/>
              <w:jc w:val="right"/>
              <w:rPr>
                <w:rFonts w:ascii="Arial" w:hAnsi="Arial" w:cs="Arial"/>
                <w:sz w:val="20"/>
                <w:szCs w:val="20"/>
              </w:rPr>
            </w:pPr>
            <w:r>
              <w:rPr>
                <w:rFonts w:ascii="Arial" w:hAnsi="Arial" w:cs="Arial"/>
                <w:sz w:val="20"/>
                <w:szCs w:val="20"/>
              </w:rPr>
              <w:t>28</w:t>
            </w:r>
          </w:p>
        </w:tc>
        <w:tc>
          <w:tcPr>
            <w:tcW w:w="675" w:type="dxa"/>
            <w:tcBorders>
              <w:top w:val="nil"/>
              <w:left w:val="nil"/>
              <w:bottom w:val="single" w:sz="4" w:space="0" w:color="auto"/>
              <w:right w:val="single" w:sz="4" w:space="0" w:color="auto"/>
            </w:tcBorders>
            <w:noWrap/>
            <w:vAlign w:val="center"/>
          </w:tcPr>
          <w:p w14:paraId="71E31372" w14:textId="77777777" w:rsidR="00793C88" w:rsidRDefault="00793C88" w:rsidP="008738F2">
            <w:pPr>
              <w:spacing w:after="60"/>
              <w:jc w:val="right"/>
              <w:rPr>
                <w:rFonts w:ascii="Arial" w:hAnsi="Arial" w:cs="Arial"/>
                <w:sz w:val="20"/>
                <w:szCs w:val="20"/>
              </w:rPr>
            </w:pPr>
            <w:r>
              <w:rPr>
                <w:rFonts w:ascii="Arial" w:hAnsi="Arial" w:cs="Arial"/>
                <w:sz w:val="20"/>
                <w:szCs w:val="20"/>
              </w:rPr>
              <w:t>30</w:t>
            </w:r>
          </w:p>
        </w:tc>
        <w:tc>
          <w:tcPr>
            <w:tcW w:w="659" w:type="dxa"/>
            <w:tcBorders>
              <w:top w:val="nil"/>
              <w:left w:val="nil"/>
              <w:bottom w:val="single" w:sz="4" w:space="0" w:color="auto"/>
              <w:right w:val="single" w:sz="4" w:space="0" w:color="auto"/>
            </w:tcBorders>
            <w:noWrap/>
            <w:vAlign w:val="center"/>
          </w:tcPr>
          <w:p w14:paraId="2F6DEFE1" w14:textId="77777777" w:rsidR="00793C88" w:rsidRDefault="00793C88" w:rsidP="008738F2">
            <w:pPr>
              <w:spacing w:after="60"/>
              <w:jc w:val="right"/>
              <w:rPr>
                <w:rFonts w:ascii="Arial" w:hAnsi="Arial" w:cs="Arial"/>
                <w:sz w:val="20"/>
                <w:szCs w:val="20"/>
              </w:rPr>
            </w:pPr>
            <w:r>
              <w:rPr>
                <w:rFonts w:ascii="Arial" w:hAnsi="Arial" w:cs="Arial"/>
                <w:sz w:val="20"/>
                <w:szCs w:val="20"/>
              </w:rPr>
              <w:t>31</w:t>
            </w:r>
          </w:p>
        </w:tc>
        <w:tc>
          <w:tcPr>
            <w:tcW w:w="659" w:type="dxa"/>
            <w:tcBorders>
              <w:top w:val="nil"/>
              <w:left w:val="nil"/>
              <w:bottom w:val="single" w:sz="4" w:space="0" w:color="auto"/>
              <w:right w:val="single" w:sz="4" w:space="0" w:color="auto"/>
            </w:tcBorders>
            <w:noWrap/>
            <w:vAlign w:val="center"/>
          </w:tcPr>
          <w:p w14:paraId="27986122" w14:textId="77777777" w:rsidR="00793C88" w:rsidRDefault="00793C88" w:rsidP="008738F2">
            <w:pPr>
              <w:spacing w:after="60"/>
              <w:jc w:val="right"/>
              <w:rPr>
                <w:rFonts w:ascii="Arial" w:hAnsi="Arial" w:cs="Arial"/>
                <w:sz w:val="20"/>
                <w:szCs w:val="20"/>
              </w:rPr>
            </w:pPr>
            <w:r>
              <w:rPr>
                <w:rFonts w:ascii="Arial" w:hAnsi="Arial" w:cs="Arial"/>
                <w:sz w:val="20"/>
                <w:szCs w:val="20"/>
              </w:rPr>
              <w:t>222</w:t>
            </w:r>
          </w:p>
        </w:tc>
      </w:tr>
      <w:tr w:rsidR="00793C88" w14:paraId="7FC143B4" w14:textId="77777777" w:rsidTr="006B524B">
        <w:trPr>
          <w:trHeight w:val="288"/>
          <w:jc w:val="center"/>
        </w:trPr>
        <w:tc>
          <w:tcPr>
            <w:tcW w:w="3100" w:type="dxa"/>
            <w:tcBorders>
              <w:top w:val="nil"/>
              <w:left w:val="single" w:sz="4" w:space="0" w:color="auto"/>
              <w:bottom w:val="single" w:sz="4" w:space="0" w:color="auto"/>
              <w:right w:val="single" w:sz="4" w:space="0" w:color="auto"/>
            </w:tcBorders>
            <w:noWrap/>
            <w:vAlign w:val="center"/>
          </w:tcPr>
          <w:p w14:paraId="0C81C21C" w14:textId="77777777" w:rsidR="00793C88" w:rsidRDefault="00793C88" w:rsidP="008738F2">
            <w:pPr>
              <w:spacing w:after="60"/>
              <w:rPr>
                <w:rFonts w:ascii="Arial" w:hAnsi="Arial" w:cs="Arial"/>
                <w:sz w:val="20"/>
                <w:szCs w:val="20"/>
              </w:rPr>
            </w:pPr>
            <w:smartTag w:uri="urn:schemas-microsoft-com:office:smarttags" w:element="place">
              <w:smartTag w:uri="urn:schemas-microsoft-com:office:smarttags" w:element="City">
                <w:r>
                  <w:rPr>
                    <w:rFonts w:ascii="Arial" w:hAnsi="Arial" w:cs="Arial"/>
                    <w:sz w:val="20"/>
                    <w:szCs w:val="20"/>
                  </w:rPr>
                  <w:t xml:space="preserve">COLD </w:t>
                </w:r>
                <w:proofErr w:type="gramStart"/>
                <w:r>
                  <w:rPr>
                    <w:rFonts w:ascii="Arial" w:hAnsi="Arial" w:cs="Arial"/>
                    <w:sz w:val="20"/>
                    <w:szCs w:val="20"/>
                  </w:rPr>
                  <w:t>BAY</w:t>
                </w:r>
              </w:smartTag>
              <w:r>
                <w:rPr>
                  <w:rFonts w:ascii="Arial" w:hAnsi="Arial" w:cs="Arial"/>
                  <w:sz w:val="20"/>
                  <w:szCs w:val="20"/>
                </w:rPr>
                <w:t>,</w:t>
              </w:r>
              <w:smartTag w:uri="urn:schemas-microsoft-com:office:smarttags" w:element="State">
                <w:r>
                  <w:rPr>
                    <w:rFonts w:ascii="Arial" w:hAnsi="Arial" w:cs="Arial"/>
                    <w:sz w:val="20"/>
                    <w:szCs w:val="20"/>
                  </w:rPr>
                  <w:t>AK</w:t>
                </w:r>
              </w:smartTag>
            </w:smartTag>
            <w:proofErr w:type="gramEnd"/>
          </w:p>
        </w:tc>
        <w:tc>
          <w:tcPr>
            <w:tcW w:w="643" w:type="dxa"/>
            <w:tcBorders>
              <w:top w:val="nil"/>
              <w:left w:val="nil"/>
              <w:bottom w:val="single" w:sz="4" w:space="0" w:color="auto"/>
              <w:right w:val="single" w:sz="4" w:space="0" w:color="auto"/>
            </w:tcBorders>
            <w:noWrap/>
            <w:vAlign w:val="center"/>
          </w:tcPr>
          <w:p w14:paraId="69006929" w14:textId="77777777" w:rsidR="00793C88" w:rsidRDefault="00793C88" w:rsidP="008738F2">
            <w:pPr>
              <w:spacing w:after="60"/>
              <w:jc w:val="right"/>
              <w:rPr>
                <w:rFonts w:ascii="Arial" w:hAnsi="Arial" w:cs="Arial"/>
                <w:sz w:val="20"/>
                <w:szCs w:val="20"/>
              </w:rPr>
            </w:pPr>
            <w:r>
              <w:rPr>
                <w:rFonts w:ascii="Arial" w:hAnsi="Arial" w:cs="Arial"/>
                <w:sz w:val="20"/>
                <w:szCs w:val="20"/>
              </w:rPr>
              <w:t>61</w:t>
            </w:r>
          </w:p>
        </w:tc>
        <w:tc>
          <w:tcPr>
            <w:tcW w:w="594" w:type="dxa"/>
            <w:tcBorders>
              <w:top w:val="nil"/>
              <w:left w:val="nil"/>
              <w:bottom w:val="single" w:sz="4" w:space="0" w:color="auto"/>
              <w:right w:val="single" w:sz="4" w:space="0" w:color="auto"/>
            </w:tcBorders>
            <w:noWrap/>
            <w:vAlign w:val="center"/>
          </w:tcPr>
          <w:p w14:paraId="4FCF448D" w14:textId="77777777" w:rsidR="00793C88" w:rsidRDefault="00793C88" w:rsidP="008738F2">
            <w:pPr>
              <w:spacing w:after="60"/>
              <w:jc w:val="right"/>
              <w:rPr>
                <w:rFonts w:ascii="Arial" w:hAnsi="Arial" w:cs="Arial"/>
                <w:sz w:val="20"/>
                <w:szCs w:val="20"/>
              </w:rPr>
            </w:pPr>
            <w:r>
              <w:rPr>
                <w:rFonts w:ascii="Arial" w:hAnsi="Arial" w:cs="Arial"/>
                <w:sz w:val="20"/>
                <w:szCs w:val="20"/>
              </w:rPr>
              <w:t>24</w:t>
            </w:r>
          </w:p>
        </w:tc>
        <w:tc>
          <w:tcPr>
            <w:tcW w:w="610" w:type="dxa"/>
            <w:tcBorders>
              <w:top w:val="nil"/>
              <w:left w:val="nil"/>
              <w:bottom w:val="single" w:sz="4" w:space="0" w:color="auto"/>
              <w:right w:val="single" w:sz="4" w:space="0" w:color="auto"/>
            </w:tcBorders>
            <w:noWrap/>
            <w:vAlign w:val="center"/>
          </w:tcPr>
          <w:p w14:paraId="5D85BC53" w14:textId="77777777" w:rsidR="00793C88" w:rsidRDefault="00793C88" w:rsidP="008738F2">
            <w:pPr>
              <w:spacing w:after="60"/>
              <w:jc w:val="right"/>
              <w:rPr>
                <w:rFonts w:ascii="Arial" w:hAnsi="Arial" w:cs="Arial"/>
                <w:sz w:val="20"/>
                <w:szCs w:val="20"/>
              </w:rPr>
            </w:pPr>
            <w:r>
              <w:rPr>
                <w:rFonts w:ascii="Arial" w:hAnsi="Arial" w:cs="Arial"/>
                <w:sz w:val="20"/>
                <w:szCs w:val="20"/>
              </w:rPr>
              <w:t>23</w:t>
            </w:r>
          </w:p>
        </w:tc>
        <w:tc>
          <w:tcPr>
            <w:tcW w:w="691" w:type="dxa"/>
            <w:tcBorders>
              <w:top w:val="nil"/>
              <w:left w:val="nil"/>
              <w:bottom w:val="single" w:sz="4" w:space="0" w:color="auto"/>
              <w:right w:val="single" w:sz="4" w:space="0" w:color="auto"/>
            </w:tcBorders>
            <w:noWrap/>
            <w:vAlign w:val="center"/>
          </w:tcPr>
          <w:p w14:paraId="6E969397" w14:textId="77777777" w:rsidR="00793C88" w:rsidRDefault="00793C88" w:rsidP="008738F2">
            <w:pPr>
              <w:spacing w:after="60"/>
              <w:jc w:val="right"/>
              <w:rPr>
                <w:rFonts w:ascii="Arial" w:hAnsi="Arial" w:cs="Arial"/>
                <w:sz w:val="20"/>
                <w:szCs w:val="20"/>
              </w:rPr>
            </w:pPr>
            <w:r>
              <w:rPr>
                <w:rFonts w:ascii="Arial" w:hAnsi="Arial" w:cs="Arial"/>
                <w:sz w:val="20"/>
                <w:szCs w:val="20"/>
              </w:rPr>
              <w:t>25</w:t>
            </w:r>
          </w:p>
        </w:tc>
        <w:tc>
          <w:tcPr>
            <w:tcW w:w="643" w:type="dxa"/>
            <w:tcBorders>
              <w:top w:val="nil"/>
              <w:left w:val="nil"/>
              <w:bottom w:val="single" w:sz="4" w:space="0" w:color="auto"/>
              <w:right w:val="single" w:sz="4" w:space="0" w:color="auto"/>
            </w:tcBorders>
            <w:noWrap/>
            <w:vAlign w:val="center"/>
          </w:tcPr>
          <w:p w14:paraId="21A90716" w14:textId="77777777" w:rsidR="00793C88" w:rsidRDefault="00793C88" w:rsidP="008738F2">
            <w:pPr>
              <w:spacing w:after="60"/>
              <w:jc w:val="right"/>
              <w:rPr>
                <w:rFonts w:ascii="Arial" w:hAnsi="Arial" w:cs="Arial"/>
                <w:sz w:val="20"/>
                <w:szCs w:val="20"/>
              </w:rPr>
            </w:pPr>
            <w:r>
              <w:rPr>
                <w:rFonts w:ascii="Arial" w:hAnsi="Arial" w:cs="Arial"/>
                <w:sz w:val="20"/>
                <w:szCs w:val="20"/>
              </w:rPr>
              <w:t>21</w:t>
            </w:r>
          </w:p>
        </w:tc>
        <w:tc>
          <w:tcPr>
            <w:tcW w:w="675" w:type="dxa"/>
            <w:tcBorders>
              <w:top w:val="nil"/>
              <w:left w:val="nil"/>
              <w:bottom w:val="single" w:sz="4" w:space="0" w:color="auto"/>
              <w:right w:val="single" w:sz="4" w:space="0" w:color="auto"/>
            </w:tcBorders>
            <w:noWrap/>
            <w:vAlign w:val="center"/>
          </w:tcPr>
          <w:p w14:paraId="6C819AF3" w14:textId="77777777" w:rsidR="00793C88" w:rsidRDefault="00793C88" w:rsidP="008738F2">
            <w:pPr>
              <w:spacing w:after="60"/>
              <w:jc w:val="right"/>
              <w:rPr>
                <w:rFonts w:ascii="Arial" w:hAnsi="Arial" w:cs="Arial"/>
                <w:sz w:val="20"/>
                <w:szCs w:val="20"/>
              </w:rPr>
            </w:pPr>
            <w:r>
              <w:rPr>
                <w:rFonts w:ascii="Arial" w:hAnsi="Arial" w:cs="Arial"/>
                <w:sz w:val="20"/>
                <w:szCs w:val="20"/>
              </w:rPr>
              <w:t>8</w:t>
            </w:r>
          </w:p>
        </w:tc>
        <w:tc>
          <w:tcPr>
            <w:tcW w:w="610" w:type="dxa"/>
            <w:tcBorders>
              <w:top w:val="nil"/>
              <w:left w:val="nil"/>
              <w:bottom w:val="single" w:sz="4" w:space="0" w:color="auto"/>
              <w:right w:val="single" w:sz="4" w:space="0" w:color="auto"/>
            </w:tcBorders>
            <w:noWrap/>
            <w:vAlign w:val="center"/>
          </w:tcPr>
          <w:p w14:paraId="432252D0" w14:textId="77777777" w:rsidR="00793C88" w:rsidRDefault="00793C88" w:rsidP="008738F2">
            <w:pPr>
              <w:spacing w:after="60"/>
              <w:jc w:val="right"/>
              <w:rPr>
                <w:rFonts w:ascii="Arial" w:hAnsi="Arial" w:cs="Arial"/>
                <w:sz w:val="20"/>
                <w:szCs w:val="20"/>
              </w:rPr>
            </w:pPr>
            <w:r>
              <w:rPr>
                <w:rFonts w:ascii="Arial" w:hAnsi="Arial" w:cs="Arial"/>
                <w:sz w:val="20"/>
                <w:szCs w:val="20"/>
              </w:rPr>
              <w:t>*</w:t>
            </w:r>
          </w:p>
        </w:tc>
        <w:tc>
          <w:tcPr>
            <w:tcW w:w="572" w:type="dxa"/>
            <w:tcBorders>
              <w:top w:val="nil"/>
              <w:left w:val="nil"/>
              <w:bottom w:val="single" w:sz="4" w:space="0" w:color="auto"/>
              <w:right w:val="single" w:sz="4" w:space="0" w:color="auto"/>
            </w:tcBorders>
            <w:noWrap/>
            <w:vAlign w:val="center"/>
          </w:tcPr>
          <w:p w14:paraId="16CFDD31" w14:textId="77777777" w:rsidR="00793C88" w:rsidRDefault="00793C88" w:rsidP="008738F2">
            <w:pPr>
              <w:spacing w:after="60"/>
              <w:jc w:val="right"/>
              <w:rPr>
                <w:rFonts w:ascii="Arial" w:hAnsi="Arial" w:cs="Arial"/>
                <w:sz w:val="20"/>
                <w:szCs w:val="20"/>
              </w:rPr>
            </w:pPr>
            <w:r>
              <w:rPr>
                <w:rFonts w:ascii="Arial" w:hAnsi="Arial" w:cs="Arial"/>
                <w:sz w:val="20"/>
                <w:szCs w:val="20"/>
              </w:rPr>
              <w:t>0</w:t>
            </w:r>
          </w:p>
        </w:tc>
        <w:tc>
          <w:tcPr>
            <w:tcW w:w="675" w:type="dxa"/>
            <w:tcBorders>
              <w:top w:val="nil"/>
              <w:left w:val="nil"/>
              <w:bottom w:val="single" w:sz="4" w:space="0" w:color="auto"/>
              <w:right w:val="single" w:sz="4" w:space="0" w:color="auto"/>
            </w:tcBorders>
            <w:noWrap/>
            <w:vAlign w:val="center"/>
          </w:tcPr>
          <w:p w14:paraId="3F655C4B" w14:textId="77777777" w:rsidR="00793C88" w:rsidRDefault="00793C88" w:rsidP="008738F2">
            <w:pPr>
              <w:spacing w:after="60"/>
              <w:jc w:val="right"/>
              <w:rPr>
                <w:rFonts w:ascii="Arial" w:hAnsi="Arial" w:cs="Arial"/>
                <w:sz w:val="20"/>
                <w:szCs w:val="20"/>
              </w:rPr>
            </w:pPr>
            <w:r>
              <w:rPr>
                <w:rFonts w:ascii="Arial" w:hAnsi="Arial" w:cs="Arial"/>
                <w:sz w:val="20"/>
                <w:szCs w:val="20"/>
              </w:rPr>
              <w:t>0</w:t>
            </w:r>
          </w:p>
        </w:tc>
        <w:tc>
          <w:tcPr>
            <w:tcW w:w="627" w:type="dxa"/>
            <w:tcBorders>
              <w:top w:val="nil"/>
              <w:left w:val="nil"/>
              <w:bottom w:val="single" w:sz="4" w:space="0" w:color="auto"/>
              <w:right w:val="single" w:sz="4" w:space="0" w:color="auto"/>
            </w:tcBorders>
            <w:noWrap/>
            <w:vAlign w:val="center"/>
          </w:tcPr>
          <w:p w14:paraId="2E928BA1" w14:textId="77777777" w:rsidR="00793C88" w:rsidRDefault="00793C88" w:rsidP="008738F2">
            <w:pPr>
              <w:spacing w:after="60"/>
              <w:jc w:val="right"/>
              <w:rPr>
                <w:rFonts w:ascii="Arial" w:hAnsi="Arial" w:cs="Arial"/>
                <w:sz w:val="20"/>
                <w:szCs w:val="20"/>
              </w:rPr>
            </w:pPr>
            <w:r>
              <w:rPr>
                <w:rFonts w:ascii="Arial" w:hAnsi="Arial" w:cs="Arial"/>
                <w:sz w:val="20"/>
                <w:szCs w:val="20"/>
              </w:rPr>
              <w:t>*</w:t>
            </w:r>
          </w:p>
        </w:tc>
        <w:tc>
          <w:tcPr>
            <w:tcW w:w="659" w:type="dxa"/>
            <w:tcBorders>
              <w:top w:val="nil"/>
              <w:left w:val="nil"/>
              <w:bottom w:val="single" w:sz="4" w:space="0" w:color="auto"/>
              <w:right w:val="single" w:sz="4" w:space="0" w:color="auto"/>
            </w:tcBorders>
            <w:noWrap/>
            <w:vAlign w:val="center"/>
          </w:tcPr>
          <w:p w14:paraId="470365EC" w14:textId="77777777" w:rsidR="00793C88" w:rsidRDefault="00793C88" w:rsidP="008738F2">
            <w:pPr>
              <w:spacing w:after="60"/>
              <w:jc w:val="right"/>
              <w:rPr>
                <w:rFonts w:ascii="Arial" w:hAnsi="Arial" w:cs="Arial"/>
                <w:sz w:val="20"/>
                <w:szCs w:val="20"/>
              </w:rPr>
            </w:pPr>
            <w:r>
              <w:rPr>
                <w:rFonts w:ascii="Arial" w:hAnsi="Arial" w:cs="Arial"/>
                <w:sz w:val="20"/>
                <w:szCs w:val="20"/>
              </w:rPr>
              <w:t>9</w:t>
            </w:r>
          </w:p>
        </w:tc>
        <w:tc>
          <w:tcPr>
            <w:tcW w:w="675" w:type="dxa"/>
            <w:tcBorders>
              <w:top w:val="nil"/>
              <w:left w:val="nil"/>
              <w:bottom w:val="single" w:sz="4" w:space="0" w:color="auto"/>
              <w:right w:val="single" w:sz="4" w:space="0" w:color="auto"/>
            </w:tcBorders>
            <w:noWrap/>
            <w:vAlign w:val="center"/>
          </w:tcPr>
          <w:p w14:paraId="6869DEAE" w14:textId="77777777" w:rsidR="00793C88" w:rsidRDefault="00793C88" w:rsidP="008738F2">
            <w:pPr>
              <w:spacing w:after="60"/>
              <w:jc w:val="right"/>
              <w:rPr>
                <w:rFonts w:ascii="Arial" w:hAnsi="Arial" w:cs="Arial"/>
                <w:sz w:val="20"/>
                <w:szCs w:val="20"/>
              </w:rPr>
            </w:pPr>
            <w:r>
              <w:rPr>
                <w:rFonts w:ascii="Arial" w:hAnsi="Arial" w:cs="Arial"/>
                <w:sz w:val="20"/>
                <w:szCs w:val="20"/>
              </w:rPr>
              <w:t>19</w:t>
            </w:r>
          </w:p>
        </w:tc>
        <w:tc>
          <w:tcPr>
            <w:tcW w:w="659" w:type="dxa"/>
            <w:tcBorders>
              <w:top w:val="nil"/>
              <w:left w:val="nil"/>
              <w:bottom w:val="single" w:sz="4" w:space="0" w:color="auto"/>
              <w:right w:val="single" w:sz="4" w:space="0" w:color="auto"/>
            </w:tcBorders>
            <w:noWrap/>
            <w:vAlign w:val="center"/>
          </w:tcPr>
          <w:p w14:paraId="4090B225" w14:textId="77777777" w:rsidR="00793C88" w:rsidRDefault="00793C88" w:rsidP="008738F2">
            <w:pPr>
              <w:spacing w:after="60"/>
              <w:jc w:val="right"/>
              <w:rPr>
                <w:rFonts w:ascii="Arial" w:hAnsi="Arial" w:cs="Arial"/>
                <w:sz w:val="20"/>
                <w:szCs w:val="20"/>
              </w:rPr>
            </w:pPr>
            <w:r>
              <w:rPr>
                <w:rFonts w:ascii="Arial" w:hAnsi="Arial" w:cs="Arial"/>
                <w:sz w:val="20"/>
                <w:szCs w:val="20"/>
              </w:rPr>
              <w:t>24</w:t>
            </w:r>
          </w:p>
        </w:tc>
        <w:tc>
          <w:tcPr>
            <w:tcW w:w="659" w:type="dxa"/>
            <w:tcBorders>
              <w:top w:val="nil"/>
              <w:left w:val="nil"/>
              <w:bottom w:val="single" w:sz="4" w:space="0" w:color="auto"/>
              <w:right w:val="single" w:sz="4" w:space="0" w:color="auto"/>
            </w:tcBorders>
            <w:noWrap/>
            <w:vAlign w:val="center"/>
          </w:tcPr>
          <w:p w14:paraId="0A0F15BA" w14:textId="77777777" w:rsidR="00793C88" w:rsidRDefault="00793C88" w:rsidP="008738F2">
            <w:pPr>
              <w:spacing w:after="60"/>
              <w:jc w:val="right"/>
              <w:rPr>
                <w:rFonts w:ascii="Arial" w:hAnsi="Arial" w:cs="Arial"/>
                <w:sz w:val="20"/>
                <w:szCs w:val="20"/>
              </w:rPr>
            </w:pPr>
            <w:r>
              <w:rPr>
                <w:rFonts w:ascii="Arial" w:hAnsi="Arial" w:cs="Arial"/>
                <w:sz w:val="20"/>
                <w:szCs w:val="20"/>
              </w:rPr>
              <w:t>154</w:t>
            </w:r>
          </w:p>
        </w:tc>
      </w:tr>
      <w:tr w:rsidR="00793C88" w14:paraId="6A3E5774" w14:textId="77777777" w:rsidTr="006B524B">
        <w:trPr>
          <w:trHeight w:val="288"/>
          <w:jc w:val="center"/>
        </w:trPr>
        <w:tc>
          <w:tcPr>
            <w:tcW w:w="3100" w:type="dxa"/>
            <w:tcBorders>
              <w:top w:val="nil"/>
              <w:left w:val="single" w:sz="4" w:space="0" w:color="auto"/>
              <w:bottom w:val="single" w:sz="4" w:space="0" w:color="auto"/>
              <w:right w:val="single" w:sz="4" w:space="0" w:color="auto"/>
            </w:tcBorders>
            <w:noWrap/>
            <w:vAlign w:val="center"/>
          </w:tcPr>
          <w:p w14:paraId="344F4701" w14:textId="77777777" w:rsidR="00793C88" w:rsidRDefault="00793C88" w:rsidP="008738F2">
            <w:pPr>
              <w:spacing w:after="60"/>
              <w:rPr>
                <w:rFonts w:ascii="Arial" w:hAnsi="Arial" w:cs="Arial"/>
                <w:sz w:val="20"/>
                <w:szCs w:val="20"/>
              </w:rPr>
            </w:pPr>
            <w:smartTag w:uri="urn:schemas-microsoft-com:office:smarttags" w:element="place">
              <w:smartTag w:uri="urn:schemas-microsoft-com:office:smarttags" w:element="City">
                <w:r>
                  <w:rPr>
                    <w:rFonts w:ascii="Arial" w:hAnsi="Arial" w:cs="Arial"/>
                    <w:sz w:val="20"/>
                    <w:szCs w:val="20"/>
                  </w:rPr>
                  <w:t>FAIRBANKS</w:t>
                </w:r>
              </w:smartTag>
              <w:r>
                <w:rPr>
                  <w:rFonts w:ascii="Arial" w:hAnsi="Arial" w:cs="Arial"/>
                  <w:sz w:val="20"/>
                  <w:szCs w:val="20"/>
                </w:rPr>
                <w:t xml:space="preserve">, </w:t>
              </w:r>
              <w:smartTag w:uri="urn:schemas-microsoft-com:office:smarttags" w:element="State">
                <w:r>
                  <w:rPr>
                    <w:rFonts w:ascii="Arial" w:hAnsi="Arial" w:cs="Arial"/>
                    <w:sz w:val="20"/>
                    <w:szCs w:val="20"/>
                  </w:rPr>
                  <w:t>AK</w:t>
                </w:r>
              </w:smartTag>
            </w:smartTag>
          </w:p>
        </w:tc>
        <w:tc>
          <w:tcPr>
            <w:tcW w:w="643" w:type="dxa"/>
            <w:tcBorders>
              <w:top w:val="nil"/>
              <w:left w:val="nil"/>
              <w:bottom w:val="single" w:sz="4" w:space="0" w:color="auto"/>
              <w:right w:val="single" w:sz="4" w:space="0" w:color="auto"/>
            </w:tcBorders>
            <w:noWrap/>
            <w:vAlign w:val="center"/>
          </w:tcPr>
          <w:p w14:paraId="6063B984" w14:textId="77777777" w:rsidR="00793C88" w:rsidRDefault="00793C88" w:rsidP="008738F2">
            <w:pPr>
              <w:spacing w:after="60"/>
              <w:jc w:val="right"/>
              <w:rPr>
                <w:rFonts w:ascii="Arial" w:hAnsi="Arial" w:cs="Arial"/>
                <w:sz w:val="20"/>
                <w:szCs w:val="20"/>
              </w:rPr>
            </w:pPr>
            <w:r>
              <w:rPr>
                <w:rFonts w:ascii="Arial" w:hAnsi="Arial" w:cs="Arial"/>
                <w:sz w:val="20"/>
                <w:szCs w:val="20"/>
              </w:rPr>
              <w:t>41</w:t>
            </w:r>
          </w:p>
        </w:tc>
        <w:tc>
          <w:tcPr>
            <w:tcW w:w="594" w:type="dxa"/>
            <w:tcBorders>
              <w:top w:val="nil"/>
              <w:left w:val="nil"/>
              <w:bottom w:val="single" w:sz="4" w:space="0" w:color="auto"/>
              <w:right w:val="single" w:sz="4" w:space="0" w:color="auto"/>
            </w:tcBorders>
            <w:noWrap/>
            <w:vAlign w:val="center"/>
          </w:tcPr>
          <w:p w14:paraId="6CD0FA15" w14:textId="77777777" w:rsidR="00793C88" w:rsidRDefault="00793C88" w:rsidP="008738F2">
            <w:pPr>
              <w:spacing w:after="60"/>
              <w:jc w:val="right"/>
              <w:rPr>
                <w:rFonts w:ascii="Arial" w:hAnsi="Arial" w:cs="Arial"/>
                <w:sz w:val="20"/>
                <w:szCs w:val="20"/>
              </w:rPr>
            </w:pPr>
            <w:r>
              <w:rPr>
                <w:rFonts w:ascii="Arial" w:hAnsi="Arial" w:cs="Arial"/>
                <w:sz w:val="20"/>
                <w:szCs w:val="20"/>
              </w:rPr>
              <w:t>31</w:t>
            </w:r>
          </w:p>
        </w:tc>
        <w:tc>
          <w:tcPr>
            <w:tcW w:w="610" w:type="dxa"/>
            <w:tcBorders>
              <w:top w:val="nil"/>
              <w:left w:val="nil"/>
              <w:bottom w:val="single" w:sz="4" w:space="0" w:color="auto"/>
              <w:right w:val="single" w:sz="4" w:space="0" w:color="auto"/>
            </w:tcBorders>
            <w:noWrap/>
            <w:vAlign w:val="center"/>
          </w:tcPr>
          <w:p w14:paraId="2816DE82" w14:textId="77777777" w:rsidR="00793C88" w:rsidRDefault="00793C88" w:rsidP="008738F2">
            <w:pPr>
              <w:spacing w:after="60"/>
              <w:jc w:val="right"/>
              <w:rPr>
                <w:rFonts w:ascii="Arial" w:hAnsi="Arial" w:cs="Arial"/>
                <w:sz w:val="20"/>
                <w:szCs w:val="20"/>
              </w:rPr>
            </w:pPr>
            <w:r>
              <w:rPr>
                <w:rFonts w:ascii="Arial" w:hAnsi="Arial" w:cs="Arial"/>
                <w:sz w:val="20"/>
                <w:szCs w:val="20"/>
              </w:rPr>
              <w:t>28</w:t>
            </w:r>
          </w:p>
        </w:tc>
        <w:tc>
          <w:tcPr>
            <w:tcW w:w="691" w:type="dxa"/>
            <w:tcBorders>
              <w:top w:val="nil"/>
              <w:left w:val="nil"/>
              <w:bottom w:val="single" w:sz="4" w:space="0" w:color="auto"/>
              <w:right w:val="single" w:sz="4" w:space="0" w:color="auto"/>
            </w:tcBorders>
            <w:noWrap/>
            <w:vAlign w:val="center"/>
          </w:tcPr>
          <w:p w14:paraId="1062E3D7" w14:textId="77777777" w:rsidR="00793C88" w:rsidRDefault="00793C88" w:rsidP="008738F2">
            <w:pPr>
              <w:spacing w:after="60"/>
              <w:jc w:val="right"/>
              <w:rPr>
                <w:rFonts w:ascii="Arial" w:hAnsi="Arial" w:cs="Arial"/>
                <w:sz w:val="20"/>
                <w:szCs w:val="20"/>
              </w:rPr>
            </w:pPr>
            <w:r>
              <w:rPr>
                <w:rFonts w:ascii="Arial" w:hAnsi="Arial" w:cs="Arial"/>
                <w:sz w:val="20"/>
                <w:szCs w:val="20"/>
              </w:rPr>
              <w:t>31</w:t>
            </w:r>
          </w:p>
        </w:tc>
        <w:tc>
          <w:tcPr>
            <w:tcW w:w="643" w:type="dxa"/>
            <w:tcBorders>
              <w:top w:val="nil"/>
              <w:left w:val="nil"/>
              <w:bottom w:val="single" w:sz="4" w:space="0" w:color="auto"/>
              <w:right w:val="single" w:sz="4" w:space="0" w:color="auto"/>
            </w:tcBorders>
            <w:noWrap/>
            <w:vAlign w:val="center"/>
          </w:tcPr>
          <w:p w14:paraId="3CCB74F0" w14:textId="77777777" w:rsidR="00793C88" w:rsidRDefault="00793C88" w:rsidP="008738F2">
            <w:pPr>
              <w:spacing w:after="60"/>
              <w:jc w:val="right"/>
              <w:rPr>
                <w:rFonts w:ascii="Arial" w:hAnsi="Arial" w:cs="Arial"/>
                <w:sz w:val="20"/>
                <w:szCs w:val="20"/>
              </w:rPr>
            </w:pPr>
            <w:r>
              <w:rPr>
                <w:rFonts w:ascii="Arial" w:hAnsi="Arial" w:cs="Arial"/>
                <w:sz w:val="20"/>
                <w:szCs w:val="20"/>
              </w:rPr>
              <w:t>27</w:t>
            </w:r>
          </w:p>
        </w:tc>
        <w:tc>
          <w:tcPr>
            <w:tcW w:w="675" w:type="dxa"/>
            <w:tcBorders>
              <w:top w:val="nil"/>
              <w:left w:val="nil"/>
              <w:bottom w:val="single" w:sz="4" w:space="0" w:color="auto"/>
              <w:right w:val="single" w:sz="4" w:space="0" w:color="auto"/>
            </w:tcBorders>
            <w:noWrap/>
            <w:vAlign w:val="center"/>
          </w:tcPr>
          <w:p w14:paraId="6452001D" w14:textId="77777777" w:rsidR="00793C88" w:rsidRDefault="00793C88" w:rsidP="008738F2">
            <w:pPr>
              <w:spacing w:after="60"/>
              <w:jc w:val="right"/>
              <w:rPr>
                <w:rFonts w:ascii="Arial" w:hAnsi="Arial" w:cs="Arial"/>
                <w:sz w:val="20"/>
                <w:szCs w:val="20"/>
              </w:rPr>
            </w:pPr>
            <w:r>
              <w:rPr>
                <w:rFonts w:ascii="Arial" w:hAnsi="Arial" w:cs="Arial"/>
                <w:sz w:val="20"/>
                <w:szCs w:val="20"/>
              </w:rPr>
              <w:t>6</w:t>
            </w:r>
          </w:p>
        </w:tc>
        <w:tc>
          <w:tcPr>
            <w:tcW w:w="610" w:type="dxa"/>
            <w:tcBorders>
              <w:top w:val="nil"/>
              <w:left w:val="nil"/>
              <w:bottom w:val="single" w:sz="4" w:space="0" w:color="auto"/>
              <w:right w:val="single" w:sz="4" w:space="0" w:color="auto"/>
            </w:tcBorders>
            <w:noWrap/>
            <w:vAlign w:val="center"/>
          </w:tcPr>
          <w:p w14:paraId="38DB4C13" w14:textId="77777777" w:rsidR="00793C88" w:rsidRDefault="00793C88" w:rsidP="008738F2">
            <w:pPr>
              <w:spacing w:after="60"/>
              <w:jc w:val="right"/>
              <w:rPr>
                <w:rFonts w:ascii="Arial" w:hAnsi="Arial" w:cs="Arial"/>
                <w:sz w:val="20"/>
                <w:szCs w:val="20"/>
              </w:rPr>
            </w:pPr>
            <w:r>
              <w:rPr>
                <w:rFonts w:ascii="Arial" w:hAnsi="Arial" w:cs="Arial"/>
                <w:sz w:val="20"/>
                <w:szCs w:val="20"/>
              </w:rPr>
              <w:t>0</w:t>
            </w:r>
          </w:p>
        </w:tc>
        <w:tc>
          <w:tcPr>
            <w:tcW w:w="572" w:type="dxa"/>
            <w:tcBorders>
              <w:top w:val="nil"/>
              <w:left w:val="nil"/>
              <w:bottom w:val="single" w:sz="4" w:space="0" w:color="auto"/>
              <w:right w:val="single" w:sz="4" w:space="0" w:color="auto"/>
            </w:tcBorders>
            <w:noWrap/>
            <w:vAlign w:val="center"/>
          </w:tcPr>
          <w:p w14:paraId="50025230" w14:textId="77777777" w:rsidR="00793C88" w:rsidRDefault="00793C88" w:rsidP="008738F2">
            <w:pPr>
              <w:spacing w:after="60"/>
              <w:jc w:val="right"/>
              <w:rPr>
                <w:rFonts w:ascii="Arial" w:hAnsi="Arial" w:cs="Arial"/>
                <w:sz w:val="20"/>
                <w:szCs w:val="20"/>
              </w:rPr>
            </w:pPr>
            <w:r>
              <w:rPr>
                <w:rFonts w:ascii="Arial" w:hAnsi="Arial" w:cs="Arial"/>
                <w:sz w:val="20"/>
                <w:szCs w:val="20"/>
              </w:rPr>
              <w:t>0</w:t>
            </w:r>
          </w:p>
        </w:tc>
        <w:tc>
          <w:tcPr>
            <w:tcW w:w="675" w:type="dxa"/>
            <w:tcBorders>
              <w:top w:val="nil"/>
              <w:left w:val="nil"/>
              <w:bottom w:val="single" w:sz="4" w:space="0" w:color="auto"/>
              <w:right w:val="single" w:sz="4" w:space="0" w:color="auto"/>
            </w:tcBorders>
            <w:noWrap/>
            <w:vAlign w:val="center"/>
          </w:tcPr>
          <w:p w14:paraId="0417DAC0" w14:textId="77777777" w:rsidR="00793C88" w:rsidRDefault="00793C88" w:rsidP="008738F2">
            <w:pPr>
              <w:spacing w:after="60"/>
              <w:jc w:val="right"/>
              <w:rPr>
                <w:rFonts w:ascii="Arial" w:hAnsi="Arial" w:cs="Arial"/>
                <w:sz w:val="20"/>
                <w:szCs w:val="20"/>
              </w:rPr>
            </w:pPr>
            <w:r>
              <w:rPr>
                <w:rFonts w:ascii="Arial" w:hAnsi="Arial" w:cs="Arial"/>
                <w:sz w:val="20"/>
                <w:szCs w:val="20"/>
              </w:rPr>
              <w:t>0</w:t>
            </w:r>
          </w:p>
        </w:tc>
        <w:tc>
          <w:tcPr>
            <w:tcW w:w="627" w:type="dxa"/>
            <w:tcBorders>
              <w:top w:val="nil"/>
              <w:left w:val="nil"/>
              <w:bottom w:val="single" w:sz="4" w:space="0" w:color="auto"/>
              <w:right w:val="single" w:sz="4" w:space="0" w:color="auto"/>
            </w:tcBorders>
            <w:noWrap/>
            <w:vAlign w:val="center"/>
          </w:tcPr>
          <w:p w14:paraId="222FAD07" w14:textId="77777777" w:rsidR="00793C88" w:rsidRDefault="00793C88" w:rsidP="008738F2">
            <w:pPr>
              <w:spacing w:after="60"/>
              <w:jc w:val="right"/>
              <w:rPr>
                <w:rFonts w:ascii="Arial" w:hAnsi="Arial" w:cs="Arial"/>
                <w:sz w:val="20"/>
                <w:szCs w:val="20"/>
              </w:rPr>
            </w:pPr>
            <w:r>
              <w:rPr>
                <w:rFonts w:ascii="Arial" w:hAnsi="Arial" w:cs="Arial"/>
                <w:sz w:val="20"/>
                <w:szCs w:val="20"/>
              </w:rPr>
              <w:t>9</w:t>
            </w:r>
          </w:p>
        </w:tc>
        <w:tc>
          <w:tcPr>
            <w:tcW w:w="659" w:type="dxa"/>
            <w:tcBorders>
              <w:top w:val="nil"/>
              <w:left w:val="nil"/>
              <w:bottom w:val="single" w:sz="4" w:space="0" w:color="auto"/>
              <w:right w:val="single" w:sz="4" w:space="0" w:color="auto"/>
            </w:tcBorders>
            <w:noWrap/>
            <w:vAlign w:val="center"/>
          </w:tcPr>
          <w:p w14:paraId="1A0D9EA4" w14:textId="77777777" w:rsidR="00793C88" w:rsidRDefault="00793C88" w:rsidP="008738F2">
            <w:pPr>
              <w:spacing w:after="60"/>
              <w:jc w:val="right"/>
              <w:rPr>
                <w:rFonts w:ascii="Arial" w:hAnsi="Arial" w:cs="Arial"/>
                <w:sz w:val="20"/>
                <w:szCs w:val="20"/>
              </w:rPr>
            </w:pPr>
            <w:r>
              <w:rPr>
                <w:rFonts w:ascii="Arial" w:hAnsi="Arial" w:cs="Arial"/>
                <w:sz w:val="20"/>
                <w:szCs w:val="20"/>
              </w:rPr>
              <w:t>29</w:t>
            </w:r>
          </w:p>
        </w:tc>
        <w:tc>
          <w:tcPr>
            <w:tcW w:w="675" w:type="dxa"/>
            <w:tcBorders>
              <w:top w:val="nil"/>
              <w:left w:val="nil"/>
              <w:bottom w:val="single" w:sz="4" w:space="0" w:color="auto"/>
              <w:right w:val="single" w:sz="4" w:space="0" w:color="auto"/>
            </w:tcBorders>
            <w:noWrap/>
            <w:vAlign w:val="center"/>
          </w:tcPr>
          <w:p w14:paraId="178BBCCB" w14:textId="77777777" w:rsidR="00793C88" w:rsidRDefault="00793C88" w:rsidP="008738F2">
            <w:pPr>
              <w:spacing w:after="60"/>
              <w:jc w:val="right"/>
              <w:rPr>
                <w:rFonts w:ascii="Arial" w:hAnsi="Arial" w:cs="Arial"/>
                <w:sz w:val="20"/>
                <w:szCs w:val="20"/>
              </w:rPr>
            </w:pPr>
            <w:r>
              <w:rPr>
                <w:rFonts w:ascii="Arial" w:hAnsi="Arial" w:cs="Arial"/>
                <w:sz w:val="20"/>
                <w:szCs w:val="20"/>
              </w:rPr>
              <w:t>30</w:t>
            </w:r>
          </w:p>
        </w:tc>
        <w:tc>
          <w:tcPr>
            <w:tcW w:w="659" w:type="dxa"/>
            <w:tcBorders>
              <w:top w:val="nil"/>
              <w:left w:val="nil"/>
              <w:bottom w:val="single" w:sz="4" w:space="0" w:color="auto"/>
              <w:right w:val="single" w:sz="4" w:space="0" w:color="auto"/>
            </w:tcBorders>
            <w:noWrap/>
            <w:vAlign w:val="center"/>
          </w:tcPr>
          <w:p w14:paraId="66D66899" w14:textId="77777777" w:rsidR="00793C88" w:rsidRDefault="00793C88" w:rsidP="008738F2">
            <w:pPr>
              <w:spacing w:after="60"/>
              <w:jc w:val="right"/>
              <w:rPr>
                <w:rFonts w:ascii="Arial" w:hAnsi="Arial" w:cs="Arial"/>
                <w:sz w:val="20"/>
                <w:szCs w:val="20"/>
              </w:rPr>
            </w:pPr>
            <w:r>
              <w:rPr>
                <w:rFonts w:ascii="Arial" w:hAnsi="Arial" w:cs="Arial"/>
                <w:sz w:val="20"/>
                <w:szCs w:val="20"/>
              </w:rPr>
              <w:t>31</w:t>
            </w:r>
          </w:p>
        </w:tc>
        <w:tc>
          <w:tcPr>
            <w:tcW w:w="659" w:type="dxa"/>
            <w:tcBorders>
              <w:top w:val="nil"/>
              <w:left w:val="nil"/>
              <w:bottom w:val="single" w:sz="4" w:space="0" w:color="auto"/>
              <w:right w:val="single" w:sz="4" w:space="0" w:color="auto"/>
            </w:tcBorders>
            <w:noWrap/>
            <w:vAlign w:val="center"/>
          </w:tcPr>
          <w:p w14:paraId="4A779FE8" w14:textId="77777777" w:rsidR="00793C88" w:rsidRDefault="00793C88" w:rsidP="008738F2">
            <w:pPr>
              <w:spacing w:after="60"/>
              <w:jc w:val="right"/>
              <w:rPr>
                <w:rFonts w:ascii="Arial" w:hAnsi="Arial" w:cs="Arial"/>
                <w:sz w:val="20"/>
                <w:szCs w:val="20"/>
              </w:rPr>
            </w:pPr>
            <w:r>
              <w:rPr>
                <w:rFonts w:ascii="Arial" w:hAnsi="Arial" w:cs="Arial"/>
                <w:sz w:val="20"/>
                <w:szCs w:val="20"/>
              </w:rPr>
              <w:t>223</w:t>
            </w:r>
          </w:p>
        </w:tc>
      </w:tr>
      <w:tr w:rsidR="00793C88" w14:paraId="715E6252" w14:textId="77777777" w:rsidTr="006B524B">
        <w:trPr>
          <w:trHeight w:val="288"/>
          <w:jc w:val="center"/>
        </w:trPr>
        <w:tc>
          <w:tcPr>
            <w:tcW w:w="3100" w:type="dxa"/>
            <w:tcBorders>
              <w:top w:val="nil"/>
              <w:left w:val="single" w:sz="4" w:space="0" w:color="auto"/>
              <w:bottom w:val="single" w:sz="4" w:space="0" w:color="auto"/>
              <w:right w:val="single" w:sz="4" w:space="0" w:color="auto"/>
            </w:tcBorders>
            <w:noWrap/>
            <w:vAlign w:val="center"/>
          </w:tcPr>
          <w:p w14:paraId="74ADE49D" w14:textId="77777777" w:rsidR="00793C88" w:rsidRDefault="00793C88" w:rsidP="008738F2">
            <w:pPr>
              <w:spacing w:after="60"/>
              <w:rPr>
                <w:rFonts w:ascii="Arial" w:hAnsi="Arial" w:cs="Arial"/>
                <w:sz w:val="20"/>
                <w:szCs w:val="20"/>
              </w:rPr>
            </w:pPr>
            <w:proofErr w:type="gramStart"/>
            <w:smartTag w:uri="urn:schemas-microsoft-com:office:smarttags" w:element="place">
              <w:smartTag w:uri="urn:schemas-microsoft-com:office:smarttags" w:element="City">
                <w:r>
                  <w:rPr>
                    <w:rFonts w:ascii="Arial" w:hAnsi="Arial" w:cs="Arial"/>
                    <w:sz w:val="20"/>
                    <w:szCs w:val="20"/>
                  </w:rPr>
                  <w:t>GULKANA</w:t>
                </w:r>
              </w:smartTag>
              <w:r>
                <w:rPr>
                  <w:rFonts w:ascii="Arial" w:hAnsi="Arial" w:cs="Arial"/>
                  <w:sz w:val="20"/>
                  <w:szCs w:val="20"/>
                </w:rPr>
                <w:t>,</w:t>
              </w:r>
              <w:smartTag w:uri="urn:schemas-microsoft-com:office:smarttags" w:element="State">
                <w:r>
                  <w:rPr>
                    <w:rFonts w:ascii="Arial" w:hAnsi="Arial" w:cs="Arial"/>
                    <w:sz w:val="20"/>
                    <w:szCs w:val="20"/>
                  </w:rPr>
                  <w:t>AK</w:t>
                </w:r>
              </w:smartTag>
            </w:smartTag>
            <w:proofErr w:type="gramEnd"/>
          </w:p>
        </w:tc>
        <w:tc>
          <w:tcPr>
            <w:tcW w:w="643" w:type="dxa"/>
            <w:tcBorders>
              <w:top w:val="nil"/>
              <w:left w:val="nil"/>
              <w:bottom w:val="single" w:sz="4" w:space="0" w:color="auto"/>
              <w:right w:val="single" w:sz="4" w:space="0" w:color="auto"/>
            </w:tcBorders>
            <w:noWrap/>
            <w:vAlign w:val="center"/>
          </w:tcPr>
          <w:p w14:paraId="4E285551" w14:textId="77777777" w:rsidR="00793C88" w:rsidRDefault="00793C88" w:rsidP="008738F2">
            <w:pPr>
              <w:spacing w:after="60"/>
              <w:jc w:val="right"/>
              <w:rPr>
                <w:rFonts w:ascii="Arial" w:hAnsi="Arial" w:cs="Arial"/>
                <w:sz w:val="20"/>
                <w:szCs w:val="20"/>
              </w:rPr>
            </w:pPr>
            <w:r>
              <w:rPr>
                <w:rFonts w:ascii="Arial" w:hAnsi="Arial" w:cs="Arial"/>
                <w:sz w:val="20"/>
                <w:szCs w:val="20"/>
              </w:rPr>
              <w:t>56</w:t>
            </w:r>
          </w:p>
        </w:tc>
        <w:tc>
          <w:tcPr>
            <w:tcW w:w="594" w:type="dxa"/>
            <w:tcBorders>
              <w:top w:val="nil"/>
              <w:left w:val="nil"/>
              <w:bottom w:val="single" w:sz="4" w:space="0" w:color="auto"/>
              <w:right w:val="single" w:sz="4" w:space="0" w:color="auto"/>
            </w:tcBorders>
            <w:noWrap/>
            <w:vAlign w:val="center"/>
          </w:tcPr>
          <w:p w14:paraId="7C5DEF0C" w14:textId="77777777" w:rsidR="00793C88" w:rsidRDefault="00793C88" w:rsidP="008738F2">
            <w:pPr>
              <w:spacing w:after="60"/>
              <w:jc w:val="right"/>
              <w:rPr>
                <w:rFonts w:ascii="Arial" w:hAnsi="Arial" w:cs="Arial"/>
                <w:sz w:val="20"/>
                <w:szCs w:val="20"/>
              </w:rPr>
            </w:pPr>
            <w:r>
              <w:rPr>
                <w:rFonts w:ascii="Arial" w:hAnsi="Arial" w:cs="Arial"/>
                <w:sz w:val="20"/>
                <w:szCs w:val="20"/>
              </w:rPr>
              <w:t>31</w:t>
            </w:r>
          </w:p>
        </w:tc>
        <w:tc>
          <w:tcPr>
            <w:tcW w:w="610" w:type="dxa"/>
            <w:tcBorders>
              <w:top w:val="nil"/>
              <w:left w:val="nil"/>
              <w:bottom w:val="single" w:sz="4" w:space="0" w:color="auto"/>
              <w:right w:val="single" w:sz="4" w:space="0" w:color="auto"/>
            </w:tcBorders>
            <w:noWrap/>
            <w:vAlign w:val="center"/>
          </w:tcPr>
          <w:p w14:paraId="3AA88B68" w14:textId="77777777" w:rsidR="00793C88" w:rsidRDefault="00793C88" w:rsidP="008738F2">
            <w:pPr>
              <w:spacing w:after="60"/>
              <w:jc w:val="right"/>
              <w:rPr>
                <w:rFonts w:ascii="Arial" w:hAnsi="Arial" w:cs="Arial"/>
                <w:sz w:val="20"/>
                <w:szCs w:val="20"/>
              </w:rPr>
            </w:pPr>
            <w:r>
              <w:rPr>
                <w:rFonts w:ascii="Arial" w:hAnsi="Arial" w:cs="Arial"/>
                <w:sz w:val="20"/>
                <w:szCs w:val="20"/>
              </w:rPr>
              <w:t>28</w:t>
            </w:r>
          </w:p>
        </w:tc>
        <w:tc>
          <w:tcPr>
            <w:tcW w:w="691" w:type="dxa"/>
            <w:tcBorders>
              <w:top w:val="nil"/>
              <w:left w:val="nil"/>
              <w:bottom w:val="single" w:sz="4" w:space="0" w:color="auto"/>
              <w:right w:val="single" w:sz="4" w:space="0" w:color="auto"/>
            </w:tcBorders>
            <w:noWrap/>
            <w:vAlign w:val="center"/>
          </w:tcPr>
          <w:p w14:paraId="6EF8EBEC" w14:textId="77777777" w:rsidR="00793C88" w:rsidRDefault="00793C88" w:rsidP="008738F2">
            <w:pPr>
              <w:spacing w:after="60"/>
              <w:jc w:val="right"/>
              <w:rPr>
                <w:rFonts w:ascii="Arial" w:hAnsi="Arial" w:cs="Arial"/>
                <w:sz w:val="20"/>
                <w:szCs w:val="20"/>
              </w:rPr>
            </w:pPr>
            <w:r>
              <w:rPr>
                <w:rFonts w:ascii="Arial" w:hAnsi="Arial" w:cs="Arial"/>
                <w:sz w:val="20"/>
                <w:szCs w:val="20"/>
              </w:rPr>
              <w:t>31</w:t>
            </w:r>
          </w:p>
        </w:tc>
        <w:tc>
          <w:tcPr>
            <w:tcW w:w="643" w:type="dxa"/>
            <w:tcBorders>
              <w:top w:val="nil"/>
              <w:left w:val="nil"/>
              <w:bottom w:val="single" w:sz="4" w:space="0" w:color="auto"/>
              <w:right w:val="single" w:sz="4" w:space="0" w:color="auto"/>
            </w:tcBorders>
            <w:noWrap/>
            <w:vAlign w:val="center"/>
          </w:tcPr>
          <w:p w14:paraId="5E7FA016" w14:textId="77777777" w:rsidR="00793C88" w:rsidRDefault="00793C88" w:rsidP="008738F2">
            <w:pPr>
              <w:spacing w:after="60"/>
              <w:jc w:val="right"/>
              <w:rPr>
                <w:rFonts w:ascii="Arial" w:hAnsi="Arial" w:cs="Arial"/>
                <w:sz w:val="20"/>
                <w:szCs w:val="20"/>
              </w:rPr>
            </w:pPr>
            <w:r>
              <w:rPr>
                <w:rFonts w:ascii="Arial" w:hAnsi="Arial" w:cs="Arial"/>
                <w:sz w:val="20"/>
                <w:szCs w:val="20"/>
              </w:rPr>
              <w:t>29</w:t>
            </w:r>
          </w:p>
        </w:tc>
        <w:tc>
          <w:tcPr>
            <w:tcW w:w="675" w:type="dxa"/>
            <w:tcBorders>
              <w:top w:val="nil"/>
              <w:left w:val="nil"/>
              <w:bottom w:val="single" w:sz="4" w:space="0" w:color="auto"/>
              <w:right w:val="single" w:sz="4" w:space="0" w:color="auto"/>
            </w:tcBorders>
            <w:noWrap/>
            <w:vAlign w:val="center"/>
          </w:tcPr>
          <w:p w14:paraId="612D66CC" w14:textId="77777777" w:rsidR="00793C88" w:rsidRDefault="00793C88" w:rsidP="008738F2">
            <w:pPr>
              <w:spacing w:after="60"/>
              <w:jc w:val="right"/>
              <w:rPr>
                <w:rFonts w:ascii="Arial" w:hAnsi="Arial" w:cs="Arial"/>
                <w:sz w:val="20"/>
                <w:szCs w:val="20"/>
              </w:rPr>
            </w:pPr>
            <w:r>
              <w:rPr>
                <w:rFonts w:ascii="Arial" w:hAnsi="Arial" w:cs="Arial"/>
                <w:sz w:val="20"/>
                <w:szCs w:val="20"/>
              </w:rPr>
              <w:t>15</w:t>
            </w:r>
          </w:p>
        </w:tc>
        <w:tc>
          <w:tcPr>
            <w:tcW w:w="610" w:type="dxa"/>
            <w:tcBorders>
              <w:top w:val="nil"/>
              <w:left w:val="nil"/>
              <w:bottom w:val="single" w:sz="4" w:space="0" w:color="auto"/>
              <w:right w:val="single" w:sz="4" w:space="0" w:color="auto"/>
            </w:tcBorders>
            <w:noWrap/>
            <w:vAlign w:val="center"/>
          </w:tcPr>
          <w:p w14:paraId="25CD9526" w14:textId="77777777" w:rsidR="00793C88" w:rsidRDefault="00793C88" w:rsidP="008738F2">
            <w:pPr>
              <w:spacing w:after="60"/>
              <w:jc w:val="right"/>
              <w:rPr>
                <w:rFonts w:ascii="Arial" w:hAnsi="Arial" w:cs="Arial"/>
                <w:sz w:val="20"/>
                <w:szCs w:val="20"/>
              </w:rPr>
            </w:pPr>
            <w:r>
              <w:rPr>
                <w:rFonts w:ascii="Arial" w:hAnsi="Arial" w:cs="Arial"/>
                <w:sz w:val="20"/>
                <w:szCs w:val="20"/>
              </w:rPr>
              <w:t>1</w:t>
            </w:r>
          </w:p>
        </w:tc>
        <w:tc>
          <w:tcPr>
            <w:tcW w:w="572" w:type="dxa"/>
            <w:tcBorders>
              <w:top w:val="nil"/>
              <w:left w:val="nil"/>
              <w:bottom w:val="single" w:sz="4" w:space="0" w:color="auto"/>
              <w:right w:val="single" w:sz="4" w:space="0" w:color="auto"/>
            </w:tcBorders>
            <w:noWrap/>
            <w:vAlign w:val="center"/>
          </w:tcPr>
          <w:p w14:paraId="5ADFA201" w14:textId="77777777" w:rsidR="00793C88" w:rsidRDefault="00793C88" w:rsidP="008738F2">
            <w:pPr>
              <w:spacing w:after="60"/>
              <w:jc w:val="right"/>
              <w:rPr>
                <w:rFonts w:ascii="Arial" w:hAnsi="Arial" w:cs="Arial"/>
                <w:sz w:val="20"/>
                <w:szCs w:val="20"/>
              </w:rPr>
            </w:pPr>
            <w:r>
              <w:rPr>
                <w:rFonts w:ascii="Arial" w:hAnsi="Arial" w:cs="Arial"/>
                <w:sz w:val="20"/>
                <w:szCs w:val="20"/>
              </w:rPr>
              <w:t>*</w:t>
            </w:r>
          </w:p>
        </w:tc>
        <w:tc>
          <w:tcPr>
            <w:tcW w:w="675" w:type="dxa"/>
            <w:tcBorders>
              <w:top w:val="nil"/>
              <w:left w:val="nil"/>
              <w:bottom w:val="single" w:sz="4" w:space="0" w:color="auto"/>
              <w:right w:val="single" w:sz="4" w:space="0" w:color="auto"/>
            </w:tcBorders>
            <w:noWrap/>
            <w:vAlign w:val="center"/>
          </w:tcPr>
          <w:p w14:paraId="5056D9FA" w14:textId="77777777" w:rsidR="00793C88" w:rsidRDefault="00793C88" w:rsidP="008738F2">
            <w:pPr>
              <w:spacing w:after="60"/>
              <w:jc w:val="right"/>
              <w:rPr>
                <w:rFonts w:ascii="Arial" w:hAnsi="Arial" w:cs="Arial"/>
                <w:sz w:val="20"/>
                <w:szCs w:val="20"/>
              </w:rPr>
            </w:pPr>
            <w:r>
              <w:rPr>
                <w:rFonts w:ascii="Arial" w:hAnsi="Arial" w:cs="Arial"/>
                <w:sz w:val="20"/>
                <w:szCs w:val="20"/>
              </w:rPr>
              <w:t>3</w:t>
            </w:r>
          </w:p>
        </w:tc>
        <w:tc>
          <w:tcPr>
            <w:tcW w:w="627" w:type="dxa"/>
            <w:tcBorders>
              <w:top w:val="nil"/>
              <w:left w:val="nil"/>
              <w:bottom w:val="single" w:sz="4" w:space="0" w:color="auto"/>
              <w:right w:val="single" w:sz="4" w:space="0" w:color="auto"/>
            </w:tcBorders>
            <w:noWrap/>
            <w:vAlign w:val="center"/>
          </w:tcPr>
          <w:p w14:paraId="2EF52EF4" w14:textId="77777777" w:rsidR="00793C88" w:rsidRDefault="00793C88" w:rsidP="008738F2">
            <w:pPr>
              <w:spacing w:after="60"/>
              <w:jc w:val="right"/>
              <w:rPr>
                <w:rFonts w:ascii="Arial" w:hAnsi="Arial" w:cs="Arial"/>
                <w:sz w:val="20"/>
                <w:szCs w:val="20"/>
              </w:rPr>
            </w:pPr>
            <w:r>
              <w:rPr>
                <w:rFonts w:ascii="Arial" w:hAnsi="Arial" w:cs="Arial"/>
                <w:sz w:val="20"/>
                <w:szCs w:val="20"/>
              </w:rPr>
              <w:t>14</w:t>
            </w:r>
          </w:p>
        </w:tc>
        <w:tc>
          <w:tcPr>
            <w:tcW w:w="659" w:type="dxa"/>
            <w:tcBorders>
              <w:top w:val="nil"/>
              <w:left w:val="nil"/>
              <w:bottom w:val="single" w:sz="4" w:space="0" w:color="auto"/>
              <w:right w:val="single" w:sz="4" w:space="0" w:color="auto"/>
            </w:tcBorders>
            <w:noWrap/>
            <w:vAlign w:val="center"/>
          </w:tcPr>
          <w:p w14:paraId="0F170609" w14:textId="77777777" w:rsidR="00793C88" w:rsidRDefault="00793C88" w:rsidP="008738F2">
            <w:pPr>
              <w:spacing w:after="60"/>
              <w:jc w:val="right"/>
              <w:rPr>
                <w:rFonts w:ascii="Arial" w:hAnsi="Arial" w:cs="Arial"/>
                <w:sz w:val="20"/>
                <w:szCs w:val="20"/>
              </w:rPr>
            </w:pPr>
            <w:r>
              <w:rPr>
                <w:rFonts w:ascii="Arial" w:hAnsi="Arial" w:cs="Arial"/>
                <w:sz w:val="20"/>
                <w:szCs w:val="20"/>
              </w:rPr>
              <w:t>27</w:t>
            </w:r>
          </w:p>
        </w:tc>
        <w:tc>
          <w:tcPr>
            <w:tcW w:w="675" w:type="dxa"/>
            <w:tcBorders>
              <w:top w:val="nil"/>
              <w:left w:val="nil"/>
              <w:bottom w:val="single" w:sz="4" w:space="0" w:color="auto"/>
              <w:right w:val="single" w:sz="4" w:space="0" w:color="auto"/>
            </w:tcBorders>
            <w:noWrap/>
            <w:vAlign w:val="center"/>
          </w:tcPr>
          <w:p w14:paraId="014F2E03" w14:textId="77777777" w:rsidR="00793C88" w:rsidRDefault="00793C88" w:rsidP="008738F2">
            <w:pPr>
              <w:spacing w:after="60"/>
              <w:jc w:val="right"/>
              <w:rPr>
                <w:rFonts w:ascii="Arial" w:hAnsi="Arial" w:cs="Arial"/>
                <w:sz w:val="20"/>
                <w:szCs w:val="20"/>
              </w:rPr>
            </w:pPr>
            <w:r>
              <w:rPr>
                <w:rFonts w:ascii="Arial" w:hAnsi="Arial" w:cs="Arial"/>
                <w:sz w:val="20"/>
                <w:szCs w:val="20"/>
              </w:rPr>
              <w:t>30</w:t>
            </w:r>
          </w:p>
        </w:tc>
        <w:tc>
          <w:tcPr>
            <w:tcW w:w="659" w:type="dxa"/>
            <w:tcBorders>
              <w:top w:val="nil"/>
              <w:left w:val="nil"/>
              <w:bottom w:val="single" w:sz="4" w:space="0" w:color="auto"/>
              <w:right w:val="single" w:sz="4" w:space="0" w:color="auto"/>
            </w:tcBorders>
            <w:noWrap/>
            <w:vAlign w:val="center"/>
          </w:tcPr>
          <w:p w14:paraId="55A4D90B" w14:textId="77777777" w:rsidR="00793C88" w:rsidRDefault="00793C88" w:rsidP="008738F2">
            <w:pPr>
              <w:spacing w:after="60"/>
              <w:jc w:val="right"/>
              <w:rPr>
                <w:rFonts w:ascii="Arial" w:hAnsi="Arial" w:cs="Arial"/>
                <w:sz w:val="20"/>
                <w:szCs w:val="20"/>
              </w:rPr>
            </w:pPr>
            <w:r>
              <w:rPr>
                <w:rFonts w:ascii="Arial" w:hAnsi="Arial" w:cs="Arial"/>
                <w:sz w:val="20"/>
                <w:szCs w:val="20"/>
              </w:rPr>
              <w:t>31</w:t>
            </w:r>
          </w:p>
        </w:tc>
        <w:tc>
          <w:tcPr>
            <w:tcW w:w="659" w:type="dxa"/>
            <w:tcBorders>
              <w:top w:val="nil"/>
              <w:left w:val="nil"/>
              <w:bottom w:val="single" w:sz="4" w:space="0" w:color="auto"/>
              <w:right w:val="single" w:sz="4" w:space="0" w:color="auto"/>
            </w:tcBorders>
            <w:noWrap/>
            <w:vAlign w:val="center"/>
          </w:tcPr>
          <w:p w14:paraId="30275E6E" w14:textId="77777777" w:rsidR="00793C88" w:rsidRDefault="00793C88" w:rsidP="008738F2">
            <w:pPr>
              <w:spacing w:after="60"/>
              <w:jc w:val="right"/>
              <w:rPr>
                <w:rFonts w:ascii="Arial" w:hAnsi="Arial" w:cs="Arial"/>
                <w:sz w:val="20"/>
                <w:szCs w:val="20"/>
              </w:rPr>
            </w:pPr>
            <w:r>
              <w:rPr>
                <w:rFonts w:ascii="Arial" w:hAnsi="Arial" w:cs="Arial"/>
                <w:sz w:val="20"/>
                <w:szCs w:val="20"/>
              </w:rPr>
              <w:t>239</w:t>
            </w:r>
          </w:p>
        </w:tc>
      </w:tr>
      <w:tr w:rsidR="00793C88" w14:paraId="2787536B" w14:textId="77777777" w:rsidTr="006B524B">
        <w:trPr>
          <w:trHeight w:val="288"/>
          <w:jc w:val="center"/>
        </w:trPr>
        <w:tc>
          <w:tcPr>
            <w:tcW w:w="3100" w:type="dxa"/>
            <w:tcBorders>
              <w:top w:val="nil"/>
              <w:left w:val="single" w:sz="4" w:space="0" w:color="auto"/>
              <w:bottom w:val="single" w:sz="4" w:space="0" w:color="auto"/>
              <w:right w:val="single" w:sz="4" w:space="0" w:color="auto"/>
            </w:tcBorders>
            <w:noWrap/>
            <w:vAlign w:val="center"/>
          </w:tcPr>
          <w:p w14:paraId="4CEEE51D" w14:textId="77777777" w:rsidR="00793C88" w:rsidRDefault="00793C88" w:rsidP="008738F2">
            <w:pPr>
              <w:spacing w:after="60"/>
              <w:rPr>
                <w:rFonts w:ascii="Arial" w:hAnsi="Arial" w:cs="Arial"/>
                <w:sz w:val="20"/>
                <w:szCs w:val="20"/>
              </w:rPr>
            </w:pPr>
            <w:r>
              <w:rPr>
                <w:rFonts w:ascii="Arial" w:hAnsi="Arial" w:cs="Arial"/>
                <w:sz w:val="20"/>
                <w:szCs w:val="20"/>
              </w:rPr>
              <w:t>HOMER, AK</w:t>
            </w:r>
          </w:p>
        </w:tc>
        <w:tc>
          <w:tcPr>
            <w:tcW w:w="643" w:type="dxa"/>
            <w:tcBorders>
              <w:top w:val="nil"/>
              <w:left w:val="nil"/>
              <w:bottom w:val="single" w:sz="4" w:space="0" w:color="auto"/>
              <w:right w:val="single" w:sz="4" w:space="0" w:color="auto"/>
            </w:tcBorders>
            <w:noWrap/>
            <w:vAlign w:val="center"/>
          </w:tcPr>
          <w:p w14:paraId="03D87729" w14:textId="77777777" w:rsidR="00793C88" w:rsidRDefault="00793C88" w:rsidP="008738F2">
            <w:pPr>
              <w:spacing w:after="60"/>
              <w:jc w:val="right"/>
              <w:rPr>
                <w:rFonts w:ascii="Arial" w:hAnsi="Arial" w:cs="Arial"/>
                <w:sz w:val="20"/>
                <w:szCs w:val="20"/>
              </w:rPr>
            </w:pPr>
            <w:r>
              <w:rPr>
                <w:rFonts w:ascii="Arial" w:hAnsi="Arial" w:cs="Arial"/>
                <w:sz w:val="20"/>
                <w:szCs w:val="20"/>
              </w:rPr>
              <w:t>63</w:t>
            </w:r>
          </w:p>
        </w:tc>
        <w:tc>
          <w:tcPr>
            <w:tcW w:w="594" w:type="dxa"/>
            <w:tcBorders>
              <w:top w:val="nil"/>
              <w:left w:val="nil"/>
              <w:bottom w:val="single" w:sz="4" w:space="0" w:color="auto"/>
              <w:right w:val="single" w:sz="4" w:space="0" w:color="auto"/>
            </w:tcBorders>
            <w:noWrap/>
            <w:vAlign w:val="center"/>
          </w:tcPr>
          <w:p w14:paraId="22600968" w14:textId="77777777" w:rsidR="00793C88" w:rsidRDefault="00793C88" w:rsidP="008738F2">
            <w:pPr>
              <w:spacing w:after="60"/>
              <w:jc w:val="right"/>
              <w:rPr>
                <w:rFonts w:ascii="Arial" w:hAnsi="Arial" w:cs="Arial"/>
                <w:sz w:val="20"/>
                <w:szCs w:val="20"/>
              </w:rPr>
            </w:pPr>
            <w:r>
              <w:rPr>
                <w:rFonts w:ascii="Arial" w:hAnsi="Arial" w:cs="Arial"/>
                <w:sz w:val="20"/>
                <w:szCs w:val="20"/>
              </w:rPr>
              <w:t>28</w:t>
            </w:r>
          </w:p>
        </w:tc>
        <w:tc>
          <w:tcPr>
            <w:tcW w:w="610" w:type="dxa"/>
            <w:tcBorders>
              <w:top w:val="nil"/>
              <w:left w:val="nil"/>
              <w:bottom w:val="single" w:sz="4" w:space="0" w:color="auto"/>
              <w:right w:val="single" w:sz="4" w:space="0" w:color="auto"/>
            </w:tcBorders>
            <w:noWrap/>
            <w:vAlign w:val="center"/>
          </w:tcPr>
          <w:p w14:paraId="5955A662" w14:textId="77777777" w:rsidR="00793C88" w:rsidRDefault="00793C88" w:rsidP="008738F2">
            <w:pPr>
              <w:spacing w:after="60"/>
              <w:jc w:val="right"/>
              <w:rPr>
                <w:rFonts w:ascii="Arial" w:hAnsi="Arial" w:cs="Arial"/>
                <w:sz w:val="20"/>
                <w:szCs w:val="20"/>
              </w:rPr>
            </w:pPr>
            <w:r>
              <w:rPr>
                <w:rFonts w:ascii="Arial" w:hAnsi="Arial" w:cs="Arial"/>
                <w:sz w:val="20"/>
                <w:szCs w:val="20"/>
              </w:rPr>
              <w:t>25</w:t>
            </w:r>
          </w:p>
        </w:tc>
        <w:tc>
          <w:tcPr>
            <w:tcW w:w="691" w:type="dxa"/>
            <w:tcBorders>
              <w:top w:val="nil"/>
              <w:left w:val="nil"/>
              <w:bottom w:val="single" w:sz="4" w:space="0" w:color="auto"/>
              <w:right w:val="single" w:sz="4" w:space="0" w:color="auto"/>
            </w:tcBorders>
            <w:noWrap/>
            <w:vAlign w:val="center"/>
          </w:tcPr>
          <w:p w14:paraId="45DCE201" w14:textId="77777777" w:rsidR="00793C88" w:rsidRDefault="00793C88" w:rsidP="008738F2">
            <w:pPr>
              <w:spacing w:after="60"/>
              <w:jc w:val="right"/>
              <w:rPr>
                <w:rFonts w:ascii="Arial" w:hAnsi="Arial" w:cs="Arial"/>
                <w:sz w:val="20"/>
                <w:szCs w:val="20"/>
              </w:rPr>
            </w:pPr>
            <w:r>
              <w:rPr>
                <w:rFonts w:ascii="Arial" w:hAnsi="Arial" w:cs="Arial"/>
                <w:sz w:val="20"/>
                <w:szCs w:val="20"/>
              </w:rPr>
              <w:t>27</w:t>
            </w:r>
          </w:p>
        </w:tc>
        <w:tc>
          <w:tcPr>
            <w:tcW w:w="643" w:type="dxa"/>
            <w:tcBorders>
              <w:top w:val="nil"/>
              <w:left w:val="nil"/>
              <w:bottom w:val="single" w:sz="4" w:space="0" w:color="auto"/>
              <w:right w:val="single" w:sz="4" w:space="0" w:color="auto"/>
            </w:tcBorders>
            <w:noWrap/>
            <w:vAlign w:val="center"/>
          </w:tcPr>
          <w:p w14:paraId="45D7297D" w14:textId="77777777" w:rsidR="00793C88" w:rsidRDefault="00793C88" w:rsidP="008738F2">
            <w:pPr>
              <w:spacing w:after="60"/>
              <w:jc w:val="right"/>
              <w:rPr>
                <w:rFonts w:ascii="Arial" w:hAnsi="Arial" w:cs="Arial"/>
                <w:sz w:val="20"/>
                <w:szCs w:val="20"/>
              </w:rPr>
            </w:pPr>
            <w:r>
              <w:rPr>
                <w:rFonts w:ascii="Arial" w:hAnsi="Arial" w:cs="Arial"/>
                <w:sz w:val="20"/>
                <w:szCs w:val="20"/>
              </w:rPr>
              <w:t>22</w:t>
            </w:r>
          </w:p>
        </w:tc>
        <w:tc>
          <w:tcPr>
            <w:tcW w:w="675" w:type="dxa"/>
            <w:tcBorders>
              <w:top w:val="nil"/>
              <w:left w:val="nil"/>
              <w:bottom w:val="single" w:sz="4" w:space="0" w:color="auto"/>
              <w:right w:val="single" w:sz="4" w:space="0" w:color="auto"/>
            </w:tcBorders>
            <w:noWrap/>
            <w:vAlign w:val="center"/>
          </w:tcPr>
          <w:p w14:paraId="6A5F742D" w14:textId="77777777" w:rsidR="00793C88" w:rsidRDefault="00793C88" w:rsidP="008738F2">
            <w:pPr>
              <w:spacing w:after="60"/>
              <w:jc w:val="right"/>
              <w:rPr>
                <w:rFonts w:ascii="Arial" w:hAnsi="Arial" w:cs="Arial"/>
                <w:sz w:val="20"/>
                <w:szCs w:val="20"/>
              </w:rPr>
            </w:pPr>
            <w:r>
              <w:rPr>
                <w:rFonts w:ascii="Arial" w:hAnsi="Arial" w:cs="Arial"/>
                <w:sz w:val="20"/>
                <w:szCs w:val="20"/>
              </w:rPr>
              <w:t>9</w:t>
            </w:r>
          </w:p>
        </w:tc>
        <w:tc>
          <w:tcPr>
            <w:tcW w:w="610" w:type="dxa"/>
            <w:tcBorders>
              <w:top w:val="nil"/>
              <w:left w:val="nil"/>
              <w:bottom w:val="single" w:sz="4" w:space="0" w:color="auto"/>
              <w:right w:val="single" w:sz="4" w:space="0" w:color="auto"/>
            </w:tcBorders>
            <w:noWrap/>
            <w:vAlign w:val="center"/>
          </w:tcPr>
          <w:p w14:paraId="6AF8E565" w14:textId="77777777" w:rsidR="00793C88" w:rsidRDefault="00793C88" w:rsidP="008738F2">
            <w:pPr>
              <w:spacing w:after="60"/>
              <w:jc w:val="right"/>
              <w:rPr>
                <w:rFonts w:ascii="Arial" w:hAnsi="Arial" w:cs="Arial"/>
                <w:sz w:val="20"/>
                <w:szCs w:val="20"/>
              </w:rPr>
            </w:pPr>
            <w:r>
              <w:rPr>
                <w:rFonts w:ascii="Arial" w:hAnsi="Arial" w:cs="Arial"/>
                <w:sz w:val="20"/>
                <w:szCs w:val="20"/>
              </w:rPr>
              <w:t>*</w:t>
            </w:r>
          </w:p>
        </w:tc>
        <w:tc>
          <w:tcPr>
            <w:tcW w:w="572" w:type="dxa"/>
            <w:tcBorders>
              <w:top w:val="nil"/>
              <w:left w:val="nil"/>
              <w:bottom w:val="single" w:sz="4" w:space="0" w:color="auto"/>
              <w:right w:val="single" w:sz="4" w:space="0" w:color="auto"/>
            </w:tcBorders>
            <w:noWrap/>
            <w:vAlign w:val="center"/>
          </w:tcPr>
          <w:p w14:paraId="698547FA" w14:textId="77777777" w:rsidR="00793C88" w:rsidRDefault="00793C88" w:rsidP="008738F2">
            <w:pPr>
              <w:spacing w:after="60"/>
              <w:jc w:val="right"/>
              <w:rPr>
                <w:rFonts w:ascii="Arial" w:hAnsi="Arial" w:cs="Arial"/>
                <w:sz w:val="20"/>
                <w:szCs w:val="20"/>
              </w:rPr>
            </w:pPr>
            <w:r>
              <w:rPr>
                <w:rFonts w:ascii="Arial" w:hAnsi="Arial" w:cs="Arial"/>
                <w:sz w:val="20"/>
                <w:szCs w:val="20"/>
              </w:rPr>
              <w:t>0</w:t>
            </w:r>
          </w:p>
        </w:tc>
        <w:tc>
          <w:tcPr>
            <w:tcW w:w="675" w:type="dxa"/>
            <w:tcBorders>
              <w:top w:val="nil"/>
              <w:left w:val="nil"/>
              <w:bottom w:val="single" w:sz="4" w:space="0" w:color="auto"/>
              <w:right w:val="single" w:sz="4" w:space="0" w:color="auto"/>
            </w:tcBorders>
            <w:noWrap/>
            <w:vAlign w:val="center"/>
          </w:tcPr>
          <w:p w14:paraId="39273E6D" w14:textId="77777777" w:rsidR="00793C88" w:rsidRDefault="00793C88" w:rsidP="008738F2">
            <w:pPr>
              <w:spacing w:after="60"/>
              <w:jc w:val="right"/>
              <w:rPr>
                <w:rFonts w:ascii="Arial" w:hAnsi="Arial" w:cs="Arial"/>
                <w:sz w:val="20"/>
                <w:szCs w:val="20"/>
              </w:rPr>
            </w:pPr>
            <w:r>
              <w:rPr>
                <w:rFonts w:ascii="Arial" w:hAnsi="Arial" w:cs="Arial"/>
                <w:sz w:val="20"/>
                <w:szCs w:val="20"/>
              </w:rPr>
              <w:t>*</w:t>
            </w:r>
          </w:p>
        </w:tc>
        <w:tc>
          <w:tcPr>
            <w:tcW w:w="627" w:type="dxa"/>
            <w:tcBorders>
              <w:top w:val="nil"/>
              <w:left w:val="nil"/>
              <w:bottom w:val="single" w:sz="4" w:space="0" w:color="auto"/>
              <w:right w:val="single" w:sz="4" w:space="0" w:color="auto"/>
            </w:tcBorders>
            <w:noWrap/>
            <w:vAlign w:val="center"/>
          </w:tcPr>
          <w:p w14:paraId="3192B80F" w14:textId="77777777" w:rsidR="00793C88" w:rsidRDefault="00793C88" w:rsidP="008738F2">
            <w:pPr>
              <w:spacing w:after="60"/>
              <w:jc w:val="right"/>
              <w:rPr>
                <w:rFonts w:ascii="Arial" w:hAnsi="Arial" w:cs="Arial"/>
                <w:sz w:val="20"/>
                <w:szCs w:val="20"/>
              </w:rPr>
            </w:pPr>
            <w:r>
              <w:rPr>
                <w:rFonts w:ascii="Arial" w:hAnsi="Arial" w:cs="Arial"/>
                <w:sz w:val="20"/>
                <w:szCs w:val="20"/>
              </w:rPr>
              <w:t>4</w:t>
            </w:r>
          </w:p>
        </w:tc>
        <w:tc>
          <w:tcPr>
            <w:tcW w:w="659" w:type="dxa"/>
            <w:tcBorders>
              <w:top w:val="nil"/>
              <w:left w:val="nil"/>
              <w:bottom w:val="single" w:sz="4" w:space="0" w:color="auto"/>
              <w:right w:val="single" w:sz="4" w:space="0" w:color="auto"/>
            </w:tcBorders>
            <w:noWrap/>
            <w:vAlign w:val="center"/>
          </w:tcPr>
          <w:p w14:paraId="64ABF6D5" w14:textId="77777777" w:rsidR="00793C88" w:rsidRDefault="00793C88" w:rsidP="008738F2">
            <w:pPr>
              <w:spacing w:after="60"/>
              <w:jc w:val="right"/>
              <w:rPr>
                <w:rFonts w:ascii="Arial" w:hAnsi="Arial" w:cs="Arial"/>
                <w:sz w:val="20"/>
                <w:szCs w:val="20"/>
              </w:rPr>
            </w:pPr>
            <w:r>
              <w:rPr>
                <w:rFonts w:ascii="Arial" w:hAnsi="Arial" w:cs="Arial"/>
                <w:sz w:val="20"/>
                <w:szCs w:val="20"/>
              </w:rPr>
              <w:t>18</w:t>
            </w:r>
          </w:p>
        </w:tc>
        <w:tc>
          <w:tcPr>
            <w:tcW w:w="675" w:type="dxa"/>
            <w:tcBorders>
              <w:top w:val="nil"/>
              <w:left w:val="nil"/>
              <w:bottom w:val="single" w:sz="4" w:space="0" w:color="auto"/>
              <w:right w:val="single" w:sz="4" w:space="0" w:color="auto"/>
            </w:tcBorders>
            <w:noWrap/>
            <w:vAlign w:val="center"/>
          </w:tcPr>
          <w:p w14:paraId="34292BFC" w14:textId="77777777" w:rsidR="00793C88" w:rsidRDefault="00793C88" w:rsidP="008738F2">
            <w:pPr>
              <w:spacing w:after="60"/>
              <w:jc w:val="right"/>
              <w:rPr>
                <w:rFonts w:ascii="Arial" w:hAnsi="Arial" w:cs="Arial"/>
                <w:sz w:val="20"/>
                <w:szCs w:val="20"/>
              </w:rPr>
            </w:pPr>
            <w:r>
              <w:rPr>
                <w:rFonts w:ascii="Arial" w:hAnsi="Arial" w:cs="Arial"/>
                <w:sz w:val="20"/>
                <w:szCs w:val="20"/>
              </w:rPr>
              <w:t>25</w:t>
            </w:r>
          </w:p>
        </w:tc>
        <w:tc>
          <w:tcPr>
            <w:tcW w:w="659" w:type="dxa"/>
            <w:tcBorders>
              <w:top w:val="nil"/>
              <w:left w:val="nil"/>
              <w:bottom w:val="single" w:sz="4" w:space="0" w:color="auto"/>
              <w:right w:val="single" w:sz="4" w:space="0" w:color="auto"/>
            </w:tcBorders>
            <w:noWrap/>
            <w:vAlign w:val="center"/>
          </w:tcPr>
          <w:p w14:paraId="2A893DE3" w14:textId="77777777" w:rsidR="00793C88" w:rsidRDefault="00793C88" w:rsidP="008738F2">
            <w:pPr>
              <w:spacing w:after="60"/>
              <w:jc w:val="right"/>
              <w:rPr>
                <w:rFonts w:ascii="Arial" w:hAnsi="Arial" w:cs="Arial"/>
                <w:sz w:val="20"/>
                <w:szCs w:val="20"/>
              </w:rPr>
            </w:pPr>
            <w:r>
              <w:rPr>
                <w:rFonts w:ascii="Arial" w:hAnsi="Arial" w:cs="Arial"/>
                <w:sz w:val="20"/>
                <w:szCs w:val="20"/>
              </w:rPr>
              <w:t>28</w:t>
            </w:r>
          </w:p>
        </w:tc>
        <w:tc>
          <w:tcPr>
            <w:tcW w:w="659" w:type="dxa"/>
            <w:tcBorders>
              <w:top w:val="nil"/>
              <w:left w:val="nil"/>
              <w:bottom w:val="single" w:sz="4" w:space="0" w:color="auto"/>
              <w:right w:val="single" w:sz="4" w:space="0" w:color="auto"/>
            </w:tcBorders>
            <w:noWrap/>
            <w:vAlign w:val="center"/>
          </w:tcPr>
          <w:p w14:paraId="6E17F10C" w14:textId="77777777" w:rsidR="00793C88" w:rsidRDefault="00793C88" w:rsidP="008738F2">
            <w:pPr>
              <w:spacing w:after="60"/>
              <w:jc w:val="right"/>
              <w:rPr>
                <w:rFonts w:ascii="Arial" w:hAnsi="Arial" w:cs="Arial"/>
                <w:sz w:val="20"/>
                <w:szCs w:val="20"/>
              </w:rPr>
            </w:pPr>
            <w:r>
              <w:rPr>
                <w:rFonts w:ascii="Arial" w:hAnsi="Arial" w:cs="Arial"/>
                <w:sz w:val="20"/>
                <w:szCs w:val="20"/>
              </w:rPr>
              <w:t>184</w:t>
            </w:r>
          </w:p>
        </w:tc>
      </w:tr>
      <w:tr w:rsidR="00793C88" w14:paraId="69C6CC15" w14:textId="77777777" w:rsidTr="006B524B">
        <w:trPr>
          <w:trHeight w:val="288"/>
          <w:jc w:val="center"/>
        </w:trPr>
        <w:tc>
          <w:tcPr>
            <w:tcW w:w="3100" w:type="dxa"/>
            <w:tcBorders>
              <w:top w:val="nil"/>
              <w:left w:val="single" w:sz="4" w:space="0" w:color="auto"/>
              <w:bottom w:val="single" w:sz="4" w:space="0" w:color="auto"/>
              <w:right w:val="single" w:sz="4" w:space="0" w:color="auto"/>
            </w:tcBorders>
            <w:noWrap/>
            <w:vAlign w:val="center"/>
          </w:tcPr>
          <w:p w14:paraId="0D9805AB" w14:textId="77777777" w:rsidR="00793C88" w:rsidRDefault="00793C88" w:rsidP="008738F2">
            <w:pPr>
              <w:spacing w:after="60"/>
              <w:rPr>
                <w:rFonts w:ascii="Arial" w:hAnsi="Arial" w:cs="Arial"/>
                <w:sz w:val="20"/>
                <w:szCs w:val="20"/>
              </w:rPr>
            </w:pPr>
            <w:smartTag w:uri="urn:schemas-microsoft-com:office:smarttags" w:element="place">
              <w:smartTag w:uri="urn:schemas-microsoft-com:office:smarttags" w:element="City">
                <w:r>
                  <w:rPr>
                    <w:rFonts w:ascii="Arial" w:hAnsi="Arial" w:cs="Arial"/>
                    <w:sz w:val="20"/>
                    <w:szCs w:val="20"/>
                  </w:rPr>
                  <w:t>JUNEAU</w:t>
                </w:r>
              </w:smartTag>
              <w:r>
                <w:rPr>
                  <w:rFonts w:ascii="Arial" w:hAnsi="Arial" w:cs="Arial"/>
                  <w:sz w:val="20"/>
                  <w:szCs w:val="20"/>
                </w:rPr>
                <w:t xml:space="preserve">, </w:t>
              </w:r>
              <w:smartTag w:uri="urn:schemas-microsoft-com:office:smarttags" w:element="State">
                <w:r>
                  <w:rPr>
                    <w:rFonts w:ascii="Arial" w:hAnsi="Arial" w:cs="Arial"/>
                    <w:sz w:val="20"/>
                    <w:szCs w:val="20"/>
                  </w:rPr>
                  <w:t>AK</w:t>
                </w:r>
              </w:smartTag>
            </w:smartTag>
          </w:p>
        </w:tc>
        <w:tc>
          <w:tcPr>
            <w:tcW w:w="643" w:type="dxa"/>
            <w:tcBorders>
              <w:top w:val="nil"/>
              <w:left w:val="nil"/>
              <w:bottom w:val="single" w:sz="4" w:space="0" w:color="auto"/>
              <w:right w:val="single" w:sz="4" w:space="0" w:color="auto"/>
            </w:tcBorders>
            <w:noWrap/>
            <w:vAlign w:val="center"/>
          </w:tcPr>
          <w:p w14:paraId="1C1E23C6" w14:textId="77777777" w:rsidR="00793C88" w:rsidRDefault="00793C88" w:rsidP="008738F2">
            <w:pPr>
              <w:spacing w:after="60"/>
              <w:jc w:val="right"/>
              <w:rPr>
                <w:rFonts w:ascii="Arial" w:hAnsi="Arial" w:cs="Arial"/>
                <w:sz w:val="20"/>
                <w:szCs w:val="20"/>
              </w:rPr>
            </w:pPr>
            <w:r>
              <w:rPr>
                <w:rFonts w:ascii="Arial" w:hAnsi="Arial" w:cs="Arial"/>
                <w:sz w:val="20"/>
                <w:szCs w:val="20"/>
              </w:rPr>
              <w:t>60</w:t>
            </w:r>
          </w:p>
        </w:tc>
        <w:tc>
          <w:tcPr>
            <w:tcW w:w="594" w:type="dxa"/>
            <w:tcBorders>
              <w:top w:val="nil"/>
              <w:left w:val="nil"/>
              <w:bottom w:val="single" w:sz="4" w:space="0" w:color="auto"/>
              <w:right w:val="single" w:sz="4" w:space="0" w:color="auto"/>
            </w:tcBorders>
            <w:noWrap/>
            <w:vAlign w:val="center"/>
          </w:tcPr>
          <w:p w14:paraId="4B4F34AD" w14:textId="77777777" w:rsidR="00793C88" w:rsidRDefault="00793C88" w:rsidP="008738F2">
            <w:pPr>
              <w:spacing w:after="60"/>
              <w:jc w:val="right"/>
              <w:rPr>
                <w:rFonts w:ascii="Arial" w:hAnsi="Arial" w:cs="Arial"/>
                <w:sz w:val="20"/>
                <w:szCs w:val="20"/>
              </w:rPr>
            </w:pPr>
            <w:r>
              <w:rPr>
                <w:rFonts w:ascii="Arial" w:hAnsi="Arial" w:cs="Arial"/>
                <w:sz w:val="20"/>
                <w:szCs w:val="20"/>
              </w:rPr>
              <w:t>25</w:t>
            </w:r>
          </w:p>
        </w:tc>
        <w:tc>
          <w:tcPr>
            <w:tcW w:w="610" w:type="dxa"/>
            <w:tcBorders>
              <w:top w:val="nil"/>
              <w:left w:val="nil"/>
              <w:bottom w:val="single" w:sz="4" w:space="0" w:color="auto"/>
              <w:right w:val="single" w:sz="4" w:space="0" w:color="auto"/>
            </w:tcBorders>
            <w:noWrap/>
            <w:vAlign w:val="center"/>
          </w:tcPr>
          <w:p w14:paraId="38A4B135" w14:textId="77777777" w:rsidR="00793C88" w:rsidRDefault="00793C88" w:rsidP="008738F2">
            <w:pPr>
              <w:spacing w:after="60"/>
              <w:jc w:val="right"/>
              <w:rPr>
                <w:rFonts w:ascii="Arial" w:hAnsi="Arial" w:cs="Arial"/>
                <w:sz w:val="20"/>
                <w:szCs w:val="20"/>
              </w:rPr>
            </w:pPr>
            <w:r>
              <w:rPr>
                <w:rFonts w:ascii="Arial" w:hAnsi="Arial" w:cs="Arial"/>
                <w:sz w:val="20"/>
                <w:szCs w:val="20"/>
              </w:rPr>
              <w:t>22</w:t>
            </w:r>
          </w:p>
        </w:tc>
        <w:tc>
          <w:tcPr>
            <w:tcW w:w="691" w:type="dxa"/>
            <w:tcBorders>
              <w:top w:val="nil"/>
              <w:left w:val="nil"/>
              <w:bottom w:val="single" w:sz="4" w:space="0" w:color="auto"/>
              <w:right w:val="single" w:sz="4" w:space="0" w:color="auto"/>
            </w:tcBorders>
            <w:noWrap/>
            <w:vAlign w:val="center"/>
          </w:tcPr>
          <w:p w14:paraId="212F085C" w14:textId="77777777" w:rsidR="00793C88" w:rsidRDefault="00793C88" w:rsidP="008738F2">
            <w:pPr>
              <w:spacing w:after="60"/>
              <w:jc w:val="right"/>
              <w:rPr>
                <w:rFonts w:ascii="Arial" w:hAnsi="Arial" w:cs="Arial"/>
                <w:sz w:val="20"/>
                <w:szCs w:val="20"/>
              </w:rPr>
            </w:pPr>
            <w:r>
              <w:rPr>
                <w:rFonts w:ascii="Arial" w:hAnsi="Arial" w:cs="Arial"/>
                <w:sz w:val="20"/>
                <w:szCs w:val="20"/>
              </w:rPr>
              <w:t>23</w:t>
            </w:r>
          </w:p>
        </w:tc>
        <w:tc>
          <w:tcPr>
            <w:tcW w:w="643" w:type="dxa"/>
            <w:tcBorders>
              <w:top w:val="nil"/>
              <w:left w:val="nil"/>
              <w:bottom w:val="single" w:sz="4" w:space="0" w:color="auto"/>
              <w:right w:val="single" w:sz="4" w:space="0" w:color="auto"/>
            </w:tcBorders>
            <w:noWrap/>
            <w:vAlign w:val="center"/>
          </w:tcPr>
          <w:p w14:paraId="24607D8D" w14:textId="77777777" w:rsidR="00793C88" w:rsidRDefault="00793C88" w:rsidP="008738F2">
            <w:pPr>
              <w:spacing w:after="60"/>
              <w:jc w:val="right"/>
              <w:rPr>
                <w:rFonts w:ascii="Arial" w:hAnsi="Arial" w:cs="Arial"/>
                <w:sz w:val="20"/>
                <w:szCs w:val="20"/>
              </w:rPr>
            </w:pPr>
            <w:r>
              <w:rPr>
                <w:rFonts w:ascii="Arial" w:hAnsi="Arial" w:cs="Arial"/>
                <w:sz w:val="20"/>
                <w:szCs w:val="20"/>
              </w:rPr>
              <w:t>14</w:t>
            </w:r>
          </w:p>
        </w:tc>
        <w:tc>
          <w:tcPr>
            <w:tcW w:w="675" w:type="dxa"/>
            <w:tcBorders>
              <w:top w:val="nil"/>
              <w:left w:val="nil"/>
              <w:bottom w:val="single" w:sz="4" w:space="0" w:color="auto"/>
              <w:right w:val="single" w:sz="4" w:space="0" w:color="auto"/>
            </w:tcBorders>
            <w:noWrap/>
            <w:vAlign w:val="center"/>
          </w:tcPr>
          <w:p w14:paraId="24BD52AE" w14:textId="77777777" w:rsidR="00793C88" w:rsidRDefault="00793C88" w:rsidP="008738F2">
            <w:pPr>
              <w:spacing w:after="60"/>
              <w:jc w:val="right"/>
              <w:rPr>
                <w:rFonts w:ascii="Arial" w:hAnsi="Arial" w:cs="Arial"/>
                <w:sz w:val="20"/>
                <w:szCs w:val="20"/>
              </w:rPr>
            </w:pPr>
            <w:r>
              <w:rPr>
                <w:rFonts w:ascii="Arial" w:hAnsi="Arial" w:cs="Arial"/>
                <w:sz w:val="20"/>
                <w:szCs w:val="20"/>
              </w:rPr>
              <w:t>3</w:t>
            </w:r>
          </w:p>
        </w:tc>
        <w:tc>
          <w:tcPr>
            <w:tcW w:w="610" w:type="dxa"/>
            <w:tcBorders>
              <w:top w:val="nil"/>
              <w:left w:val="nil"/>
              <w:bottom w:val="single" w:sz="4" w:space="0" w:color="auto"/>
              <w:right w:val="single" w:sz="4" w:space="0" w:color="auto"/>
            </w:tcBorders>
            <w:noWrap/>
            <w:vAlign w:val="center"/>
          </w:tcPr>
          <w:p w14:paraId="0E19A97E" w14:textId="77777777" w:rsidR="00793C88" w:rsidRDefault="00793C88" w:rsidP="008738F2">
            <w:pPr>
              <w:spacing w:after="60"/>
              <w:jc w:val="right"/>
              <w:rPr>
                <w:rFonts w:ascii="Arial" w:hAnsi="Arial" w:cs="Arial"/>
                <w:sz w:val="20"/>
                <w:szCs w:val="20"/>
              </w:rPr>
            </w:pPr>
            <w:r>
              <w:rPr>
                <w:rFonts w:ascii="Arial" w:hAnsi="Arial" w:cs="Arial"/>
                <w:sz w:val="20"/>
                <w:szCs w:val="20"/>
              </w:rPr>
              <w:t>*</w:t>
            </w:r>
          </w:p>
        </w:tc>
        <w:tc>
          <w:tcPr>
            <w:tcW w:w="572" w:type="dxa"/>
            <w:tcBorders>
              <w:top w:val="nil"/>
              <w:left w:val="nil"/>
              <w:bottom w:val="single" w:sz="4" w:space="0" w:color="auto"/>
              <w:right w:val="single" w:sz="4" w:space="0" w:color="auto"/>
            </w:tcBorders>
            <w:noWrap/>
            <w:vAlign w:val="center"/>
          </w:tcPr>
          <w:p w14:paraId="0987F6CE" w14:textId="77777777" w:rsidR="00793C88" w:rsidRDefault="00793C88" w:rsidP="008738F2">
            <w:pPr>
              <w:spacing w:after="60"/>
              <w:jc w:val="right"/>
              <w:rPr>
                <w:rFonts w:ascii="Arial" w:hAnsi="Arial" w:cs="Arial"/>
                <w:sz w:val="20"/>
                <w:szCs w:val="20"/>
              </w:rPr>
            </w:pPr>
            <w:r>
              <w:rPr>
                <w:rFonts w:ascii="Arial" w:hAnsi="Arial" w:cs="Arial"/>
                <w:sz w:val="20"/>
                <w:szCs w:val="20"/>
              </w:rPr>
              <w:t>0</w:t>
            </w:r>
          </w:p>
        </w:tc>
        <w:tc>
          <w:tcPr>
            <w:tcW w:w="675" w:type="dxa"/>
            <w:tcBorders>
              <w:top w:val="nil"/>
              <w:left w:val="nil"/>
              <w:bottom w:val="single" w:sz="4" w:space="0" w:color="auto"/>
              <w:right w:val="single" w:sz="4" w:space="0" w:color="auto"/>
            </w:tcBorders>
            <w:noWrap/>
            <w:vAlign w:val="center"/>
          </w:tcPr>
          <w:p w14:paraId="401400DF" w14:textId="77777777" w:rsidR="00793C88" w:rsidRDefault="00793C88" w:rsidP="008738F2">
            <w:pPr>
              <w:spacing w:after="60"/>
              <w:jc w:val="right"/>
              <w:rPr>
                <w:rFonts w:ascii="Arial" w:hAnsi="Arial" w:cs="Arial"/>
                <w:sz w:val="20"/>
                <w:szCs w:val="20"/>
              </w:rPr>
            </w:pPr>
            <w:r>
              <w:rPr>
                <w:rFonts w:ascii="Arial" w:hAnsi="Arial" w:cs="Arial"/>
                <w:sz w:val="20"/>
                <w:szCs w:val="20"/>
              </w:rPr>
              <w:t>*</w:t>
            </w:r>
          </w:p>
        </w:tc>
        <w:tc>
          <w:tcPr>
            <w:tcW w:w="627" w:type="dxa"/>
            <w:tcBorders>
              <w:top w:val="nil"/>
              <w:left w:val="nil"/>
              <w:bottom w:val="single" w:sz="4" w:space="0" w:color="auto"/>
              <w:right w:val="single" w:sz="4" w:space="0" w:color="auto"/>
            </w:tcBorders>
            <w:noWrap/>
            <w:vAlign w:val="center"/>
          </w:tcPr>
          <w:p w14:paraId="5A724227" w14:textId="77777777" w:rsidR="00793C88" w:rsidRDefault="00793C88" w:rsidP="008738F2">
            <w:pPr>
              <w:spacing w:after="60"/>
              <w:jc w:val="right"/>
              <w:rPr>
                <w:rFonts w:ascii="Arial" w:hAnsi="Arial" w:cs="Arial"/>
                <w:sz w:val="20"/>
                <w:szCs w:val="20"/>
              </w:rPr>
            </w:pPr>
            <w:r>
              <w:rPr>
                <w:rFonts w:ascii="Arial" w:hAnsi="Arial" w:cs="Arial"/>
                <w:sz w:val="20"/>
                <w:szCs w:val="20"/>
              </w:rPr>
              <w:t>1</w:t>
            </w:r>
          </w:p>
        </w:tc>
        <w:tc>
          <w:tcPr>
            <w:tcW w:w="659" w:type="dxa"/>
            <w:tcBorders>
              <w:top w:val="nil"/>
              <w:left w:val="nil"/>
              <w:bottom w:val="single" w:sz="4" w:space="0" w:color="auto"/>
              <w:right w:val="single" w:sz="4" w:space="0" w:color="auto"/>
            </w:tcBorders>
            <w:noWrap/>
            <w:vAlign w:val="center"/>
          </w:tcPr>
          <w:p w14:paraId="6C60B585" w14:textId="77777777" w:rsidR="00793C88" w:rsidRDefault="00793C88" w:rsidP="008738F2">
            <w:pPr>
              <w:spacing w:after="60"/>
              <w:jc w:val="right"/>
              <w:rPr>
                <w:rFonts w:ascii="Arial" w:hAnsi="Arial" w:cs="Arial"/>
                <w:sz w:val="20"/>
                <w:szCs w:val="20"/>
              </w:rPr>
            </w:pPr>
            <w:r>
              <w:rPr>
                <w:rFonts w:ascii="Arial" w:hAnsi="Arial" w:cs="Arial"/>
                <w:sz w:val="20"/>
                <w:szCs w:val="20"/>
              </w:rPr>
              <w:t>8</w:t>
            </w:r>
          </w:p>
        </w:tc>
        <w:tc>
          <w:tcPr>
            <w:tcW w:w="675" w:type="dxa"/>
            <w:tcBorders>
              <w:top w:val="nil"/>
              <w:left w:val="nil"/>
              <w:bottom w:val="single" w:sz="4" w:space="0" w:color="auto"/>
              <w:right w:val="single" w:sz="4" w:space="0" w:color="auto"/>
            </w:tcBorders>
            <w:noWrap/>
            <w:vAlign w:val="center"/>
          </w:tcPr>
          <w:p w14:paraId="5520A9F9" w14:textId="77777777" w:rsidR="00793C88" w:rsidRDefault="00793C88" w:rsidP="008738F2">
            <w:pPr>
              <w:spacing w:after="60"/>
              <w:jc w:val="right"/>
              <w:rPr>
                <w:rFonts w:ascii="Arial" w:hAnsi="Arial" w:cs="Arial"/>
                <w:sz w:val="20"/>
                <w:szCs w:val="20"/>
              </w:rPr>
            </w:pPr>
            <w:r>
              <w:rPr>
                <w:rFonts w:ascii="Arial" w:hAnsi="Arial" w:cs="Arial"/>
                <w:sz w:val="20"/>
                <w:szCs w:val="20"/>
              </w:rPr>
              <w:t>18</w:t>
            </w:r>
          </w:p>
        </w:tc>
        <w:tc>
          <w:tcPr>
            <w:tcW w:w="659" w:type="dxa"/>
            <w:tcBorders>
              <w:top w:val="nil"/>
              <w:left w:val="nil"/>
              <w:bottom w:val="single" w:sz="4" w:space="0" w:color="auto"/>
              <w:right w:val="single" w:sz="4" w:space="0" w:color="auto"/>
            </w:tcBorders>
            <w:noWrap/>
            <w:vAlign w:val="center"/>
          </w:tcPr>
          <w:p w14:paraId="61259CA2" w14:textId="77777777" w:rsidR="00793C88" w:rsidRDefault="00793C88" w:rsidP="008738F2">
            <w:pPr>
              <w:spacing w:after="60"/>
              <w:jc w:val="right"/>
              <w:rPr>
                <w:rFonts w:ascii="Arial" w:hAnsi="Arial" w:cs="Arial"/>
                <w:sz w:val="20"/>
                <w:szCs w:val="20"/>
              </w:rPr>
            </w:pPr>
            <w:r>
              <w:rPr>
                <w:rFonts w:ascii="Arial" w:hAnsi="Arial" w:cs="Arial"/>
                <w:sz w:val="20"/>
                <w:szCs w:val="20"/>
              </w:rPr>
              <w:t>23</w:t>
            </w:r>
          </w:p>
        </w:tc>
        <w:tc>
          <w:tcPr>
            <w:tcW w:w="659" w:type="dxa"/>
            <w:tcBorders>
              <w:top w:val="nil"/>
              <w:left w:val="nil"/>
              <w:bottom w:val="single" w:sz="4" w:space="0" w:color="auto"/>
              <w:right w:val="single" w:sz="4" w:space="0" w:color="auto"/>
            </w:tcBorders>
            <w:noWrap/>
            <w:vAlign w:val="center"/>
          </w:tcPr>
          <w:p w14:paraId="7AF6D142" w14:textId="77777777" w:rsidR="00793C88" w:rsidRDefault="00793C88" w:rsidP="008738F2">
            <w:pPr>
              <w:spacing w:after="60"/>
              <w:jc w:val="right"/>
              <w:rPr>
                <w:rFonts w:ascii="Arial" w:hAnsi="Arial" w:cs="Arial"/>
                <w:sz w:val="20"/>
                <w:szCs w:val="20"/>
              </w:rPr>
            </w:pPr>
            <w:r>
              <w:rPr>
                <w:rFonts w:ascii="Arial" w:hAnsi="Arial" w:cs="Arial"/>
                <w:sz w:val="20"/>
                <w:szCs w:val="20"/>
              </w:rPr>
              <w:t>137</w:t>
            </w:r>
          </w:p>
        </w:tc>
      </w:tr>
      <w:tr w:rsidR="00793C88" w14:paraId="2E640472" w14:textId="77777777" w:rsidTr="006B524B">
        <w:trPr>
          <w:trHeight w:val="288"/>
          <w:jc w:val="center"/>
        </w:trPr>
        <w:tc>
          <w:tcPr>
            <w:tcW w:w="3100" w:type="dxa"/>
            <w:tcBorders>
              <w:top w:val="nil"/>
              <w:left w:val="single" w:sz="4" w:space="0" w:color="auto"/>
              <w:bottom w:val="single" w:sz="4" w:space="0" w:color="auto"/>
              <w:right w:val="single" w:sz="4" w:space="0" w:color="auto"/>
            </w:tcBorders>
            <w:noWrap/>
            <w:vAlign w:val="center"/>
          </w:tcPr>
          <w:p w14:paraId="0A902C41" w14:textId="77777777" w:rsidR="00793C88" w:rsidRDefault="00793C88" w:rsidP="008738F2">
            <w:pPr>
              <w:spacing w:after="60"/>
              <w:rPr>
                <w:rFonts w:ascii="Arial" w:hAnsi="Arial" w:cs="Arial"/>
                <w:sz w:val="20"/>
                <w:szCs w:val="20"/>
              </w:rPr>
            </w:pPr>
            <w:r>
              <w:rPr>
                <w:rFonts w:ascii="Arial" w:hAnsi="Arial" w:cs="Arial"/>
                <w:sz w:val="20"/>
                <w:szCs w:val="20"/>
              </w:rPr>
              <w:t>KING SALMON, AK</w:t>
            </w:r>
          </w:p>
        </w:tc>
        <w:tc>
          <w:tcPr>
            <w:tcW w:w="643" w:type="dxa"/>
            <w:tcBorders>
              <w:top w:val="nil"/>
              <w:left w:val="nil"/>
              <w:bottom w:val="single" w:sz="4" w:space="0" w:color="auto"/>
              <w:right w:val="single" w:sz="4" w:space="0" w:color="auto"/>
            </w:tcBorders>
            <w:noWrap/>
            <w:vAlign w:val="center"/>
          </w:tcPr>
          <w:p w14:paraId="57FE7F4C" w14:textId="77777777" w:rsidR="00793C88" w:rsidRDefault="00793C88" w:rsidP="008738F2">
            <w:pPr>
              <w:spacing w:after="60"/>
              <w:jc w:val="right"/>
              <w:rPr>
                <w:rFonts w:ascii="Arial" w:hAnsi="Arial" w:cs="Arial"/>
                <w:sz w:val="20"/>
                <w:szCs w:val="20"/>
              </w:rPr>
            </w:pPr>
            <w:r>
              <w:rPr>
                <w:rFonts w:ascii="Arial" w:hAnsi="Arial" w:cs="Arial"/>
                <w:sz w:val="20"/>
                <w:szCs w:val="20"/>
              </w:rPr>
              <w:t>41</w:t>
            </w:r>
          </w:p>
        </w:tc>
        <w:tc>
          <w:tcPr>
            <w:tcW w:w="594" w:type="dxa"/>
            <w:tcBorders>
              <w:top w:val="nil"/>
              <w:left w:val="nil"/>
              <w:bottom w:val="single" w:sz="4" w:space="0" w:color="auto"/>
              <w:right w:val="single" w:sz="4" w:space="0" w:color="auto"/>
            </w:tcBorders>
            <w:noWrap/>
            <w:vAlign w:val="center"/>
          </w:tcPr>
          <w:p w14:paraId="59665D9A" w14:textId="77777777" w:rsidR="00793C88" w:rsidRDefault="00793C88" w:rsidP="008738F2">
            <w:pPr>
              <w:spacing w:after="60"/>
              <w:jc w:val="right"/>
              <w:rPr>
                <w:rFonts w:ascii="Arial" w:hAnsi="Arial" w:cs="Arial"/>
                <w:sz w:val="20"/>
                <w:szCs w:val="20"/>
              </w:rPr>
            </w:pPr>
            <w:r>
              <w:rPr>
                <w:rFonts w:ascii="Arial" w:hAnsi="Arial" w:cs="Arial"/>
                <w:sz w:val="20"/>
                <w:szCs w:val="20"/>
              </w:rPr>
              <w:t>28</w:t>
            </w:r>
          </w:p>
        </w:tc>
        <w:tc>
          <w:tcPr>
            <w:tcW w:w="610" w:type="dxa"/>
            <w:tcBorders>
              <w:top w:val="nil"/>
              <w:left w:val="nil"/>
              <w:bottom w:val="single" w:sz="4" w:space="0" w:color="auto"/>
              <w:right w:val="single" w:sz="4" w:space="0" w:color="auto"/>
            </w:tcBorders>
            <w:noWrap/>
            <w:vAlign w:val="center"/>
          </w:tcPr>
          <w:p w14:paraId="4721B25D" w14:textId="77777777" w:rsidR="00793C88" w:rsidRDefault="00793C88" w:rsidP="008738F2">
            <w:pPr>
              <w:spacing w:after="60"/>
              <w:jc w:val="right"/>
              <w:rPr>
                <w:rFonts w:ascii="Arial" w:hAnsi="Arial" w:cs="Arial"/>
                <w:sz w:val="20"/>
                <w:szCs w:val="20"/>
              </w:rPr>
            </w:pPr>
            <w:r>
              <w:rPr>
                <w:rFonts w:ascii="Arial" w:hAnsi="Arial" w:cs="Arial"/>
                <w:sz w:val="20"/>
                <w:szCs w:val="20"/>
              </w:rPr>
              <w:t>25</w:t>
            </w:r>
          </w:p>
        </w:tc>
        <w:tc>
          <w:tcPr>
            <w:tcW w:w="691" w:type="dxa"/>
            <w:tcBorders>
              <w:top w:val="nil"/>
              <w:left w:val="nil"/>
              <w:bottom w:val="single" w:sz="4" w:space="0" w:color="auto"/>
              <w:right w:val="single" w:sz="4" w:space="0" w:color="auto"/>
            </w:tcBorders>
            <w:noWrap/>
            <w:vAlign w:val="center"/>
          </w:tcPr>
          <w:p w14:paraId="72C47652" w14:textId="77777777" w:rsidR="00793C88" w:rsidRDefault="00793C88" w:rsidP="008738F2">
            <w:pPr>
              <w:spacing w:after="60"/>
              <w:jc w:val="right"/>
              <w:rPr>
                <w:rFonts w:ascii="Arial" w:hAnsi="Arial" w:cs="Arial"/>
                <w:sz w:val="20"/>
                <w:szCs w:val="20"/>
              </w:rPr>
            </w:pPr>
            <w:r>
              <w:rPr>
                <w:rFonts w:ascii="Arial" w:hAnsi="Arial" w:cs="Arial"/>
                <w:sz w:val="20"/>
                <w:szCs w:val="20"/>
              </w:rPr>
              <w:t>27</w:t>
            </w:r>
          </w:p>
        </w:tc>
        <w:tc>
          <w:tcPr>
            <w:tcW w:w="643" w:type="dxa"/>
            <w:tcBorders>
              <w:top w:val="nil"/>
              <w:left w:val="nil"/>
              <w:bottom w:val="single" w:sz="4" w:space="0" w:color="auto"/>
              <w:right w:val="single" w:sz="4" w:space="0" w:color="auto"/>
            </w:tcBorders>
            <w:noWrap/>
            <w:vAlign w:val="center"/>
          </w:tcPr>
          <w:p w14:paraId="75FC0E23" w14:textId="77777777" w:rsidR="00793C88" w:rsidRDefault="00793C88" w:rsidP="008738F2">
            <w:pPr>
              <w:spacing w:after="60"/>
              <w:jc w:val="right"/>
              <w:rPr>
                <w:rFonts w:ascii="Arial" w:hAnsi="Arial" w:cs="Arial"/>
                <w:sz w:val="20"/>
                <w:szCs w:val="20"/>
              </w:rPr>
            </w:pPr>
            <w:r>
              <w:rPr>
                <w:rFonts w:ascii="Arial" w:hAnsi="Arial" w:cs="Arial"/>
                <w:sz w:val="20"/>
                <w:szCs w:val="20"/>
              </w:rPr>
              <w:t>24</w:t>
            </w:r>
          </w:p>
        </w:tc>
        <w:tc>
          <w:tcPr>
            <w:tcW w:w="675" w:type="dxa"/>
            <w:tcBorders>
              <w:top w:val="nil"/>
              <w:left w:val="nil"/>
              <w:bottom w:val="single" w:sz="4" w:space="0" w:color="auto"/>
              <w:right w:val="single" w:sz="4" w:space="0" w:color="auto"/>
            </w:tcBorders>
            <w:noWrap/>
            <w:vAlign w:val="center"/>
          </w:tcPr>
          <w:p w14:paraId="61B759B6" w14:textId="77777777" w:rsidR="00793C88" w:rsidRDefault="00793C88" w:rsidP="008738F2">
            <w:pPr>
              <w:spacing w:after="60"/>
              <w:jc w:val="right"/>
              <w:rPr>
                <w:rFonts w:ascii="Arial" w:hAnsi="Arial" w:cs="Arial"/>
                <w:sz w:val="20"/>
                <w:szCs w:val="20"/>
              </w:rPr>
            </w:pPr>
            <w:r>
              <w:rPr>
                <w:rFonts w:ascii="Arial" w:hAnsi="Arial" w:cs="Arial"/>
                <w:sz w:val="20"/>
                <w:szCs w:val="20"/>
              </w:rPr>
              <w:t>11</w:t>
            </w:r>
          </w:p>
        </w:tc>
        <w:tc>
          <w:tcPr>
            <w:tcW w:w="610" w:type="dxa"/>
            <w:tcBorders>
              <w:top w:val="nil"/>
              <w:left w:val="nil"/>
              <w:bottom w:val="single" w:sz="4" w:space="0" w:color="auto"/>
              <w:right w:val="single" w:sz="4" w:space="0" w:color="auto"/>
            </w:tcBorders>
            <w:noWrap/>
            <w:vAlign w:val="center"/>
          </w:tcPr>
          <w:p w14:paraId="51F984D7" w14:textId="77777777" w:rsidR="00793C88" w:rsidRDefault="00793C88" w:rsidP="008738F2">
            <w:pPr>
              <w:spacing w:after="60"/>
              <w:jc w:val="right"/>
              <w:rPr>
                <w:rFonts w:ascii="Arial" w:hAnsi="Arial" w:cs="Arial"/>
                <w:sz w:val="20"/>
                <w:szCs w:val="20"/>
              </w:rPr>
            </w:pPr>
            <w:r>
              <w:rPr>
                <w:rFonts w:ascii="Arial" w:hAnsi="Arial" w:cs="Arial"/>
                <w:sz w:val="20"/>
                <w:szCs w:val="20"/>
              </w:rPr>
              <w:t>*</w:t>
            </w:r>
          </w:p>
        </w:tc>
        <w:tc>
          <w:tcPr>
            <w:tcW w:w="572" w:type="dxa"/>
            <w:tcBorders>
              <w:top w:val="nil"/>
              <w:left w:val="nil"/>
              <w:bottom w:val="single" w:sz="4" w:space="0" w:color="auto"/>
              <w:right w:val="single" w:sz="4" w:space="0" w:color="auto"/>
            </w:tcBorders>
            <w:noWrap/>
            <w:vAlign w:val="center"/>
          </w:tcPr>
          <w:p w14:paraId="6C6A1142" w14:textId="77777777" w:rsidR="00793C88" w:rsidRDefault="00793C88" w:rsidP="008738F2">
            <w:pPr>
              <w:spacing w:after="60"/>
              <w:jc w:val="right"/>
              <w:rPr>
                <w:rFonts w:ascii="Arial" w:hAnsi="Arial" w:cs="Arial"/>
                <w:sz w:val="20"/>
                <w:szCs w:val="20"/>
              </w:rPr>
            </w:pPr>
            <w:r>
              <w:rPr>
                <w:rFonts w:ascii="Arial" w:hAnsi="Arial" w:cs="Arial"/>
                <w:sz w:val="20"/>
                <w:szCs w:val="20"/>
              </w:rPr>
              <w:t>0</w:t>
            </w:r>
          </w:p>
        </w:tc>
        <w:tc>
          <w:tcPr>
            <w:tcW w:w="675" w:type="dxa"/>
            <w:tcBorders>
              <w:top w:val="nil"/>
              <w:left w:val="nil"/>
              <w:bottom w:val="single" w:sz="4" w:space="0" w:color="auto"/>
              <w:right w:val="single" w:sz="4" w:space="0" w:color="auto"/>
            </w:tcBorders>
            <w:noWrap/>
            <w:vAlign w:val="center"/>
          </w:tcPr>
          <w:p w14:paraId="3C24F30F" w14:textId="77777777" w:rsidR="00793C88" w:rsidRDefault="00793C88" w:rsidP="008738F2">
            <w:pPr>
              <w:spacing w:after="60"/>
              <w:jc w:val="right"/>
              <w:rPr>
                <w:rFonts w:ascii="Arial" w:hAnsi="Arial" w:cs="Arial"/>
                <w:sz w:val="20"/>
                <w:szCs w:val="20"/>
              </w:rPr>
            </w:pPr>
            <w:r>
              <w:rPr>
                <w:rFonts w:ascii="Arial" w:hAnsi="Arial" w:cs="Arial"/>
                <w:sz w:val="20"/>
                <w:szCs w:val="20"/>
              </w:rPr>
              <w:t>*</w:t>
            </w:r>
          </w:p>
        </w:tc>
        <w:tc>
          <w:tcPr>
            <w:tcW w:w="627" w:type="dxa"/>
            <w:tcBorders>
              <w:top w:val="nil"/>
              <w:left w:val="nil"/>
              <w:bottom w:val="single" w:sz="4" w:space="0" w:color="auto"/>
              <w:right w:val="single" w:sz="4" w:space="0" w:color="auto"/>
            </w:tcBorders>
            <w:noWrap/>
            <w:vAlign w:val="center"/>
          </w:tcPr>
          <w:p w14:paraId="708D5772" w14:textId="77777777" w:rsidR="00793C88" w:rsidRDefault="00793C88" w:rsidP="008738F2">
            <w:pPr>
              <w:spacing w:after="60"/>
              <w:jc w:val="right"/>
              <w:rPr>
                <w:rFonts w:ascii="Arial" w:hAnsi="Arial" w:cs="Arial"/>
                <w:sz w:val="20"/>
                <w:szCs w:val="20"/>
              </w:rPr>
            </w:pPr>
            <w:r>
              <w:rPr>
                <w:rFonts w:ascii="Arial" w:hAnsi="Arial" w:cs="Arial"/>
                <w:sz w:val="20"/>
                <w:szCs w:val="20"/>
              </w:rPr>
              <w:t>6</w:t>
            </w:r>
          </w:p>
        </w:tc>
        <w:tc>
          <w:tcPr>
            <w:tcW w:w="659" w:type="dxa"/>
            <w:tcBorders>
              <w:top w:val="nil"/>
              <w:left w:val="nil"/>
              <w:bottom w:val="single" w:sz="4" w:space="0" w:color="auto"/>
              <w:right w:val="single" w:sz="4" w:space="0" w:color="auto"/>
            </w:tcBorders>
            <w:noWrap/>
            <w:vAlign w:val="center"/>
          </w:tcPr>
          <w:p w14:paraId="796097D0" w14:textId="77777777" w:rsidR="00793C88" w:rsidRDefault="00793C88" w:rsidP="008738F2">
            <w:pPr>
              <w:spacing w:after="60"/>
              <w:jc w:val="right"/>
              <w:rPr>
                <w:rFonts w:ascii="Arial" w:hAnsi="Arial" w:cs="Arial"/>
                <w:sz w:val="20"/>
                <w:szCs w:val="20"/>
              </w:rPr>
            </w:pPr>
            <w:r>
              <w:rPr>
                <w:rFonts w:ascii="Arial" w:hAnsi="Arial" w:cs="Arial"/>
                <w:sz w:val="20"/>
                <w:szCs w:val="20"/>
              </w:rPr>
              <w:t>21</w:t>
            </w:r>
          </w:p>
        </w:tc>
        <w:tc>
          <w:tcPr>
            <w:tcW w:w="675" w:type="dxa"/>
            <w:tcBorders>
              <w:top w:val="nil"/>
              <w:left w:val="nil"/>
              <w:bottom w:val="single" w:sz="4" w:space="0" w:color="auto"/>
              <w:right w:val="single" w:sz="4" w:space="0" w:color="auto"/>
            </w:tcBorders>
            <w:noWrap/>
            <w:vAlign w:val="center"/>
          </w:tcPr>
          <w:p w14:paraId="09ACF9E1" w14:textId="77777777" w:rsidR="00793C88" w:rsidRDefault="00793C88" w:rsidP="008738F2">
            <w:pPr>
              <w:spacing w:after="60"/>
              <w:jc w:val="right"/>
              <w:rPr>
                <w:rFonts w:ascii="Arial" w:hAnsi="Arial" w:cs="Arial"/>
                <w:sz w:val="20"/>
                <w:szCs w:val="20"/>
              </w:rPr>
            </w:pPr>
            <w:r>
              <w:rPr>
                <w:rFonts w:ascii="Arial" w:hAnsi="Arial" w:cs="Arial"/>
                <w:sz w:val="20"/>
                <w:szCs w:val="20"/>
              </w:rPr>
              <w:t>25</w:t>
            </w:r>
          </w:p>
        </w:tc>
        <w:tc>
          <w:tcPr>
            <w:tcW w:w="659" w:type="dxa"/>
            <w:tcBorders>
              <w:top w:val="nil"/>
              <w:left w:val="nil"/>
              <w:bottom w:val="single" w:sz="4" w:space="0" w:color="auto"/>
              <w:right w:val="single" w:sz="4" w:space="0" w:color="auto"/>
            </w:tcBorders>
            <w:noWrap/>
            <w:vAlign w:val="center"/>
          </w:tcPr>
          <w:p w14:paraId="4BFAF532" w14:textId="77777777" w:rsidR="00793C88" w:rsidRDefault="00793C88" w:rsidP="008738F2">
            <w:pPr>
              <w:spacing w:after="60"/>
              <w:jc w:val="right"/>
              <w:rPr>
                <w:rFonts w:ascii="Arial" w:hAnsi="Arial" w:cs="Arial"/>
                <w:sz w:val="20"/>
                <w:szCs w:val="20"/>
              </w:rPr>
            </w:pPr>
            <w:r>
              <w:rPr>
                <w:rFonts w:ascii="Arial" w:hAnsi="Arial" w:cs="Arial"/>
                <w:sz w:val="20"/>
                <w:szCs w:val="20"/>
              </w:rPr>
              <w:t>28</w:t>
            </w:r>
          </w:p>
        </w:tc>
        <w:tc>
          <w:tcPr>
            <w:tcW w:w="659" w:type="dxa"/>
            <w:tcBorders>
              <w:top w:val="nil"/>
              <w:left w:val="nil"/>
              <w:bottom w:val="single" w:sz="4" w:space="0" w:color="auto"/>
              <w:right w:val="single" w:sz="4" w:space="0" w:color="auto"/>
            </w:tcBorders>
            <w:noWrap/>
            <w:vAlign w:val="center"/>
          </w:tcPr>
          <w:p w14:paraId="759D4B70" w14:textId="77777777" w:rsidR="00793C88" w:rsidRDefault="00793C88" w:rsidP="008738F2">
            <w:pPr>
              <w:spacing w:after="60"/>
              <w:jc w:val="right"/>
              <w:rPr>
                <w:rFonts w:ascii="Arial" w:hAnsi="Arial" w:cs="Arial"/>
                <w:sz w:val="20"/>
                <w:szCs w:val="20"/>
              </w:rPr>
            </w:pPr>
            <w:r>
              <w:rPr>
                <w:rFonts w:ascii="Arial" w:hAnsi="Arial" w:cs="Arial"/>
                <w:sz w:val="20"/>
                <w:szCs w:val="20"/>
              </w:rPr>
              <w:t>196</w:t>
            </w:r>
          </w:p>
        </w:tc>
      </w:tr>
      <w:tr w:rsidR="00793C88" w14:paraId="6C0EBD83" w14:textId="77777777" w:rsidTr="006B524B">
        <w:trPr>
          <w:trHeight w:val="288"/>
          <w:jc w:val="center"/>
        </w:trPr>
        <w:tc>
          <w:tcPr>
            <w:tcW w:w="3100" w:type="dxa"/>
            <w:tcBorders>
              <w:top w:val="nil"/>
              <w:left w:val="single" w:sz="4" w:space="0" w:color="auto"/>
              <w:bottom w:val="single" w:sz="4" w:space="0" w:color="auto"/>
              <w:right w:val="single" w:sz="4" w:space="0" w:color="auto"/>
            </w:tcBorders>
            <w:noWrap/>
            <w:vAlign w:val="center"/>
          </w:tcPr>
          <w:p w14:paraId="4E0B4D86" w14:textId="77777777" w:rsidR="00793C88" w:rsidRDefault="00793C88" w:rsidP="008738F2">
            <w:pPr>
              <w:spacing w:after="60"/>
              <w:rPr>
                <w:rFonts w:ascii="Arial" w:hAnsi="Arial" w:cs="Arial"/>
                <w:sz w:val="20"/>
                <w:szCs w:val="20"/>
              </w:rPr>
            </w:pPr>
            <w:smartTag w:uri="urn:schemas-microsoft-com:office:smarttags" w:element="place">
              <w:smartTag w:uri="urn:schemas-microsoft-com:office:smarttags" w:element="City">
                <w:r>
                  <w:rPr>
                    <w:rFonts w:ascii="Arial" w:hAnsi="Arial" w:cs="Arial"/>
                    <w:sz w:val="20"/>
                    <w:szCs w:val="20"/>
                  </w:rPr>
                  <w:t>KODIAK</w:t>
                </w:r>
              </w:smartTag>
              <w:r>
                <w:rPr>
                  <w:rFonts w:ascii="Arial" w:hAnsi="Arial" w:cs="Arial"/>
                  <w:sz w:val="20"/>
                  <w:szCs w:val="20"/>
                </w:rPr>
                <w:t xml:space="preserve">, </w:t>
              </w:r>
              <w:smartTag w:uri="urn:schemas-microsoft-com:office:smarttags" w:element="State">
                <w:r>
                  <w:rPr>
                    <w:rFonts w:ascii="Arial" w:hAnsi="Arial" w:cs="Arial"/>
                    <w:sz w:val="20"/>
                    <w:szCs w:val="20"/>
                  </w:rPr>
                  <w:t>AK</w:t>
                </w:r>
              </w:smartTag>
            </w:smartTag>
          </w:p>
        </w:tc>
        <w:tc>
          <w:tcPr>
            <w:tcW w:w="643" w:type="dxa"/>
            <w:tcBorders>
              <w:top w:val="nil"/>
              <w:left w:val="nil"/>
              <w:bottom w:val="single" w:sz="4" w:space="0" w:color="auto"/>
              <w:right w:val="single" w:sz="4" w:space="0" w:color="auto"/>
            </w:tcBorders>
            <w:noWrap/>
            <w:vAlign w:val="center"/>
          </w:tcPr>
          <w:p w14:paraId="22A9EBCB" w14:textId="77777777" w:rsidR="00793C88" w:rsidRDefault="00793C88" w:rsidP="008738F2">
            <w:pPr>
              <w:spacing w:after="60"/>
              <w:jc w:val="right"/>
              <w:rPr>
                <w:rFonts w:ascii="Arial" w:hAnsi="Arial" w:cs="Arial"/>
                <w:sz w:val="20"/>
                <w:szCs w:val="20"/>
              </w:rPr>
            </w:pPr>
            <w:r>
              <w:rPr>
                <w:rFonts w:ascii="Arial" w:hAnsi="Arial" w:cs="Arial"/>
                <w:sz w:val="20"/>
                <w:szCs w:val="20"/>
              </w:rPr>
              <w:t>42</w:t>
            </w:r>
          </w:p>
        </w:tc>
        <w:tc>
          <w:tcPr>
            <w:tcW w:w="594" w:type="dxa"/>
            <w:tcBorders>
              <w:top w:val="nil"/>
              <w:left w:val="nil"/>
              <w:bottom w:val="single" w:sz="4" w:space="0" w:color="auto"/>
              <w:right w:val="single" w:sz="4" w:space="0" w:color="auto"/>
            </w:tcBorders>
            <w:noWrap/>
            <w:vAlign w:val="center"/>
          </w:tcPr>
          <w:p w14:paraId="6BC7839D" w14:textId="77777777" w:rsidR="00793C88" w:rsidRDefault="00793C88" w:rsidP="008738F2">
            <w:pPr>
              <w:spacing w:after="60"/>
              <w:jc w:val="right"/>
              <w:rPr>
                <w:rFonts w:ascii="Arial" w:hAnsi="Arial" w:cs="Arial"/>
                <w:sz w:val="20"/>
                <w:szCs w:val="20"/>
              </w:rPr>
            </w:pPr>
            <w:r>
              <w:rPr>
                <w:rFonts w:ascii="Arial" w:hAnsi="Arial" w:cs="Arial"/>
                <w:sz w:val="20"/>
                <w:szCs w:val="20"/>
              </w:rPr>
              <w:t>22</w:t>
            </w:r>
          </w:p>
        </w:tc>
        <w:tc>
          <w:tcPr>
            <w:tcW w:w="610" w:type="dxa"/>
            <w:tcBorders>
              <w:top w:val="nil"/>
              <w:left w:val="nil"/>
              <w:bottom w:val="single" w:sz="4" w:space="0" w:color="auto"/>
              <w:right w:val="single" w:sz="4" w:space="0" w:color="auto"/>
            </w:tcBorders>
            <w:noWrap/>
            <w:vAlign w:val="center"/>
          </w:tcPr>
          <w:p w14:paraId="60111911" w14:textId="77777777" w:rsidR="00793C88" w:rsidRDefault="00793C88" w:rsidP="008738F2">
            <w:pPr>
              <w:spacing w:after="60"/>
              <w:jc w:val="right"/>
              <w:rPr>
                <w:rFonts w:ascii="Arial" w:hAnsi="Arial" w:cs="Arial"/>
                <w:sz w:val="20"/>
                <w:szCs w:val="20"/>
              </w:rPr>
            </w:pPr>
            <w:r>
              <w:rPr>
                <w:rFonts w:ascii="Arial" w:hAnsi="Arial" w:cs="Arial"/>
                <w:sz w:val="20"/>
                <w:szCs w:val="20"/>
              </w:rPr>
              <w:t>20</w:t>
            </w:r>
          </w:p>
        </w:tc>
        <w:tc>
          <w:tcPr>
            <w:tcW w:w="691" w:type="dxa"/>
            <w:tcBorders>
              <w:top w:val="nil"/>
              <w:left w:val="nil"/>
              <w:bottom w:val="single" w:sz="4" w:space="0" w:color="auto"/>
              <w:right w:val="single" w:sz="4" w:space="0" w:color="auto"/>
            </w:tcBorders>
            <w:noWrap/>
            <w:vAlign w:val="center"/>
          </w:tcPr>
          <w:p w14:paraId="0AFB84E9" w14:textId="77777777" w:rsidR="00793C88" w:rsidRDefault="00793C88" w:rsidP="008738F2">
            <w:pPr>
              <w:spacing w:after="60"/>
              <w:jc w:val="right"/>
              <w:rPr>
                <w:rFonts w:ascii="Arial" w:hAnsi="Arial" w:cs="Arial"/>
                <w:sz w:val="20"/>
                <w:szCs w:val="20"/>
              </w:rPr>
            </w:pPr>
            <w:r>
              <w:rPr>
                <w:rFonts w:ascii="Arial" w:hAnsi="Arial" w:cs="Arial"/>
                <w:sz w:val="20"/>
                <w:szCs w:val="20"/>
              </w:rPr>
              <w:t>21</w:t>
            </w:r>
          </w:p>
        </w:tc>
        <w:tc>
          <w:tcPr>
            <w:tcW w:w="643" w:type="dxa"/>
            <w:tcBorders>
              <w:top w:val="nil"/>
              <w:left w:val="nil"/>
              <w:bottom w:val="single" w:sz="4" w:space="0" w:color="auto"/>
              <w:right w:val="single" w:sz="4" w:space="0" w:color="auto"/>
            </w:tcBorders>
            <w:noWrap/>
            <w:vAlign w:val="center"/>
          </w:tcPr>
          <w:p w14:paraId="6E26890D" w14:textId="77777777" w:rsidR="00793C88" w:rsidRDefault="00793C88" w:rsidP="008738F2">
            <w:pPr>
              <w:spacing w:after="60"/>
              <w:jc w:val="right"/>
              <w:rPr>
                <w:rFonts w:ascii="Arial" w:hAnsi="Arial" w:cs="Arial"/>
                <w:sz w:val="20"/>
                <w:szCs w:val="20"/>
              </w:rPr>
            </w:pPr>
            <w:r>
              <w:rPr>
                <w:rFonts w:ascii="Arial" w:hAnsi="Arial" w:cs="Arial"/>
                <w:sz w:val="20"/>
                <w:szCs w:val="20"/>
              </w:rPr>
              <w:t>13</w:t>
            </w:r>
          </w:p>
        </w:tc>
        <w:tc>
          <w:tcPr>
            <w:tcW w:w="675" w:type="dxa"/>
            <w:tcBorders>
              <w:top w:val="nil"/>
              <w:left w:val="nil"/>
              <w:bottom w:val="single" w:sz="4" w:space="0" w:color="auto"/>
              <w:right w:val="single" w:sz="4" w:space="0" w:color="auto"/>
            </w:tcBorders>
            <w:noWrap/>
            <w:vAlign w:val="center"/>
          </w:tcPr>
          <w:p w14:paraId="5764B095" w14:textId="77777777" w:rsidR="00793C88" w:rsidRDefault="00793C88" w:rsidP="008738F2">
            <w:pPr>
              <w:spacing w:after="60"/>
              <w:jc w:val="right"/>
              <w:rPr>
                <w:rFonts w:ascii="Arial" w:hAnsi="Arial" w:cs="Arial"/>
                <w:sz w:val="20"/>
                <w:szCs w:val="20"/>
              </w:rPr>
            </w:pPr>
            <w:r>
              <w:rPr>
                <w:rFonts w:ascii="Arial" w:hAnsi="Arial" w:cs="Arial"/>
                <w:sz w:val="20"/>
                <w:szCs w:val="20"/>
              </w:rPr>
              <w:t>3</w:t>
            </w:r>
          </w:p>
        </w:tc>
        <w:tc>
          <w:tcPr>
            <w:tcW w:w="610" w:type="dxa"/>
            <w:tcBorders>
              <w:top w:val="nil"/>
              <w:left w:val="nil"/>
              <w:bottom w:val="single" w:sz="4" w:space="0" w:color="auto"/>
              <w:right w:val="single" w:sz="4" w:space="0" w:color="auto"/>
            </w:tcBorders>
            <w:noWrap/>
            <w:vAlign w:val="center"/>
          </w:tcPr>
          <w:p w14:paraId="4CD71D85" w14:textId="77777777" w:rsidR="00793C88" w:rsidRDefault="00793C88" w:rsidP="008738F2">
            <w:pPr>
              <w:spacing w:after="60"/>
              <w:jc w:val="right"/>
              <w:rPr>
                <w:rFonts w:ascii="Arial" w:hAnsi="Arial" w:cs="Arial"/>
                <w:sz w:val="20"/>
                <w:szCs w:val="20"/>
              </w:rPr>
            </w:pPr>
            <w:r>
              <w:rPr>
                <w:rFonts w:ascii="Arial" w:hAnsi="Arial" w:cs="Arial"/>
                <w:sz w:val="20"/>
                <w:szCs w:val="20"/>
              </w:rPr>
              <w:t>*</w:t>
            </w:r>
          </w:p>
        </w:tc>
        <w:tc>
          <w:tcPr>
            <w:tcW w:w="572" w:type="dxa"/>
            <w:tcBorders>
              <w:top w:val="nil"/>
              <w:left w:val="nil"/>
              <w:bottom w:val="single" w:sz="4" w:space="0" w:color="auto"/>
              <w:right w:val="single" w:sz="4" w:space="0" w:color="auto"/>
            </w:tcBorders>
            <w:noWrap/>
            <w:vAlign w:val="center"/>
          </w:tcPr>
          <w:p w14:paraId="7394458A" w14:textId="77777777" w:rsidR="00793C88" w:rsidRDefault="00793C88" w:rsidP="008738F2">
            <w:pPr>
              <w:spacing w:after="60"/>
              <w:jc w:val="right"/>
              <w:rPr>
                <w:rFonts w:ascii="Arial" w:hAnsi="Arial" w:cs="Arial"/>
                <w:sz w:val="20"/>
                <w:szCs w:val="20"/>
              </w:rPr>
            </w:pPr>
            <w:r>
              <w:rPr>
                <w:rFonts w:ascii="Arial" w:hAnsi="Arial" w:cs="Arial"/>
                <w:sz w:val="20"/>
                <w:szCs w:val="20"/>
              </w:rPr>
              <w:t>0</w:t>
            </w:r>
          </w:p>
        </w:tc>
        <w:tc>
          <w:tcPr>
            <w:tcW w:w="675" w:type="dxa"/>
            <w:tcBorders>
              <w:top w:val="nil"/>
              <w:left w:val="nil"/>
              <w:bottom w:val="single" w:sz="4" w:space="0" w:color="auto"/>
              <w:right w:val="single" w:sz="4" w:space="0" w:color="auto"/>
            </w:tcBorders>
            <w:noWrap/>
            <w:vAlign w:val="center"/>
          </w:tcPr>
          <w:p w14:paraId="1A3CB140" w14:textId="77777777" w:rsidR="00793C88" w:rsidRDefault="00793C88" w:rsidP="008738F2">
            <w:pPr>
              <w:spacing w:after="60"/>
              <w:jc w:val="right"/>
              <w:rPr>
                <w:rFonts w:ascii="Arial" w:hAnsi="Arial" w:cs="Arial"/>
                <w:sz w:val="20"/>
                <w:szCs w:val="20"/>
              </w:rPr>
            </w:pPr>
            <w:r>
              <w:rPr>
                <w:rFonts w:ascii="Arial" w:hAnsi="Arial" w:cs="Arial"/>
                <w:sz w:val="20"/>
                <w:szCs w:val="20"/>
              </w:rPr>
              <w:t>0</w:t>
            </w:r>
          </w:p>
        </w:tc>
        <w:tc>
          <w:tcPr>
            <w:tcW w:w="627" w:type="dxa"/>
            <w:tcBorders>
              <w:top w:val="nil"/>
              <w:left w:val="nil"/>
              <w:bottom w:val="single" w:sz="4" w:space="0" w:color="auto"/>
              <w:right w:val="single" w:sz="4" w:space="0" w:color="auto"/>
            </w:tcBorders>
            <w:noWrap/>
            <w:vAlign w:val="center"/>
          </w:tcPr>
          <w:p w14:paraId="2568B04E" w14:textId="77777777" w:rsidR="00793C88" w:rsidRDefault="00793C88" w:rsidP="008738F2">
            <w:pPr>
              <w:spacing w:after="60"/>
              <w:jc w:val="right"/>
              <w:rPr>
                <w:rFonts w:ascii="Arial" w:hAnsi="Arial" w:cs="Arial"/>
                <w:sz w:val="20"/>
                <w:szCs w:val="20"/>
              </w:rPr>
            </w:pPr>
            <w:r>
              <w:rPr>
                <w:rFonts w:ascii="Arial" w:hAnsi="Arial" w:cs="Arial"/>
                <w:sz w:val="20"/>
                <w:szCs w:val="20"/>
              </w:rPr>
              <w:t>1</w:t>
            </w:r>
          </w:p>
        </w:tc>
        <w:tc>
          <w:tcPr>
            <w:tcW w:w="659" w:type="dxa"/>
            <w:tcBorders>
              <w:top w:val="nil"/>
              <w:left w:val="nil"/>
              <w:bottom w:val="single" w:sz="4" w:space="0" w:color="auto"/>
              <w:right w:val="single" w:sz="4" w:space="0" w:color="auto"/>
            </w:tcBorders>
            <w:noWrap/>
            <w:vAlign w:val="center"/>
          </w:tcPr>
          <w:p w14:paraId="3C4061D3" w14:textId="77777777" w:rsidR="00793C88" w:rsidRDefault="00793C88" w:rsidP="008738F2">
            <w:pPr>
              <w:spacing w:after="60"/>
              <w:jc w:val="right"/>
              <w:rPr>
                <w:rFonts w:ascii="Arial" w:hAnsi="Arial" w:cs="Arial"/>
                <w:sz w:val="20"/>
                <w:szCs w:val="20"/>
              </w:rPr>
            </w:pPr>
            <w:r>
              <w:rPr>
                <w:rFonts w:ascii="Arial" w:hAnsi="Arial" w:cs="Arial"/>
                <w:sz w:val="20"/>
                <w:szCs w:val="20"/>
              </w:rPr>
              <w:t>12</w:t>
            </w:r>
          </w:p>
        </w:tc>
        <w:tc>
          <w:tcPr>
            <w:tcW w:w="675" w:type="dxa"/>
            <w:tcBorders>
              <w:top w:val="nil"/>
              <w:left w:val="nil"/>
              <w:bottom w:val="single" w:sz="4" w:space="0" w:color="auto"/>
              <w:right w:val="single" w:sz="4" w:space="0" w:color="auto"/>
            </w:tcBorders>
            <w:noWrap/>
            <w:vAlign w:val="center"/>
          </w:tcPr>
          <w:p w14:paraId="0CF5AC0E" w14:textId="77777777" w:rsidR="00793C88" w:rsidRDefault="00793C88" w:rsidP="008738F2">
            <w:pPr>
              <w:spacing w:after="60"/>
              <w:jc w:val="right"/>
              <w:rPr>
                <w:rFonts w:ascii="Arial" w:hAnsi="Arial" w:cs="Arial"/>
                <w:sz w:val="20"/>
                <w:szCs w:val="20"/>
              </w:rPr>
            </w:pPr>
            <w:r>
              <w:rPr>
                <w:rFonts w:ascii="Arial" w:hAnsi="Arial" w:cs="Arial"/>
                <w:sz w:val="20"/>
                <w:szCs w:val="20"/>
              </w:rPr>
              <w:t>19</w:t>
            </w:r>
          </w:p>
        </w:tc>
        <w:tc>
          <w:tcPr>
            <w:tcW w:w="659" w:type="dxa"/>
            <w:tcBorders>
              <w:top w:val="nil"/>
              <w:left w:val="nil"/>
              <w:bottom w:val="single" w:sz="4" w:space="0" w:color="auto"/>
              <w:right w:val="single" w:sz="4" w:space="0" w:color="auto"/>
            </w:tcBorders>
            <w:noWrap/>
            <w:vAlign w:val="center"/>
          </w:tcPr>
          <w:p w14:paraId="47D644BD" w14:textId="77777777" w:rsidR="00793C88" w:rsidRDefault="00793C88" w:rsidP="008738F2">
            <w:pPr>
              <w:spacing w:after="60"/>
              <w:jc w:val="right"/>
              <w:rPr>
                <w:rFonts w:ascii="Arial" w:hAnsi="Arial" w:cs="Arial"/>
                <w:sz w:val="20"/>
                <w:szCs w:val="20"/>
              </w:rPr>
            </w:pPr>
            <w:r>
              <w:rPr>
                <w:rFonts w:ascii="Arial" w:hAnsi="Arial" w:cs="Arial"/>
                <w:sz w:val="20"/>
                <w:szCs w:val="20"/>
              </w:rPr>
              <w:t>23</w:t>
            </w:r>
          </w:p>
        </w:tc>
        <w:tc>
          <w:tcPr>
            <w:tcW w:w="659" w:type="dxa"/>
            <w:tcBorders>
              <w:top w:val="nil"/>
              <w:left w:val="nil"/>
              <w:bottom w:val="single" w:sz="4" w:space="0" w:color="auto"/>
              <w:right w:val="single" w:sz="4" w:space="0" w:color="auto"/>
            </w:tcBorders>
            <w:noWrap/>
            <w:vAlign w:val="center"/>
          </w:tcPr>
          <w:p w14:paraId="0217F496" w14:textId="77777777" w:rsidR="00793C88" w:rsidRDefault="00793C88" w:rsidP="008738F2">
            <w:pPr>
              <w:spacing w:after="60"/>
              <w:jc w:val="right"/>
              <w:rPr>
                <w:rFonts w:ascii="Arial" w:hAnsi="Arial" w:cs="Arial"/>
                <w:sz w:val="20"/>
                <w:szCs w:val="20"/>
              </w:rPr>
            </w:pPr>
            <w:r>
              <w:rPr>
                <w:rFonts w:ascii="Arial" w:hAnsi="Arial" w:cs="Arial"/>
                <w:sz w:val="20"/>
                <w:szCs w:val="20"/>
              </w:rPr>
              <w:t>134</w:t>
            </w:r>
          </w:p>
        </w:tc>
      </w:tr>
      <w:tr w:rsidR="00793C88" w14:paraId="523E8671" w14:textId="77777777" w:rsidTr="006B524B">
        <w:trPr>
          <w:trHeight w:val="288"/>
          <w:jc w:val="center"/>
        </w:trPr>
        <w:tc>
          <w:tcPr>
            <w:tcW w:w="3100" w:type="dxa"/>
            <w:tcBorders>
              <w:top w:val="nil"/>
              <w:left w:val="single" w:sz="4" w:space="0" w:color="auto"/>
              <w:bottom w:val="single" w:sz="4" w:space="0" w:color="auto"/>
              <w:right w:val="single" w:sz="4" w:space="0" w:color="auto"/>
            </w:tcBorders>
            <w:noWrap/>
            <w:vAlign w:val="center"/>
          </w:tcPr>
          <w:p w14:paraId="0C892C14" w14:textId="77777777" w:rsidR="00793C88" w:rsidRDefault="00793C88" w:rsidP="008738F2">
            <w:pPr>
              <w:spacing w:after="60"/>
              <w:rPr>
                <w:rFonts w:ascii="Arial" w:hAnsi="Arial" w:cs="Arial"/>
                <w:sz w:val="20"/>
                <w:szCs w:val="20"/>
              </w:rPr>
            </w:pPr>
            <w:smartTag w:uri="urn:schemas-microsoft-com:office:smarttags" w:element="place">
              <w:smartTag w:uri="urn:schemas-microsoft-com:office:smarttags" w:element="City">
                <w:r>
                  <w:rPr>
                    <w:rFonts w:ascii="Arial" w:hAnsi="Arial" w:cs="Arial"/>
                    <w:sz w:val="20"/>
                    <w:szCs w:val="20"/>
                  </w:rPr>
                  <w:t>KOTZEBUE</w:t>
                </w:r>
              </w:smartTag>
              <w:r>
                <w:rPr>
                  <w:rFonts w:ascii="Arial" w:hAnsi="Arial" w:cs="Arial"/>
                  <w:sz w:val="20"/>
                  <w:szCs w:val="20"/>
                </w:rPr>
                <w:t xml:space="preserve">, </w:t>
              </w:r>
              <w:smartTag w:uri="urn:schemas-microsoft-com:office:smarttags" w:element="State">
                <w:r>
                  <w:rPr>
                    <w:rFonts w:ascii="Arial" w:hAnsi="Arial" w:cs="Arial"/>
                    <w:sz w:val="20"/>
                    <w:szCs w:val="20"/>
                  </w:rPr>
                  <w:t>AK</w:t>
                </w:r>
              </w:smartTag>
            </w:smartTag>
          </w:p>
        </w:tc>
        <w:tc>
          <w:tcPr>
            <w:tcW w:w="643" w:type="dxa"/>
            <w:tcBorders>
              <w:top w:val="nil"/>
              <w:left w:val="nil"/>
              <w:bottom w:val="single" w:sz="4" w:space="0" w:color="auto"/>
              <w:right w:val="single" w:sz="4" w:space="0" w:color="auto"/>
            </w:tcBorders>
            <w:noWrap/>
            <w:vAlign w:val="center"/>
          </w:tcPr>
          <w:p w14:paraId="056CAB73" w14:textId="77777777" w:rsidR="00793C88" w:rsidRDefault="00793C88" w:rsidP="008738F2">
            <w:pPr>
              <w:spacing w:after="60"/>
              <w:jc w:val="right"/>
              <w:rPr>
                <w:rFonts w:ascii="Arial" w:hAnsi="Arial" w:cs="Arial"/>
                <w:sz w:val="20"/>
                <w:szCs w:val="20"/>
              </w:rPr>
            </w:pPr>
            <w:r>
              <w:rPr>
                <w:rFonts w:ascii="Arial" w:hAnsi="Arial" w:cs="Arial"/>
                <w:sz w:val="20"/>
                <w:szCs w:val="20"/>
              </w:rPr>
              <w:t>61</w:t>
            </w:r>
          </w:p>
        </w:tc>
        <w:tc>
          <w:tcPr>
            <w:tcW w:w="594" w:type="dxa"/>
            <w:tcBorders>
              <w:top w:val="nil"/>
              <w:left w:val="nil"/>
              <w:bottom w:val="single" w:sz="4" w:space="0" w:color="auto"/>
              <w:right w:val="single" w:sz="4" w:space="0" w:color="auto"/>
            </w:tcBorders>
            <w:noWrap/>
            <w:vAlign w:val="center"/>
          </w:tcPr>
          <w:p w14:paraId="34FA0663" w14:textId="77777777" w:rsidR="00793C88" w:rsidRDefault="00793C88" w:rsidP="008738F2">
            <w:pPr>
              <w:spacing w:after="60"/>
              <w:jc w:val="right"/>
              <w:rPr>
                <w:rFonts w:ascii="Arial" w:hAnsi="Arial" w:cs="Arial"/>
                <w:sz w:val="20"/>
                <w:szCs w:val="20"/>
              </w:rPr>
            </w:pPr>
            <w:r>
              <w:rPr>
                <w:rFonts w:ascii="Arial" w:hAnsi="Arial" w:cs="Arial"/>
                <w:sz w:val="20"/>
                <w:szCs w:val="20"/>
              </w:rPr>
              <w:t>31</w:t>
            </w:r>
          </w:p>
        </w:tc>
        <w:tc>
          <w:tcPr>
            <w:tcW w:w="610" w:type="dxa"/>
            <w:tcBorders>
              <w:top w:val="nil"/>
              <w:left w:val="nil"/>
              <w:bottom w:val="single" w:sz="4" w:space="0" w:color="auto"/>
              <w:right w:val="single" w:sz="4" w:space="0" w:color="auto"/>
            </w:tcBorders>
            <w:noWrap/>
            <w:vAlign w:val="center"/>
          </w:tcPr>
          <w:p w14:paraId="76D3D2DC" w14:textId="77777777" w:rsidR="00793C88" w:rsidRDefault="00793C88" w:rsidP="008738F2">
            <w:pPr>
              <w:spacing w:after="60"/>
              <w:jc w:val="right"/>
              <w:rPr>
                <w:rFonts w:ascii="Arial" w:hAnsi="Arial" w:cs="Arial"/>
                <w:sz w:val="20"/>
                <w:szCs w:val="20"/>
              </w:rPr>
            </w:pPr>
            <w:r>
              <w:rPr>
                <w:rFonts w:ascii="Arial" w:hAnsi="Arial" w:cs="Arial"/>
                <w:sz w:val="20"/>
                <w:szCs w:val="20"/>
              </w:rPr>
              <w:t>28</w:t>
            </w:r>
          </w:p>
        </w:tc>
        <w:tc>
          <w:tcPr>
            <w:tcW w:w="691" w:type="dxa"/>
            <w:tcBorders>
              <w:top w:val="nil"/>
              <w:left w:val="nil"/>
              <w:bottom w:val="single" w:sz="4" w:space="0" w:color="auto"/>
              <w:right w:val="single" w:sz="4" w:space="0" w:color="auto"/>
            </w:tcBorders>
            <w:noWrap/>
            <w:vAlign w:val="center"/>
          </w:tcPr>
          <w:p w14:paraId="374D4C64" w14:textId="77777777" w:rsidR="00793C88" w:rsidRDefault="00793C88" w:rsidP="008738F2">
            <w:pPr>
              <w:spacing w:after="60"/>
              <w:jc w:val="right"/>
              <w:rPr>
                <w:rFonts w:ascii="Arial" w:hAnsi="Arial" w:cs="Arial"/>
                <w:sz w:val="20"/>
                <w:szCs w:val="20"/>
              </w:rPr>
            </w:pPr>
            <w:r>
              <w:rPr>
                <w:rFonts w:ascii="Arial" w:hAnsi="Arial" w:cs="Arial"/>
                <w:sz w:val="20"/>
                <w:szCs w:val="20"/>
              </w:rPr>
              <w:t>31</w:t>
            </w:r>
          </w:p>
        </w:tc>
        <w:tc>
          <w:tcPr>
            <w:tcW w:w="643" w:type="dxa"/>
            <w:tcBorders>
              <w:top w:val="nil"/>
              <w:left w:val="nil"/>
              <w:bottom w:val="single" w:sz="4" w:space="0" w:color="auto"/>
              <w:right w:val="single" w:sz="4" w:space="0" w:color="auto"/>
            </w:tcBorders>
            <w:noWrap/>
            <w:vAlign w:val="center"/>
          </w:tcPr>
          <w:p w14:paraId="2B786595" w14:textId="77777777" w:rsidR="00793C88" w:rsidRDefault="00793C88" w:rsidP="008738F2">
            <w:pPr>
              <w:spacing w:after="60"/>
              <w:jc w:val="right"/>
              <w:rPr>
                <w:rFonts w:ascii="Arial" w:hAnsi="Arial" w:cs="Arial"/>
                <w:sz w:val="20"/>
                <w:szCs w:val="20"/>
              </w:rPr>
            </w:pPr>
            <w:r>
              <w:rPr>
                <w:rFonts w:ascii="Arial" w:hAnsi="Arial" w:cs="Arial"/>
                <w:sz w:val="20"/>
                <w:szCs w:val="20"/>
              </w:rPr>
              <w:t>30</w:t>
            </w:r>
          </w:p>
        </w:tc>
        <w:tc>
          <w:tcPr>
            <w:tcW w:w="675" w:type="dxa"/>
            <w:tcBorders>
              <w:top w:val="nil"/>
              <w:left w:val="nil"/>
              <w:bottom w:val="single" w:sz="4" w:space="0" w:color="auto"/>
              <w:right w:val="single" w:sz="4" w:space="0" w:color="auto"/>
            </w:tcBorders>
            <w:noWrap/>
            <w:vAlign w:val="center"/>
          </w:tcPr>
          <w:p w14:paraId="44DDC305" w14:textId="77777777" w:rsidR="00793C88" w:rsidRDefault="00793C88" w:rsidP="008738F2">
            <w:pPr>
              <w:spacing w:after="60"/>
              <w:jc w:val="right"/>
              <w:rPr>
                <w:rFonts w:ascii="Arial" w:hAnsi="Arial" w:cs="Arial"/>
                <w:sz w:val="20"/>
                <w:szCs w:val="20"/>
              </w:rPr>
            </w:pPr>
            <w:r>
              <w:rPr>
                <w:rFonts w:ascii="Arial" w:hAnsi="Arial" w:cs="Arial"/>
                <w:sz w:val="20"/>
                <w:szCs w:val="20"/>
              </w:rPr>
              <w:t>25</w:t>
            </w:r>
          </w:p>
        </w:tc>
        <w:tc>
          <w:tcPr>
            <w:tcW w:w="610" w:type="dxa"/>
            <w:tcBorders>
              <w:top w:val="nil"/>
              <w:left w:val="nil"/>
              <w:bottom w:val="single" w:sz="4" w:space="0" w:color="auto"/>
              <w:right w:val="single" w:sz="4" w:space="0" w:color="auto"/>
            </w:tcBorders>
            <w:noWrap/>
            <w:vAlign w:val="center"/>
          </w:tcPr>
          <w:p w14:paraId="0A8F7202" w14:textId="77777777" w:rsidR="00793C88" w:rsidRDefault="00793C88" w:rsidP="008738F2">
            <w:pPr>
              <w:spacing w:after="60"/>
              <w:jc w:val="right"/>
              <w:rPr>
                <w:rFonts w:ascii="Arial" w:hAnsi="Arial" w:cs="Arial"/>
                <w:sz w:val="20"/>
                <w:szCs w:val="20"/>
              </w:rPr>
            </w:pPr>
            <w:r>
              <w:rPr>
                <w:rFonts w:ascii="Arial" w:hAnsi="Arial" w:cs="Arial"/>
                <w:sz w:val="20"/>
                <w:szCs w:val="20"/>
              </w:rPr>
              <w:t>6</w:t>
            </w:r>
          </w:p>
        </w:tc>
        <w:tc>
          <w:tcPr>
            <w:tcW w:w="572" w:type="dxa"/>
            <w:tcBorders>
              <w:top w:val="nil"/>
              <w:left w:val="nil"/>
              <w:bottom w:val="single" w:sz="4" w:space="0" w:color="auto"/>
              <w:right w:val="single" w:sz="4" w:space="0" w:color="auto"/>
            </w:tcBorders>
            <w:noWrap/>
            <w:vAlign w:val="center"/>
          </w:tcPr>
          <w:p w14:paraId="3C156C60" w14:textId="77777777" w:rsidR="00793C88" w:rsidRDefault="00793C88" w:rsidP="008738F2">
            <w:pPr>
              <w:spacing w:after="60"/>
              <w:jc w:val="right"/>
              <w:rPr>
                <w:rFonts w:ascii="Arial" w:hAnsi="Arial" w:cs="Arial"/>
                <w:sz w:val="20"/>
                <w:szCs w:val="20"/>
              </w:rPr>
            </w:pPr>
            <w:r>
              <w:rPr>
                <w:rFonts w:ascii="Arial" w:hAnsi="Arial" w:cs="Arial"/>
                <w:sz w:val="20"/>
                <w:szCs w:val="20"/>
              </w:rPr>
              <w:t>*</w:t>
            </w:r>
          </w:p>
        </w:tc>
        <w:tc>
          <w:tcPr>
            <w:tcW w:w="675" w:type="dxa"/>
            <w:tcBorders>
              <w:top w:val="nil"/>
              <w:left w:val="nil"/>
              <w:bottom w:val="single" w:sz="4" w:space="0" w:color="auto"/>
              <w:right w:val="single" w:sz="4" w:space="0" w:color="auto"/>
            </w:tcBorders>
            <w:noWrap/>
            <w:vAlign w:val="center"/>
          </w:tcPr>
          <w:p w14:paraId="1CEB7AD1" w14:textId="77777777" w:rsidR="00793C88" w:rsidRDefault="00793C88" w:rsidP="008738F2">
            <w:pPr>
              <w:spacing w:after="60"/>
              <w:jc w:val="right"/>
              <w:rPr>
                <w:rFonts w:ascii="Arial" w:hAnsi="Arial" w:cs="Arial"/>
                <w:sz w:val="20"/>
                <w:szCs w:val="20"/>
              </w:rPr>
            </w:pPr>
            <w:r>
              <w:rPr>
                <w:rFonts w:ascii="Arial" w:hAnsi="Arial" w:cs="Arial"/>
                <w:sz w:val="20"/>
                <w:szCs w:val="20"/>
              </w:rPr>
              <w:t>*</w:t>
            </w:r>
          </w:p>
        </w:tc>
        <w:tc>
          <w:tcPr>
            <w:tcW w:w="627" w:type="dxa"/>
            <w:tcBorders>
              <w:top w:val="nil"/>
              <w:left w:val="nil"/>
              <w:bottom w:val="single" w:sz="4" w:space="0" w:color="auto"/>
              <w:right w:val="single" w:sz="4" w:space="0" w:color="auto"/>
            </w:tcBorders>
            <w:noWrap/>
            <w:vAlign w:val="center"/>
          </w:tcPr>
          <w:p w14:paraId="10D35289" w14:textId="77777777" w:rsidR="00793C88" w:rsidRDefault="00793C88" w:rsidP="008738F2">
            <w:pPr>
              <w:spacing w:after="60"/>
              <w:jc w:val="right"/>
              <w:rPr>
                <w:rFonts w:ascii="Arial" w:hAnsi="Arial" w:cs="Arial"/>
                <w:sz w:val="20"/>
                <w:szCs w:val="20"/>
              </w:rPr>
            </w:pPr>
            <w:r>
              <w:rPr>
                <w:rFonts w:ascii="Arial" w:hAnsi="Arial" w:cs="Arial"/>
                <w:sz w:val="20"/>
                <w:szCs w:val="20"/>
              </w:rPr>
              <w:t>8</w:t>
            </w:r>
          </w:p>
        </w:tc>
        <w:tc>
          <w:tcPr>
            <w:tcW w:w="659" w:type="dxa"/>
            <w:tcBorders>
              <w:top w:val="nil"/>
              <w:left w:val="nil"/>
              <w:bottom w:val="single" w:sz="4" w:space="0" w:color="auto"/>
              <w:right w:val="single" w:sz="4" w:space="0" w:color="auto"/>
            </w:tcBorders>
            <w:noWrap/>
            <w:vAlign w:val="center"/>
          </w:tcPr>
          <w:p w14:paraId="16120480" w14:textId="77777777" w:rsidR="00793C88" w:rsidRDefault="00793C88" w:rsidP="008738F2">
            <w:pPr>
              <w:spacing w:after="60"/>
              <w:jc w:val="right"/>
              <w:rPr>
                <w:rFonts w:ascii="Arial" w:hAnsi="Arial" w:cs="Arial"/>
                <w:sz w:val="20"/>
                <w:szCs w:val="20"/>
              </w:rPr>
            </w:pPr>
            <w:r>
              <w:rPr>
                <w:rFonts w:ascii="Arial" w:hAnsi="Arial" w:cs="Arial"/>
                <w:sz w:val="20"/>
                <w:szCs w:val="20"/>
              </w:rPr>
              <w:t>28</w:t>
            </w:r>
          </w:p>
        </w:tc>
        <w:tc>
          <w:tcPr>
            <w:tcW w:w="675" w:type="dxa"/>
            <w:tcBorders>
              <w:top w:val="nil"/>
              <w:left w:val="nil"/>
              <w:bottom w:val="single" w:sz="4" w:space="0" w:color="auto"/>
              <w:right w:val="single" w:sz="4" w:space="0" w:color="auto"/>
            </w:tcBorders>
            <w:noWrap/>
            <w:vAlign w:val="center"/>
          </w:tcPr>
          <w:p w14:paraId="4C4354DA" w14:textId="77777777" w:rsidR="00793C88" w:rsidRDefault="00793C88" w:rsidP="008738F2">
            <w:pPr>
              <w:spacing w:after="60"/>
              <w:jc w:val="right"/>
              <w:rPr>
                <w:rFonts w:ascii="Arial" w:hAnsi="Arial" w:cs="Arial"/>
                <w:sz w:val="20"/>
                <w:szCs w:val="20"/>
              </w:rPr>
            </w:pPr>
            <w:r>
              <w:rPr>
                <w:rFonts w:ascii="Arial" w:hAnsi="Arial" w:cs="Arial"/>
                <w:sz w:val="20"/>
                <w:szCs w:val="20"/>
              </w:rPr>
              <w:t>30</w:t>
            </w:r>
          </w:p>
        </w:tc>
        <w:tc>
          <w:tcPr>
            <w:tcW w:w="659" w:type="dxa"/>
            <w:tcBorders>
              <w:top w:val="nil"/>
              <w:left w:val="nil"/>
              <w:bottom w:val="single" w:sz="4" w:space="0" w:color="auto"/>
              <w:right w:val="single" w:sz="4" w:space="0" w:color="auto"/>
            </w:tcBorders>
            <w:noWrap/>
            <w:vAlign w:val="center"/>
          </w:tcPr>
          <w:p w14:paraId="4E1B0B6E" w14:textId="77777777" w:rsidR="00793C88" w:rsidRDefault="00793C88" w:rsidP="008738F2">
            <w:pPr>
              <w:spacing w:after="60"/>
              <w:jc w:val="right"/>
              <w:rPr>
                <w:rFonts w:ascii="Arial" w:hAnsi="Arial" w:cs="Arial"/>
                <w:sz w:val="20"/>
                <w:szCs w:val="20"/>
              </w:rPr>
            </w:pPr>
            <w:r>
              <w:rPr>
                <w:rFonts w:ascii="Arial" w:hAnsi="Arial" w:cs="Arial"/>
                <w:sz w:val="20"/>
                <w:szCs w:val="20"/>
              </w:rPr>
              <w:t>31</w:t>
            </w:r>
          </w:p>
        </w:tc>
        <w:tc>
          <w:tcPr>
            <w:tcW w:w="659" w:type="dxa"/>
            <w:tcBorders>
              <w:top w:val="nil"/>
              <w:left w:val="nil"/>
              <w:bottom w:val="single" w:sz="4" w:space="0" w:color="auto"/>
              <w:right w:val="single" w:sz="4" w:space="0" w:color="auto"/>
            </w:tcBorders>
            <w:noWrap/>
            <w:vAlign w:val="center"/>
          </w:tcPr>
          <w:p w14:paraId="7E926BCD" w14:textId="77777777" w:rsidR="00793C88" w:rsidRDefault="00793C88" w:rsidP="008738F2">
            <w:pPr>
              <w:spacing w:after="60"/>
              <w:jc w:val="right"/>
              <w:rPr>
                <w:rFonts w:ascii="Arial" w:hAnsi="Arial" w:cs="Arial"/>
                <w:sz w:val="20"/>
                <w:szCs w:val="20"/>
              </w:rPr>
            </w:pPr>
            <w:r>
              <w:rPr>
                <w:rFonts w:ascii="Arial" w:hAnsi="Arial" w:cs="Arial"/>
                <w:sz w:val="20"/>
                <w:szCs w:val="20"/>
              </w:rPr>
              <w:t>247</w:t>
            </w:r>
          </w:p>
        </w:tc>
      </w:tr>
      <w:tr w:rsidR="00793C88" w14:paraId="2E8D3497" w14:textId="77777777" w:rsidTr="006B524B">
        <w:trPr>
          <w:trHeight w:val="288"/>
          <w:jc w:val="center"/>
        </w:trPr>
        <w:tc>
          <w:tcPr>
            <w:tcW w:w="3100" w:type="dxa"/>
            <w:tcBorders>
              <w:top w:val="nil"/>
              <w:left w:val="single" w:sz="4" w:space="0" w:color="auto"/>
              <w:bottom w:val="single" w:sz="4" w:space="0" w:color="auto"/>
              <w:right w:val="single" w:sz="4" w:space="0" w:color="auto"/>
            </w:tcBorders>
            <w:noWrap/>
            <w:vAlign w:val="center"/>
          </w:tcPr>
          <w:p w14:paraId="43B87757" w14:textId="77777777" w:rsidR="00793C88" w:rsidRDefault="00793C88" w:rsidP="008738F2">
            <w:pPr>
              <w:spacing w:after="60"/>
              <w:rPr>
                <w:rFonts w:ascii="Arial" w:hAnsi="Arial" w:cs="Arial"/>
                <w:sz w:val="20"/>
                <w:szCs w:val="20"/>
              </w:rPr>
            </w:pPr>
            <w:smartTag w:uri="urn:schemas-microsoft-com:office:smarttags" w:element="place">
              <w:smartTag w:uri="urn:schemas-microsoft-com:office:smarttags" w:element="City">
                <w:r>
                  <w:rPr>
                    <w:rFonts w:ascii="Arial" w:hAnsi="Arial" w:cs="Arial"/>
                    <w:sz w:val="20"/>
                    <w:szCs w:val="20"/>
                  </w:rPr>
                  <w:t>MCGRATH</w:t>
                </w:r>
              </w:smartTag>
              <w:r>
                <w:rPr>
                  <w:rFonts w:ascii="Arial" w:hAnsi="Arial" w:cs="Arial"/>
                  <w:sz w:val="20"/>
                  <w:szCs w:val="20"/>
                </w:rPr>
                <w:t xml:space="preserve">, </w:t>
              </w:r>
              <w:smartTag w:uri="urn:schemas-microsoft-com:office:smarttags" w:element="State">
                <w:r>
                  <w:rPr>
                    <w:rFonts w:ascii="Arial" w:hAnsi="Arial" w:cs="Arial"/>
                    <w:sz w:val="20"/>
                    <w:szCs w:val="20"/>
                  </w:rPr>
                  <w:t>AK</w:t>
                </w:r>
              </w:smartTag>
            </w:smartTag>
          </w:p>
        </w:tc>
        <w:tc>
          <w:tcPr>
            <w:tcW w:w="643" w:type="dxa"/>
            <w:tcBorders>
              <w:top w:val="nil"/>
              <w:left w:val="nil"/>
              <w:bottom w:val="single" w:sz="4" w:space="0" w:color="auto"/>
              <w:right w:val="single" w:sz="4" w:space="0" w:color="auto"/>
            </w:tcBorders>
            <w:noWrap/>
            <w:vAlign w:val="center"/>
          </w:tcPr>
          <w:p w14:paraId="16C719BA" w14:textId="77777777" w:rsidR="00793C88" w:rsidRDefault="00793C88" w:rsidP="008738F2">
            <w:pPr>
              <w:spacing w:after="60"/>
              <w:jc w:val="right"/>
              <w:rPr>
                <w:rFonts w:ascii="Arial" w:hAnsi="Arial" w:cs="Arial"/>
                <w:sz w:val="20"/>
                <w:szCs w:val="20"/>
              </w:rPr>
            </w:pPr>
            <w:r>
              <w:rPr>
                <w:rFonts w:ascii="Arial" w:hAnsi="Arial" w:cs="Arial"/>
                <w:sz w:val="20"/>
                <w:szCs w:val="20"/>
              </w:rPr>
              <w:t>62</w:t>
            </w:r>
          </w:p>
        </w:tc>
        <w:tc>
          <w:tcPr>
            <w:tcW w:w="594" w:type="dxa"/>
            <w:tcBorders>
              <w:top w:val="nil"/>
              <w:left w:val="nil"/>
              <w:bottom w:val="single" w:sz="4" w:space="0" w:color="auto"/>
              <w:right w:val="single" w:sz="4" w:space="0" w:color="auto"/>
            </w:tcBorders>
            <w:noWrap/>
            <w:vAlign w:val="center"/>
          </w:tcPr>
          <w:p w14:paraId="6F32B53B" w14:textId="77777777" w:rsidR="00793C88" w:rsidRDefault="00793C88" w:rsidP="008738F2">
            <w:pPr>
              <w:spacing w:after="60"/>
              <w:jc w:val="right"/>
              <w:rPr>
                <w:rFonts w:ascii="Arial" w:hAnsi="Arial" w:cs="Arial"/>
                <w:sz w:val="20"/>
                <w:szCs w:val="20"/>
              </w:rPr>
            </w:pPr>
            <w:r>
              <w:rPr>
                <w:rFonts w:ascii="Arial" w:hAnsi="Arial" w:cs="Arial"/>
                <w:sz w:val="20"/>
                <w:szCs w:val="20"/>
              </w:rPr>
              <w:t>31</w:t>
            </w:r>
          </w:p>
        </w:tc>
        <w:tc>
          <w:tcPr>
            <w:tcW w:w="610" w:type="dxa"/>
            <w:tcBorders>
              <w:top w:val="nil"/>
              <w:left w:val="nil"/>
              <w:bottom w:val="single" w:sz="4" w:space="0" w:color="auto"/>
              <w:right w:val="single" w:sz="4" w:space="0" w:color="auto"/>
            </w:tcBorders>
            <w:noWrap/>
            <w:vAlign w:val="center"/>
          </w:tcPr>
          <w:p w14:paraId="075F8F46" w14:textId="77777777" w:rsidR="00793C88" w:rsidRDefault="00793C88" w:rsidP="008738F2">
            <w:pPr>
              <w:spacing w:after="60"/>
              <w:jc w:val="right"/>
              <w:rPr>
                <w:rFonts w:ascii="Arial" w:hAnsi="Arial" w:cs="Arial"/>
                <w:sz w:val="20"/>
                <w:szCs w:val="20"/>
              </w:rPr>
            </w:pPr>
            <w:r>
              <w:rPr>
                <w:rFonts w:ascii="Arial" w:hAnsi="Arial" w:cs="Arial"/>
                <w:sz w:val="20"/>
                <w:szCs w:val="20"/>
              </w:rPr>
              <w:t>28</w:t>
            </w:r>
          </w:p>
        </w:tc>
        <w:tc>
          <w:tcPr>
            <w:tcW w:w="691" w:type="dxa"/>
            <w:tcBorders>
              <w:top w:val="nil"/>
              <w:left w:val="nil"/>
              <w:bottom w:val="single" w:sz="4" w:space="0" w:color="auto"/>
              <w:right w:val="single" w:sz="4" w:space="0" w:color="auto"/>
            </w:tcBorders>
            <w:noWrap/>
            <w:vAlign w:val="center"/>
          </w:tcPr>
          <w:p w14:paraId="78082733" w14:textId="77777777" w:rsidR="00793C88" w:rsidRDefault="00793C88" w:rsidP="008738F2">
            <w:pPr>
              <w:spacing w:after="60"/>
              <w:jc w:val="right"/>
              <w:rPr>
                <w:rFonts w:ascii="Arial" w:hAnsi="Arial" w:cs="Arial"/>
                <w:sz w:val="20"/>
                <w:szCs w:val="20"/>
              </w:rPr>
            </w:pPr>
            <w:r>
              <w:rPr>
                <w:rFonts w:ascii="Arial" w:hAnsi="Arial" w:cs="Arial"/>
                <w:sz w:val="20"/>
                <w:szCs w:val="20"/>
              </w:rPr>
              <w:t>31</w:t>
            </w:r>
          </w:p>
        </w:tc>
        <w:tc>
          <w:tcPr>
            <w:tcW w:w="643" w:type="dxa"/>
            <w:tcBorders>
              <w:top w:val="nil"/>
              <w:left w:val="nil"/>
              <w:bottom w:val="single" w:sz="4" w:space="0" w:color="auto"/>
              <w:right w:val="single" w:sz="4" w:space="0" w:color="auto"/>
            </w:tcBorders>
            <w:noWrap/>
            <w:vAlign w:val="center"/>
          </w:tcPr>
          <w:p w14:paraId="6BD4C743" w14:textId="77777777" w:rsidR="00793C88" w:rsidRDefault="00793C88" w:rsidP="008738F2">
            <w:pPr>
              <w:spacing w:after="60"/>
              <w:jc w:val="right"/>
              <w:rPr>
                <w:rFonts w:ascii="Arial" w:hAnsi="Arial" w:cs="Arial"/>
                <w:sz w:val="20"/>
                <w:szCs w:val="20"/>
              </w:rPr>
            </w:pPr>
            <w:r>
              <w:rPr>
                <w:rFonts w:ascii="Arial" w:hAnsi="Arial" w:cs="Arial"/>
                <w:sz w:val="20"/>
                <w:szCs w:val="20"/>
              </w:rPr>
              <w:t>28</w:t>
            </w:r>
          </w:p>
        </w:tc>
        <w:tc>
          <w:tcPr>
            <w:tcW w:w="675" w:type="dxa"/>
            <w:tcBorders>
              <w:top w:val="nil"/>
              <w:left w:val="nil"/>
              <w:bottom w:val="single" w:sz="4" w:space="0" w:color="auto"/>
              <w:right w:val="single" w:sz="4" w:space="0" w:color="auto"/>
            </w:tcBorders>
            <w:noWrap/>
            <w:vAlign w:val="center"/>
          </w:tcPr>
          <w:p w14:paraId="5CED395E" w14:textId="77777777" w:rsidR="00793C88" w:rsidRDefault="00793C88" w:rsidP="008738F2">
            <w:pPr>
              <w:spacing w:after="60"/>
              <w:jc w:val="right"/>
              <w:rPr>
                <w:rFonts w:ascii="Arial" w:hAnsi="Arial" w:cs="Arial"/>
                <w:sz w:val="20"/>
                <w:szCs w:val="20"/>
              </w:rPr>
            </w:pPr>
            <w:r>
              <w:rPr>
                <w:rFonts w:ascii="Arial" w:hAnsi="Arial" w:cs="Arial"/>
                <w:sz w:val="20"/>
                <w:szCs w:val="20"/>
              </w:rPr>
              <w:t>11</w:t>
            </w:r>
          </w:p>
        </w:tc>
        <w:tc>
          <w:tcPr>
            <w:tcW w:w="610" w:type="dxa"/>
            <w:tcBorders>
              <w:top w:val="nil"/>
              <w:left w:val="nil"/>
              <w:bottom w:val="single" w:sz="4" w:space="0" w:color="auto"/>
              <w:right w:val="single" w:sz="4" w:space="0" w:color="auto"/>
            </w:tcBorders>
            <w:noWrap/>
            <w:vAlign w:val="center"/>
          </w:tcPr>
          <w:p w14:paraId="13BEB7DF" w14:textId="77777777" w:rsidR="00793C88" w:rsidRDefault="00793C88" w:rsidP="008738F2">
            <w:pPr>
              <w:spacing w:after="60"/>
              <w:jc w:val="right"/>
              <w:rPr>
                <w:rFonts w:ascii="Arial" w:hAnsi="Arial" w:cs="Arial"/>
                <w:sz w:val="20"/>
                <w:szCs w:val="20"/>
              </w:rPr>
            </w:pPr>
            <w:r>
              <w:rPr>
                <w:rFonts w:ascii="Arial" w:hAnsi="Arial" w:cs="Arial"/>
                <w:sz w:val="20"/>
                <w:szCs w:val="20"/>
              </w:rPr>
              <w:t>*</w:t>
            </w:r>
          </w:p>
        </w:tc>
        <w:tc>
          <w:tcPr>
            <w:tcW w:w="572" w:type="dxa"/>
            <w:tcBorders>
              <w:top w:val="nil"/>
              <w:left w:val="nil"/>
              <w:bottom w:val="single" w:sz="4" w:space="0" w:color="auto"/>
              <w:right w:val="single" w:sz="4" w:space="0" w:color="auto"/>
            </w:tcBorders>
            <w:noWrap/>
            <w:vAlign w:val="center"/>
          </w:tcPr>
          <w:p w14:paraId="16A0AEFF" w14:textId="77777777" w:rsidR="00793C88" w:rsidRDefault="00793C88" w:rsidP="008738F2">
            <w:pPr>
              <w:spacing w:after="60"/>
              <w:jc w:val="right"/>
              <w:rPr>
                <w:rFonts w:ascii="Arial" w:hAnsi="Arial" w:cs="Arial"/>
                <w:sz w:val="20"/>
                <w:szCs w:val="20"/>
              </w:rPr>
            </w:pPr>
            <w:r>
              <w:rPr>
                <w:rFonts w:ascii="Arial" w:hAnsi="Arial" w:cs="Arial"/>
                <w:sz w:val="20"/>
                <w:szCs w:val="20"/>
              </w:rPr>
              <w:t>0</w:t>
            </w:r>
          </w:p>
        </w:tc>
        <w:tc>
          <w:tcPr>
            <w:tcW w:w="675" w:type="dxa"/>
            <w:tcBorders>
              <w:top w:val="nil"/>
              <w:left w:val="nil"/>
              <w:bottom w:val="single" w:sz="4" w:space="0" w:color="auto"/>
              <w:right w:val="single" w:sz="4" w:space="0" w:color="auto"/>
            </w:tcBorders>
            <w:noWrap/>
            <w:vAlign w:val="center"/>
          </w:tcPr>
          <w:p w14:paraId="2D661CF8" w14:textId="77777777" w:rsidR="00793C88" w:rsidRDefault="00793C88" w:rsidP="008738F2">
            <w:pPr>
              <w:spacing w:after="60"/>
              <w:jc w:val="right"/>
              <w:rPr>
                <w:rFonts w:ascii="Arial" w:hAnsi="Arial" w:cs="Arial"/>
                <w:sz w:val="20"/>
                <w:szCs w:val="20"/>
              </w:rPr>
            </w:pPr>
            <w:r>
              <w:rPr>
                <w:rFonts w:ascii="Arial" w:hAnsi="Arial" w:cs="Arial"/>
                <w:sz w:val="20"/>
                <w:szCs w:val="20"/>
              </w:rPr>
              <w:t>1</w:t>
            </w:r>
          </w:p>
        </w:tc>
        <w:tc>
          <w:tcPr>
            <w:tcW w:w="627" w:type="dxa"/>
            <w:tcBorders>
              <w:top w:val="nil"/>
              <w:left w:val="nil"/>
              <w:bottom w:val="single" w:sz="4" w:space="0" w:color="auto"/>
              <w:right w:val="single" w:sz="4" w:space="0" w:color="auto"/>
            </w:tcBorders>
            <w:noWrap/>
            <w:vAlign w:val="center"/>
          </w:tcPr>
          <w:p w14:paraId="41720FA4" w14:textId="77777777" w:rsidR="00793C88" w:rsidRDefault="00793C88" w:rsidP="008738F2">
            <w:pPr>
              <w:spacing w:after="60"/>
              <w:jc w:val="right"/>
              <w:rPr>
                <w:rFonts w:ascii="Arial" w:hAnsi="Arial" w:cs="Arial"/>
                <w:sz w:val="20"/>
                <w:szCs w:val="20"/>
              </w:rPr>
            </w:pPr>
            <w:r>
              <w:rPr>
                <w:rFonts w:ascii="Arial" w:hAnsi="Arial" w:cs="Arial"/>
                <w:sz w:val="20"/>
                <w:szCs w:val="20"/>
              </w:rPr>
              <w:t>11</w:t>
            </w:r>
          </w:p>
        </w:tc>
        <w:tc>
          <w:tcPr>
            <w:tcW w:w="659" w:type="dxa"/>
            <w:tcBorders>
              <w:top w:val="nil"/>
              <w:left w:val="nil"/>
              <w:bottom w:val="single" w:sz="4" w:space="0" w:color="auto"/>
              <w:right w:val="single" w:sz="4" w:space="0" w:color="auto"/>
            </w:tcBorders>
            <w:noWrap/>
            <w:vAlign w:val="center"/>
          </w:tcPr>
          <w:p w14:paraId="4FCECD3C" w14:textId="77777777" w:rsidR="00793C88" w:rsidRDefault="00793C88" w:rsidP="008738F2">
            <w:pPr>
              <w:spacing w:after="60"/>
              <w:jc w:val="right"/>
              <w:rPr>
                <w:rFonts w:ascii="Arial" w:hAnsi="Arial" w:cs="Arial"/>
                <w:sz w:val="20"/>
                <w:szCs w:val="20"/>
              </w:rPr>
            </w:pPr>
            <w:r>
              <w:rPr>
                <w:rFonts w:ascii="Arial" w:hAnsi="Arial" w:cs="Arial"/>
                <w:sz w:val="20"/>
                <w:szCs w:val="20"/>
              </w:rPr>
              <w:t>28</w:t>
            </w:r>
          </w:p>
        </w:tc>
        <w:tc>
          <w:tcPr>
            <w:tcW w:w="675" w:type="dxa"/>
            <w:tcBorders>
              <w:top w:val="nil"/>
              <w:left w:val="nil"/>
              <w:bottom w:val="single" w:sz="4" w:space="0" w:color="auto"/>
              <w:right w:val="single" w:sz="4" w:space="0" w:color="auto"/>
            </w:tcBorders>
            <w:noWrap/>
            <w:vAlign w:val="center"/>
          </w:tcPr>
          <w:p w14:paraId="4BA45BA6" w14:textId="77777777" w:rsidR="00793C88" w:rsidRDefault="00793C88" w:rsidP="008738F2">
            <w:pPr>
              <w:spacing w:after="60"/>
              <w:jc w:val="right"/>
              <w:rPr>
                <w:rFonts w:ascii="Arial" w:hAnsi="Arial" w:cs="Arial"/>
                <w:sz w:val="20"/>
                <w:szCs w:val="20"/>
              </w:rPr>
            </w:pPr>
            <w:r>
              <w:rPr>
                <w:rFonts w:ascii="Arial" w:hAnsi="Arial" w:cs="Arial"/>
                <w:sz w:val="20"/>
                <w:szCs w:val="20"/>
              </w:rPr>
              <w:t>30</w:t>
            </w:r>
          </w:p>
        </w:tc>
        <w:tc>
          <w:tcPr>
            <w:tcW w:w="659" w:type="dxa"/>
            <w:tcBorders>
              <w:top w:val="nil"/>
              <w:left w:val="nil"/>
              <w:bottom w:val="single" w:sz="4" w:space="0" w:color="auto"/>
              <w:right w:val="single" w:sz="4" w:space="0" w:color="auto"/>
            </w:tcBorders>
            <w:noWrap/>
            <w:vAlign w:val="center"/>
          </w:tcPr>
          <w:p w14:paraId="7B5CDBDF" w14:textId="77777777" w:rsidR="00793C88" w:rsidRDefault="00793C88" w:rsidP="008738F2">
            <w:pPr>
              <w:spacing w:after="60"/>
              <w:jc w:val="right"/>
              <w:rPr>
                <w:rFonts w:ascii="Arial" w:hAnsi="Arial" w:cs="Arial"/>
                <w:sz w:val="20"/>
                <w:szCs w:val="20"/>
              </w:rPr>
            </w:pPr>
            <w:r>
              <w:rPr>
                <w:rFonts w:ascii="Arial" w:hAnsi="Arial" w:cs="Arial"/>
                <w:sz w:val="20"/>
                <w:szCs w:val="20"/>
              </w:rPr>
              <w:t>31</w:t>
            </w:r>
          </w:p>
        </w:tc>
        <w:tc>
          <w:tcPr>
            <w:tcW w:w="659" w:type="dxa"/>
            <w:tcBorders>
              <w:top w:val="nil"/>
              <w:left w:val="nil"/>
              <w:bottom w:val="single" w:sz="4" w:space="0" w:color="auto"/>
              <w:right w:val="single" w:sz="4" w:space="0" w:color="auto"/>
            </w:tcBorders>
            <w:noWrap/>
            <w:vAlign w:val="center"/>
          </w:tcPr>
          <w:p w14:paraId="346C01C8" w14:textId="77777777" w:rsidR="00793C88" w:rsidRDefault="00793C88" w:rsidP="008738F2">
            <w:pPr>
              <w:spacing w:after="60"/>
              <w:jc w:val="right"/>
              <w:rPr>
                <w:rFonts w:ascii="Arial" w:hAnsi="Arial" w:cs="Arial"/>
                <w:sz w:val="20"/>
                <w:szCs w:val="20"/>
              </w:rPr>
            </w:pPr>
            <w:r>
              <w:rPr>
                <w:rFonts w:ascii="Arial" w:hAnsi="Arial" w:cs="Arial"/>
                <w:sz w:val="20"/>
                <w:szCs w:val="20"/>
              </w:rPr>
              <w:t>229</w:t>
            </w:r>
          </w:p>
        </w:tc>
      </w:tr>
      <w:tr w:rsidR="00793C88" w14:paraId="382843B1" w14:textId="77777777" w:rsidTr="006B524B">
        <w:trPr>
          <w:trHeight w:val="288"/>
          <w:jc w:val="center"/>
        </w:trPr>
        <w:tc>
          <w:tcPr>
            <w:tcW w:w="3100" w:type="dxa"/>
            <w:tcBorders>
              <w:top w:val="nil"/>
              <w:left w:val="single" w:sz="4" w:space="0" w:color="auto"/>
              <w:bottom w:val="single" w:sz="4" w:space="0" w:color="auto"/>
              <w:right w:val="single" w:sz="4" w:space="0" w:color="auto"/>
            </w:tcBorders>
            <w:noWrap/>
            <w:vAlign w:val="center"/>
          </w:tcPr>
          <w:p w14:paraId="7A276403" w14:textId="77777777" w:rsidR="00793C88" w:rsidRDefault="00793C88" w:rsidP="008738F2">
            <w:pPr>
              <w:spacing w:after="60"/>
              <w:rPr>
                <w:rFonts w:ascii="Arial" w:hAnsi="Arial" w:cs="Arial"/>
                <w:sz w:val="20"/>
                <w:szCs w:val="20"/>
              </w:rPr>
            </w:pPr>
            <w:smartTag w:uri="urn:schemas-microsoft-com:office:smarttags" w:element="place">
              <w:smartTag w:uri="urn:schemas-microsoft-com:office:smarttags" w:element="City">
                <w:r>
                  <w:rPr>
                    <w:rFonts w:ascii="Arial" w:hAnsi="Arial" w:cs="Arial"/>
                    <w:sz w:val="20"/>
                    <w:szCs w:val="20"/>
                  </w:rPr>
                  <w:t>NOME</w:t>
                </w:r>
              </w:smartTag>
              <w:r>
                <w:rPr>
                  <w:rFonts w:ascii="Arial" w:hAnsi="Arial" w:cs="Arial"/>
                  <w:sz w:val="20"/>
                  <w:szCs w:val="20"/>
                </w:rPr>
                <w:t xml:space="preserve">, </w:t>
              </w:r>
              <w:smartTag w:uri="urn:schemas-microsoft-com:office:smarttags" w:element="State">
                <w:r>
                  <w:rPr>
                    <w:rFonts w:ascii="Arial" w:hAnsi="Arial" w:cs="Arial"/>
                    <w:sz w:val="20"/>
                    <w:szCs w:val="20"/>
                  </w:rPr>
                  <w:t>AK</w:t>
                </w:r>
              </w:smartTag>
            </w:smartTag>
          </w:p>
        </w:tc>
        <w:tc>
          <w:tcPr>
            <w:tcW w:w="643" w:type="dxa"/>
            <w:tcBorders>
              <w:top w:val="nil"/>
              <w:left w:val="nil"/>
              <w:bottom w:val="single" w:sz="4" w:space="0" w:color="auto"/>
              <w:right w:val="single" w:sz="4" w:space="0" w:color="auto"/>
            </w:tcBorders>
            <w:noWrap/>
            <w:vAlign w:val="center"/>
          </w:tcPr>
          <w:p w14:paraId="5434BB27" w14:textId="77777777" w:rsidR="00793C88" w:rsidRDefault="00793C88" w:rsidP="008738F2">
            <w:pPr>
              <w:spacing w:after="60"/>
              <w:jc w:val="right"/>
              <w:rPr>
                <w:rFonts w:ascii="Arial" w:hAnsi="Arial" w:cs="Arial"/>
                <w:sz w:val="20"/>
                <w:szCs w:val="20"/>
              </w:rPr>
            </w:pPr>
            <w:r>
              <w:rPr>
                <w:rFonts w:ascii="Arial" w:hAnsi="Arial" w:cs="Arial"/>
                <w:sz w:val="20"/>
                <w:szCs w:val="20"/>
              </w:rPr>
              <w:t>38</w:t>
            </w:r>
          </w:p>
        </w:tc>
        <w:tc>
          <w:tcPr>
            <w:tcW w:w="594" w:type="dxa"/>
            <w:tcBorders>
              <w:top w:val="nil"/>
              <w:left w:val="nil"/>
              <w:bottom w:val="single" w:sz="4" w:space="0" w:color="auto"/>
              <w:right w:val="single" w:sz="4" w:space="0" w:color="auto"/>
            </w:tcBorders>
            <w:noWrap/>
            <w:vAlign w:val="center"/>
          </w:tcPr>
          <w:p w14:paraId="05FCAEF3" w14:textId="77777777" w:rsidR="00793C88" w:rsidRDefault="00793C88" w:rsidP="008738F2">
            <w:pPr>
              <w:spacing w:after="60"/>
              <w:jc w:val="right"/>
              <w:rPr>
                <w:rFonts w:ascii="Arial" w:hAnsi="Arial" w:cs="Arial"/>
                <w:sz w:val="20"/>
                <w:szCs w:val="20"/>
              </w:rPr>
            </w:pPr>
            <w:r>
              <w:rPr>
                <w:rFonts w:ascii="Arial" w:hAnsi="Arial" w:cs="Arial"/>
                <w:sz w:val="20"/>
                <w:szCs w:val="20"/>
              </w:rPr>
              <w:t>31</w:t>
            </w:r>
          </w:p>
        </w:tc>
        <w:tc>
          <w:tcPr>
            <w:tcW w:w="610" w:type="dxa"/>
            <w:tcBorders>
              <w:top w:val="nil"/>
              <w:left w:val="nil"/>
              <w:bottom w:val="single" w:sz="4" w:space="0" w:color="auto"/>
              <w:right w:val="single" w:sz="4" w:space="0" w:color="auto"/>
            </w:tcBorders>
            <w:noWrap/>
            <w:vAlign w:val="center"/>
          </w:tcPr>
          <w:p w14:paraId="49D04358" w14:textId="77777777" w:rsidR="00793C88" w:rsidRDefault="00793C88" w:rsidP="008738F2">
            <w:pPr>
              <w:spacing w:after="60"/>
              <w:jc w:val="right"/>
              <w:rPr>
                <w:rFonts w:ascii="Arial" w:hAnsi="Arial" w:cs="Arial"/>
                <w:sz w:val="20"/>
                <w:szCs w:val="20"/>
              </w:rPr>
            </w:pPr>
            <w:r>
              <w:rPr>
                <w:rFonts w:ascii="Arial" w:hAnsi="Arial" w:cs="Arial"/>
                <w:sz w:val="20"/>
                <w:szCs w:val="20"/>
              </w:rPr>
              <w:t>28</w:t>
            </w:r>
          </w:p>
        </w:tc>
        <w:tc>
          <w:tcPr>
            <w:tcW w:w="691" w:type="dxa"/>
            <w:tcBorders>
              <w:top w:val="nil"/>
              <w:left w:val="nil"/>
              <w:bottom w:val="single" w:sz="4" w:space="0" w:color="auto"/>
              <w:right w:val="single" w:sz="4" w:space="0" w:color="auto"/>
            </w:tcBorders>
            <w:noWrap/>
            <w:vAlign w:val="center"/>
          </w:tcPr>
          <w:p w14:paraId="55B4611B" w14:textId="77777777" w:rsidR="00793C88" w:rsidRDefault="00793C88" w:rsidP="008738F2">
            <w:pPr>
              <w:spacing w:after="60"/>
              <w:jc w:val="right"/>
              <w:rPr>
                <w:rFonts w:ascii="Arial" w:hAnsi="Arial" w:cs="Arial"/>
                <w:sz w:val="20"/>
                <w:szCs w:val="20"/>
              </w:rPr>
            </w:pPr>
            <w:r>
              <w:rPr>
                <w:rFonts w:ascii="Arial" w:hAnsi="Arial" w:cs="Arial"/>
                <w:sz w:val="20"/>
                <w:szCs w:val="20"/>
              </w:rPr>
              <w:t>31</w:t>
            </w:r>
          </w:p>
        </w:tc>
        <w:tc>
          <w:tcPr>
            <w:tcW w:w="643" w:type="dxa"/>
            <w:tcBorders>
              <w:top w:val="nil"/>
              <w:left w:val="nil"/>
              <w:bottom w:val="single" w:sz="4" w:space="0" w:color="auto"/>
              <w:right w:val="single" w:sz="4" w:space="0" w:color="auto"/>
            </w:tcBorders>
            <w:noWrap/>
            <w:vAlign w:val="center"/>
          </w:tcPr>
          <w:p w14:paraId="03FE365C" w14:textId="77777777" w:rsidR="00793C88" w:rsidRDefault="00793C88" w:rsidP="008738F2">
            <w:pPr>
              <w:spacing w:after="60"/>
              <w:jc w:val="right"/>
              <w:rPr>
                <w:rFonts w:ascii="Arial" w:hAnsi="Arial" w:cs="Arial"/>
                <w:sz w:val="20"/>
                <w:szCs w:val="20"/>
              </w:rPr>
            </w:pPr>
            <w:r>
              <w:rPr>
                <w:rFonts w:ascii="Arial" w:hAnsi="Arial" w:cs="Arial"/>
                <w:sz w:val="20"/>
                <w:szCs w:val="20"/>
              </w:rPr>
              <w:t>29</w:t>
            </w:r>
          </w:p>
        </w:tc>
        <w:tc>
          <w:tcPr>
            <w:tcW w:w="675" w:type="dxa"/>
            <w:tcBorders>
              <w:top w:val="nil"/>
              <w:left w:val="nil"/>
              <w:bottom w:val="single" w:sz="4" w:space="0" w:color="auto"/>
              <w:right w:val="single" w:sz="4" w:space="0" w:color="auto"/>
            </w:tcBorders>
            <w:noWrap/>
            <w:vAlign w:val="center"/>
          </w:tcPr>
          <w:p w14:paraId="4A7809F7" w14:textId="77777777" w:rsidR="00793C88" w:rsidRDefault="00793C88" w:rsidP="008738F2">
            <w:pPr>
              <w:spacing w:after="60"/>
              <w:jc w:val="right"/>
              <w:rPr>
                <w:rFonts w:ascii="Arial" w:hAnsi="Arial" w:cs="Arial"/>
                <w:sz w:val="20"/>
                <w:szCs w:val="20"/>
              </w:rPr>
            </w:pPr>
            <w:r>
              <w:rPr>
                <w:rFonts w:ascii="Arial" w:hAnsi="Arial" w:cs="Arial"/>
                <w:sz w:val="20"/>
                <w:szCs w:val="20"/>
              </w:rPr>
              <w:t>19</w:t>
            </w:r>
          </w:p>
        </w:tc>
        <w:tc>
          <w:tcPr>
            <w:tcW w:w="610" w:type="dxa"/>
            <w:tcBorders>
              <w:top w:val="nil"/>
              <w:left w:val="nil"/>
              <w:bottom w:val="single" w:sz="4" w:space="0" w:color="auto"/>
              <w:right w:val="single" w:sz="4" w:space="0" w:color="auto"/>
            </w:tcBorders>
            <w:noWrap/>
            <w:vAlign w:val="center"/>
          </w:tcPr>
          <w:p w14:paraId="7A231873" w14:textId="77777777" w:rsidR="00793C88" w:rsidRDefault="00793C88" w:rsidP="008738F2">
            <w:pPr>
              <w:spacing w:after="60"/>
              <w:jc w:val="right"/>
              <w:rPr>
                <w:rFonts w:ascii="Arial" w:hAnsi="Arial" w:cs="Arial"/>
                <w:sz w:val="20"/>
                <w:szCs w:val="20"/>
              </w:rPr>
            </w:pPr>
            <w:r>
              <w:rPr>
                <w:rFonts w:ascii="Arial" w:hAnsi="Arial" w:cs="Arial"/>
                <w:sz w:val="20"/>
                <w:szCs w:val="20"/>
              </w:rPr>
              <w:t>3</w:t>
            </w:r>
          </w:p>
        </w:tc>
        <w:tc>
          <w:tcPr>
            <w:tcW w:w="572" w:type="dxa"/>
            <w:tcBorders>
              <w:top w:val="nil"/>
              <w:left w:val="nil"/>
              <w:bottom w:val="single" w:sz="4" w:space="0" w:color="auto"/>
              <w:right w:val="single" w:sz="4" w:space="0" w:color="auto"/>
            </w:tcBorders>
            <w:noWrap/>
            <w:vAlign w:val="center"/>
          </w:tcPr>
          <w:p w14:paraId="2F6DFE2C" w14:textId="77777777" w:rsidR="00793C88" w:rsidRDefault="00793C88" w:rsidP="008738F2">
            <w:pPr>
              <w:spacing w:after="60"/>
              <w:jc w:val="right"/>
              <w:rPr>
                <w:rFonts w:ascii="Arial" w:hAnsi="Arial" w:cs="Arial"/>
                <w:sz w:val="20"/>
                <w:szCs w:val="20"/>
              </w:rPr>
            </w:pPr>
            <w:r>
              <w:rPr>
                <w:rFonts w:ascii="Arial" w:hAnsi="Arial" w:cs="Arial"/>
                <w:sz w:val="20"/>
                <w:szCs w:val="20"/>
              </w:rPr>
              <w:t>*</w:t>
            </w:r>
          </w:p>
        </w:tc>
        <w:tc>
          <w:tcPr>
            <w:tcW w:w="675" w:type="dxa"/>
            <w:tcBorders>
              <w:top w:val="nil"/>
              <w:left w:val="nil"/>
              <w:bottom w:val="single" w:sz="4" w:space="0" w:color="auto"/>
              <w:right w:val="single" w:sz="4" w:space="0" w:color="auto"/>
            </w:tcBorders>
            <w:noWrap/>
            <w:vAlign w:val="center"/>
          </w:tcPr>
          <w:p w14:paraId="29BCA458" w14:textId="77777777" w:rsidR="00793C88" w:rsidRDefault="00793C88" w:rsidP="008738F2">
            <w:pPr>
              <w:spacing w:after="60"/>
              <w:jc w:val="right"/>
              <w:rPr>
                <w:rFonts w:ascii="Arial" w:hAnsi="Arial" w:cs="Arial"/>
                <w:sz w:val="20"/>
                <w:szCs w:val="20"/>
              </w:rPr>
            </w:pPr>
            <w:r>
              <w:rPr>
                <w:rFonts w:ascii="Arial" w:hAnsi="Arial" w:cs="Arial"/>
                <w:sz w:val="20"/>
                <w:szCs w:val="20"/>
              </w:rPr>
              <w:t>1</w:t>
            </w:r>
          </w:p>
        </w:tc>
        <w:tc>
          <w:tcPr>
            <w:tcW w:w="627" w:type="dxa"/>
            <w:tcBorders>
              <w:top w:val="nil"/>
              <w:left w:val="nil"/>
              <w:bottom w:val="single" w:sz="4" w:space="0" w:color="auto"/>
              <w:right w:val="single" w:sz="4" w:space="0" w:color="auto"/>
            </w:tcBorders>
            <w:noWrap/>
            <w:vAlign w:val="center"/>
          </w:tcPr>
          <w:p w14:paraId="44F98CF3" w14:textId="77777777" w:rsidR="00793C88" w:rsidRDefault="00793C88" w:rsidP="008738F2">
            <w:pPr>
              <w:spacing w:after="60"/>
              <w:jc w:val="right"/>
              <w:rPr>
                <w:rFonts w:ascii="Arial" w:hAnsi="Arial" w:cs="Arial"/>
                <w:sz w:val="20"/>
                <w:szCs w:val="20"/>
              </w:rPr>
            </w:pPr>
            <w:r>
              <w:rPr>
                <w:rFonts w:ascii="Arial" w:hAnsi="Arial" w:cs="Arial"/>
                <w:sz w:val="20"/>
                <w:szCs w:val="20"/>
              </w:rPr>
              <w:t>10</w:t>
            </w:r>
          </w:p>
        </w:tc>
        <w:tc>
          <w:tcPr>
            <w:tcW w:w="659" w:type="dxa"/>
            <w:tcBorders>
              <w:top w:val="nil"/>
              <w:left w:val="nil"/>
              <w:bottom w:val="single" w:sz="4" w:space="0" w:color="auto"/>
              <w:right w:val="single" w:sz="4" w:space="0" w:color="auto"/>
            </w:tcBorders>
            <w:noWrap/>
            <w:vAlign w:val="center"/>
          </w:tcPr>
          <w:p w14:paraId="34A11CF8" w14:textId="77777777" w:rsidR="00793C88" w:rsidRDefault="00793C88" w:rsidP="008738F2">
            <w:pPr>
              <w:spacing w:after="60"/>
              <w:jc w:val="right"/>
              <w:rPr>
                <w:rFonts w:ascii="Arial" w:hAnsi="Arial" w:cs="Arial"/>
                <w:sz w:val="20"/>
                <w:szCs w:val="20"/>
              </w:rPr>
            </w:pPr>
            <w:r>
              <w:rPr>
                <w:rFonts w:ascii="Arial" w:hAnsi="Arial" w:cs="Arial"/>
                <w:sz w:val="20"/>
                <w:szCs w:val="20"/>
              </w:rPr>
              <w:t>25</w:t>
            </w:r>
          </w:p>
        </w:tc>
        <w:tc>
          <w:tcPr>
            <w:tcW w:w="675" w:type="dxa"/>
            <w:tcBorders>
              <w:top w:val="nil"/>
              <w:left w:val="nil"/>
              <w:bottom w:val="single" w:sz="4" w:space="0" w:color="auto"/>
              <w:right w:val="single" w:sz="4" w:space="0" w:color="auto"/>
            </w:tcBorders>
            <w:noWrap/>
            <w:vAlign w:val="center"/>
          </w:tcPr>
          <w:p w14:paraId="23E13601" w14:textId="77777777" w:rsidR="00793C88" w:rsidRDefault="00793C88" w:rsidP="008738F2">
            <w:pPr>
              <w:spacing w:after="60"/>
              <w:jc w:val="right"/>
              <w:rPr>
                <w:rFonts w:ascii="Arial" w:hAnsi="Arial" w:cs="Arial"/>
                <w:sz w:val="20"/>
                <w:szCs w:val="20"/>
              </w:rPr>
            </w:pPr>
            <w:r>
              <w:rPr>
                <w:rFonts w:ascii="Arial" w:hAnsi="Arial" w:cs="Arial"/>
                <w:sz w:val="20"/>
                <w:szCs w:val="20"/>
              </w:rPr>
              <w:t>29</w:t>
            </w:r>
          </w:p>
        </w:tc>
        <w:tc>
          <w:tcPr>
            <w:tcW w:w="659" w:type="dxa"/>
            <w:tcBorders>
              <w:top w:val="nil"/>
              <w:left w:val="nil"/>
              <w:bottom w:val="single" w:sz="4" w:space="0" w:color="auto"/>
              <w:right w:val="single" w:sz="4" w:space="0" w:color="auto"/>
            </w:tcBorders>
            <w:noWrap/>
            <w:vAlign w:val="center"/>
          </w:tcPr>
          <w:p w14:paraId="11E18B06" w14:textId="77777777" w:rsidR="00793C88" w:rsidRDefault="00793C88" w:rsidP="008738F2">
            <w:pPr>
              <w:spacing w:after="60"/>
              <w:jc w:val="right"/>
              <w:rPr>
                <w:rFonts w:ascii="Arial" w:hAnsi="Arial" w:cs="Arial"/>
                <w:sz w:val="20"/>
                <w:szCs w:val="20"/>
              </w:rPr>
            </w:pPr>
            <w:r>
              <w:rPr>
                <w:rFonts w:ascii="Arial" w:hAnsi="Arial" w:cs="Arial"/>
                <w:sz w:val="20"/>
                <w:szCs w:val="20"/>
              </w:rPr>
              <w:t>31</w:t>
            </w:r>
          </w:p>
        </w:tc>
        <w:tc>
          <w:tcPr>
            <w:tcW w:w="659" w:type="dxa"/>
            <w:tcBorders>
              <w:top w:val="nil"/>
              <w:left w:val="nil"/>
              <w:bottom w:val="single" w:sz="4" w:space="0" w:color="auto"/>
              <w:right w:val="single" w:sz="4" w:space="0" w:color="auto"/>
            </w:tcBorders>
            <w:noWrap/>
            <w:vAlign w:val="center"/>
          </w:tcPr>
          <w:p w14:paraId="149F23AC" w14:textId="77777777" w:rsidR="00793C88" w:rsidRDefault="00793C88" w:rsidP="008738F2">
            <w:pPr>
              <w:spacing w:after="60"/>
              <w:jc w:val="right"/>
              <w:rPr>
                <w:rFonts w:ascii="Arial" w:hAnsi="Arial" w:cs="Arial"/>
                <w:sz w:val="20"/>
                <w:szCs w:val="20"/>
              </w:rPr>
            </w:pPr>
            <w:r>
              <w:rPr>
                <w:rFonts w:ascii="Arial" w:hAnsi="Arial" w:cs="Arial"/>
                <w:sz w:val="20"/>
                <w:szCs w:val="20"/>
              </w:rPr>
              <w:t>237</w:t>
            </w:r>
          </w:p>
        </w:tc>
      </w:tr>
      <w:tr w:rsidR="00793C88" w14:paraId="138A0FBE" w14:textId="77777777" w:rsidTr="006B524B">
        <w:trPr>
          <w:trHeight w:val="288"/>
          <w:jc w:val="center"/>
        </w:trPr>
        <w:tc>
          <w:tcPr>
            <w:tcW w:w="3100" w:type="dxa"/>
            <w:tcBorders>
              <w:top w:val="nil"/>
              <w:left w:val="single" w:sz="4" w:space="0" w:color="auto"/>
              <w:bottom w:val="single" w:sz="4" w:space="0" w:color="auto"/>
              <w:right w:val="single" w:sz="4" w:space="0" w:color="auto"/>
            </w:tcBorders>
            <w:noWrap/>
            <w:vAlign w:val="center"/>
          </w:tcPr>
          <w:p w14:paraId="7BB9BEB4" w14:textId="77777777" w:rsidR="00793C88" w:rsidRDefault="00793C88" w:rsidP="008738F2">
            <w:pPr>
              <w:spacing w:after="60"/>
              <w:rPr>
                <w:rFonts w:ascii="Arial" w:hAnsi="Arial" w:cs="Arial"/>
                <w:sz w:val="20"/>
                <w:szCs w:val="20"/>
              </w:rPr>
            </w:pPr>
            <w:smartTag w:uri="urn:schemas-microsoft-com:office:smarttags" w:element="place">
              <w:smartTag w:uri="urn:schemas-microsoft-com:office:smarttags" w:element="City">
                <w:r>
                  <w:rPr>
                    <w:rFonts w:ascii="Arial" w:hAnsi="Arial" w:cs="Arial"/>
                    <w:sz w:val="20"/>
                    <w:szCs w:val="20"/>
                  </w:rPr>
                  <w:t>ST. PAUL ISLAND</w:t>
                </w:r>
              </w:smartTag>
              <w:r>
                <w:rPr>
                  <w:rFonts w:ascii="Arial" w:hAnsi="Arial" w:cs="Arial"/>
                  <w:sz w:val="20"/>
                  <w:szCs w:val="20"/>
                </w:rPr>
                <w:t xml:space="preserve">, </w:t>
              </w:r>
              <w:smartTag w:uri="urn:schemas-microsoft-com:office:smarttags" w:element="State">
                <w:r>
                  <w:rPr>
                    <w:rFonts w:ascii="Arial" w:hAnsi="Arial" w:cs="Arial"/>
                    <w:sz w:val="20"/>
                    <w:szCs w:val="20"/>
                  </w:rPr>
                  <w:t>AK</w:t>
                </w:r>
              </w:smartTag>
            </w:smartTag>
          </w:p>
        </w:tc>
        <w:tc>
          <w:tcPr>
            <w:tcW w:w="643" w:type="dxa"/>
            <w:tcBorders>
              <w:top w:val="nil"/>
              <w:left w:val="nil"/>
              <w:bottom w:val="single" w:sz="4" w:space="0" w:color="auto"/>
              <w:right w:val="single" w:sz="4" w:space="0" w:color="auto"/>
            </w:tcBorders>
            <w:noWrap/>
            <w:vAlign w:val="center"/>
          </w:tcPr>
          <w:p w14:paraId="1FD604B1" w14:textId="77777777" w:rsidR="00793C88" w:rsidRDefault="00793C88" w:rsidP="008738F2">
            <w:pPr>
              <w:spacing w:after="60"/>
              <w:jc w:val="right"/>
              <w:rPr>
                <w:rFonts w:ascii="Arial" w:hAnsi="Arial" w:cs="Arial"/>
                <w:sz w:val="20"/>
                <w:szCs w:val="20"/>
              </w:rPr>
            </w:pPr>
            <w:r>
              <w:rPr>
                <w:rFonts w:ascii="Arial" w:hAnsi="Arial" w:cs="Arial"/>
                <w:sz w:val="20"/>
                <w:szCs w:val="20"/>
              </w:rPr>
              <w:t>87</w:t>
            </w:r>
          </w:p>
        </w:tc>
        <w:tc>
          <w:tcPr>
            <w:tcW w:w="594" w:type="dxa"/>
            <w:tcBorders>
              <w:top w:val="nil"/>
              <w:left w:val="nil"/>
              <w:bottom w:val="single" w:sz="4" w:space="0" w:color="auto"/>
              <w:right w:val="single" w:sz="4" w:space="0" w:color="auto"/>
            </w:tcBorders>
            <w:noWrap/>
            <w:vAlign w:val="center"/>
          </w:tcPr>
          <w:p w14:paraId="707EB32B" w14:textId="77777777" w:rsidR="00793C88" w:rsidRDefault="00793C88" w:rsidP="008738F2">
            <w:pPr>
              <w:spacing w:after="60"/>
              <w:jc w:val="right"/>
              <w:rPr>
                <w:rFonts w:ascii="Arial" w:hAnsi="Arial" w:cs="Arial"/>
                <w:sz w:val="20"/>
                <w:szCs w:val="20"/>
              </w:rPr>
            </w:pPr>
            <w:r>
              <w:rPr>
                <w:rFonts w:ascii="Arial" w:hAnsi="Arial" w:cs="Arial"/>
                <w:sz w:val="20"/>
                <w:szCs w:val="20"/>
              </w:rPr>
              <w:t>26</w:t>
            </w:r>
          </w:p>
        </w:tc>
        <w:tc>
          <w:tcPr>
            <w:tcW w:w="610" w:type="dxa"/>
            <w:tcBorders>
              <w:top w:val="nil"/>
              <w:left w:val="nil"/>
              <w:bottom w:val="single" w:sz="4" w:space="0" w:color="auto"/>
              <w:right w:val="single" w:sz="4" w:space="0" w:color="auto"/>
            </w:tcBorders>
            <w:noWrap/>
            <w:vAlign w:val="center"/>
          </w:tcPr>
          <w:p w14:paraId="47AC73A7" w14:textId="77777777" w:rsidR="00793C88" w:rsidRDefault="00793C88" w:rsidP="008738F2">
            <w:pPr>
              <w:spacing w:after="60"/>
              <w:jc w:val="right"/>
              <w:rPr>
                <w:rFonts w:ascii="Arial" w:hAnsi="Arial" w:cs="Arial"/>
                <w:sz w:val="20"/>
                <w:szCs w:val="20"/>
              </w:rPr>
            </w:pPr>
            <w:r>
              <w:rPr>
                <w:rFonts w:ascii="Arial" w:hAnsi="Arial" w:cs="Arial"/>
                <w:sz w:val="20"/>
                <w:szCs w:val="20"/>
              </w:rPr>
              <w:t>26</w:t>
            </w:r>
          </w:p>
        </w:tc>
        <w:tc>
          <w:tcPr>
            <w:tcW w:w="691" w:type="dxa"/>
            <w:tcBorders>
              <w:top w:val="nil"/>
              <w:left w:val="nil"/>
              <w:bottom w:val="single" w:sz="4" w:space="0" w:color="auto"/>
              <w:right w:val="single" w:sz="4" w:space="0" w:color="auto"/>
            </w:tcBorders>
            <w:noWrap/>
            <w:vAlign w:val="center"/>
          </w:tcPr>
          <w:p w14:paraId="3DDDB166" w14:textId="77777777" w:rsidR="00793C88" w:rsidRDefault="00793C88" w:rsidP="008738F2">
            <w:pPr>
              <w:spacing w:after="60"/>
              <w:jc w:val="right"/>
              <w:rPr>
                <w:rFonts w:ascii="Arial" w:hAnsi="Arial" w:cs="Arial"/>
                <w:sz w:val="20"/>
                <w:szCs w:val="20"/>
              </w:rPr>
            </w:pPr>
            <w:r>
              <w:rPr>
                <w:rFonts w:ascii="Arial" w:hAnsi="Arial" w:cs="Arial"/>
                <w:sz w:val="20"/>
                <w:szCs w:val="20"/>
              </w:rPr>
              <w:t>29</w:t>
            </w:r>
          </w:p>
        </w:tc>
        <w:tc>
          <w:tcPr>
            <w:tcW w:w="643" w:type="dxa"/>
            <w:tcBorders>
              <w:top w:val="nil"/>
              <w:left w:val="nil"/>
              <w:bottom w:val="single" w:sz="4" w:space="0" w:color="auto"/>
              <w:right w:val="single" w:sz="4" w:space="0" w:color="auto"/>
            </w:tcBorders>
            <w:noWrap/>
            <w:vAlign w:val="center"/>
          </w:tcPr>
          <w:p w14:paraId="7CEB66D3" w14:textId="77777777" w:rsidR="00793C88" w:rsidRDefault="00793C88" w:rsidP="008738F2">
            <w:pPr>
              <w:spacing w:after="60"/>
              <w:jc w:val="right"/>
              <w:rPr>
                <w:rFonts w:ascii="Arial" w:hAnsi="Arial" w:cs="Arial"/>
                <w:sz w:val="20"/>
                <w:szCs w:val="20"/>
              </w:rPr>
            </w:pPr>
            <w:r>
              <w:rPr>
                <w:rFonts w:ascii="Arial" w:hAnsi="Arial" w:cs="Arial"/>
                <w:sz w:val="20"/>
                <w:szCs w:val="20"/>
              </w:rPr>
              <w:t>27</w:t>
            </w:r>
          </w:p>
        </w:tc>
        <w:tc>
          <w:tcPr>
            <w:tcW w:w="675" w:type="dxa"/>
            <w:tcBorders>
              <w:top w:val="nil"/>
              <w:left w:val="nil"/>
              <w:bottom w:val="single" w:sz="4" w:space="0" w:color="auto"/>
              <w:right w:val="single" w:sz="4" w:space="0" w:color="auto"/>
            </w:tcBorders>
            <w:noWrap/>
            <w:vAlign w:val="center"/>
          </w:tcPr>
          <w:p w14:paraId="6DD4A582" w14:textId="77777777" w:rsidR="00793C88" w:rsidRDefault="00793C88" w:rsidP="008738F2">
            <w:pPr>
              <w:spacing w:after="60"/>
              <w:jc w:val="right"/>
              <w:rPr>
                <w:rFonts w:ascii="Arial" w:hAnsi="Arial" w:cs="Arial"/>
                <w:sz w:val="20"/>
                <w:szCs w:val="20"/>
              </w:rPr>
            </w:pPr>
            <w:r>
              <w:rPr>
                <w:rFonts w:ascii="Arial" w:hAnsi="Arial" w:cs="Arial"/>
                <w:sz w:val="20"/>
                <w:szCs w:val="20"/>
              </w:rPr>
              <w:t>18</w:t>
            </w:r>
          </w:p>
        </w:tc>
        <w:tc>
          <w:tcPr>
            <w:tcW w:w="610" w:type="dxa"/>
            <w:tcBorders>
              <w:top w:val="nil"/>
              <w:left w:val="nil"/>
              <w:bottom w:val="single" w:sz="4" w:space="0" w:color="auto"/>
              <w:right w:val="single" w:sz="4" w:space="0" w:color="auto"/>
            </w:tcBorders>
            <w:noWrap/>
            <w:vAlign w:val="center"/>
          </w:tcPr>
          <w:p w14:paraId="11DE6BFC" w14:textId="77777777" w:rsidR="00793C88" w:rsidRDefault="00793C88" w:rsidP="008738F2">
            <w:pPr>
              <w:spacing w:after="60"/>
              <w:jc w:val="right"/>
              <w:rPr>
                <w:rFonts w:ascii="Arial" w:hAnsi="Arial" w:cs="Arial"/>
                <w:sz w:val="20"/>
                <w:szCs w:val="20"/>
              </w:rPr>
            </w:pPr>
            <w:r>
              <w:rPr>
                <w:rFonts w:ascii="Arial" w:hAnsi="Arial" w:cs="Arial"/>
                <w:sz w:val="20"/>
                <w:szCs w:val="20"/>
              </w:rPr>
              <w:t>3</w:t>
            </w:r>
          </w:p>
        </w:tc>
        <w:tc>
          <w:tcPr>
            <w:tcW w:w="572" w:type="dxa"/>
            <w:tcBorders>
              <w:top w:val="nil"/>
              <w:left w:val="nil"/>
              <w:bottom w:val="single" w:sz="4" w:space="0" w:color="auto"/>
              <w:right w:val="single" w:sz="4" w:space="0" w:color="auto"/>
            </w:tcBorders>
            <w:noWrap/>
            <w:vAlign w:val="center"/>
          </w:tcPr>
          <w:p w14:paraId="1CE14A7C" w14:textId="77777777" w:rsidR="00793C88" w:rsidRDefault="00793C88" w:rsidP="008738F2">
            <w:pPr>
              <w:spacing w:after="60"/>
              <w:jc w:val="right"/>
              <w:rPr>
                <w:rFonts w:ascii="Arial" w:hAnsi="Arial" w:cs="Arial"/>
                <w:sz w:val="20"/>
                <w:szCs w:val="20"/>
              </w:rPr>
            </w:pPr>
            <w:r>
              <w:rPr>
                <w:rFonts w:ascii="Arial" w:hAnsi="Arial" w:cs="Arial"/>
                <w:sz w:val="20"/>
                <w:szCs w:val="20"/>
              </w:rPr>
              <w:t>*</w:t>
            </w:r>
          </w:p>
        </w:tc>
        <w:tc>
          <w:tcPr>
            <w:tcW w:w="675" w:type="dxa"/>
            <w:tcBorders>
              <w:top w:val="nil"/>
              <w:left w:val="nil"/>
              <w:bottom w:val="single" w:sz="4" w:space="0" w:color="auto"/>
              <w:right w:val="single" w:sz="4" w:space="0" w:color="auto"/>
            </w:tcBorders>
            <w:noWrap/>
            <w:vAlign w:val="center"/>
          </w:tcPr>
          <w:p w14:paraId="09F349C5" w14:textId="77777777" w:rsidR="00793C88" w:rsidRDefault="00793C88" w:rsidP="008738F2">
            <w:pPr>
              <w:spacing w:after="60"/>
              <w:jc w:val="right"/>
              <w:rPr>
                <w:rFonts w:ascii="Arial" w:hAnsi="Arial" w:cs="Arial"/>
                <w:sz w:val="20"/>
                <w:szCs w:val="20"/>
              </w:rPr>
            </w:pPr>
            <w:r>
              <w:rPr>
                <w:rFonts w:ascii="Arial" w:hAnsi="Arial" w:cs="Arial"/>
                <w:sz w:val="20"/>
                <w:szCs w:val="20"/>
              </w:rPr>
              <w:t>*</w:t>
            </w:r>
          </w:p>
        </w:tc>
        <w:tc>
          <w:tcPr>
            <w:tcW w:w="627" w:type="dxa"/>
            <w:tcBorders>
              <w:top w:val="nil"/>
              <w:left w:val="nil"/>
              <w:bottom w:val="single" w:sz="4" w:space="0" w:color="auto"/>
              <w:right w:val="single" w:sz="4" w:space="0" w:color="auto"/>
            </w:tcBorders>
            <w:noWrap/>
            <w:vAlign w:val="center"/>
          </w:tcPr>
          <w:p w14:paraId="5561D26C" w14:textId="77777777" w:rsidR="00793C88" w:rsidRDefault="00793C88" w:rsidP="008738F2">
            <w:pPr>
              <w:spacing w:after="60"/>
              <w:jc w:val="right"/>
              <w:rPr>
                <w:rFonts w:ascii="Arial" w:hAnsi="Arial" w:cs="Arial"/>
                <w:sz w:val="20"/>
                <w:szCs w:val="20"/>
              </w:rPr>
            </w:pPr>
            <w:r>
              <w:rPr>
                <w:rFonts w:ascii="Arial" w:hAnsi="Arial" w:cs="Arial"/>
                <w:sz w:val="20"/>
                <w:szCs w:val="20"/>
              </w:rPr>
              <w:t>2</w:t>
            </w:r>
          </w:p>
        </w:tc>
        <w:tc>
          <w:tcPr>
            <w:tcW w:w="659" w:type="dxa"/>
            <w:tcBorders>
              <w:top w:val="nil"/>
              <w:left w:val="nil"/>
              <w:bottom w:val="single" w:sz="4" w:space="0" w:color="auto"/>
              <w:right w:val="single" w:sz="4" w:space="0" w:color="auto"/>
            </w:tcBorders>
            <w:noWrap/>
            <w:vAlign w:val="center"/>
          </w:tcPr>
          <w:p w14:paraId="24D25A7E" w14:textId="77777777" w:rsidR="00793C88" w:rsidRDefault="00793C88" w:rsidP="008738F2">
            <w:pPr>
              <w:spacing w:after="60"/>
              <w:jc w:val="right"/>
              <w:rPr>
                <w:rFonts w:ascii="Arial" w:hAnsi="Arial" w:cs="Arial"/>
                <w:sz w:val="20"/>
                <w:szCs w:val="20"/>
              </w:rPr>
            </w:pPr>
            <w:r>
              <w:rPr>
                <w:rFonts w:ascii="Arial" w:hAnsi="Arial" w:cs="Arial"/>
                <w:sz w:val="20"/>
                <w:szCs w:val="20"/>
              </w:rPr>
              <w:t>11</w:t>
            </w:r>
          </w:p>
        </w:tc>
        <w:tc>
          <w:tcPr>
            <w:tcW w:w="675" w:type="dxa"/>
            <w:tcBorders>
              <w:top w:val="nil"/>
              <w:left w:val="nil"/>
              <w:bottom w:val="single" w:sz="4" w:space="0" w:color="auto"/>
              <w:right w:val="single" w:sz="4" w:space="0" w:color="auto"/>
            </w:tcBorders>
            <w:noWrap/>
            <w:vAlign w:val="center"/>
          </w:tcPr>
          <w:p w14:paraId="34E664C6" w14:textId="77777777" w:rsidR="00793C88" w:rsidRDefault="00793C88" w:rsidP="008738F2">
            <w:pPr>
              <w:spacing w:after="60"/>
              <w:jc w:val="right"/>
              <w:rPr>
                <w:rFonts w:ascii="Arial" w:hAnsi="Arial" w:cs="Arial"/>
                <w:sz w:val="20"/>
                <w:szCs w:val="20"/>
              </w:rPr>
            </w:pPr>
            <w:r>
              <w:rPr>
                <w:rFonts w:ascii="Arial" w:hAnsi="Arial" w:cs="Arial"/>
                <w:sz w:val="20"/>
                <w:szCs w:val="20"/>
              </w:rPr>
              <w:t>19</w:t>
            </w:r>
          </w:p>
        </w:tc>
        <w:tc>
          <w:tcPr>
            <w:tcW w:w="659" w:type="dxa"/>
            <w:tcBorders>
              <w:top w:val="nil"/>
              <w:left w:val="nil"/>
              <w:bottom w:val="single" w:sz="4" w:space="0" w:color="auto"/>
              <w:right w:val="single" w:sz="4" w:space="0" w:color="auto"/>
            </w:tcBorders>
            <w:noWrap/>
            <w:vAlign w:val="center"/>
          </w:tcPr>
          <w:p w14:paraId="05B4C0F9" w14:textId="77777777" w:rsidR="00793C88" w:rsidRDefault="00793C88" w:rsidP="008738F2">
            <w:pPr>
              <w:spacing w:after="60"/>
              <w:jc w:val="right"/>
              <w:rPr>
                <w:rFonts w:ascii="Arial" w:hAnsi="Arial" w:cs="Arial"/>
                <w:sz w:val="20"/>
                <w:szCs w:val="20"/>
              </w:rPr>
            </w:pPr>
            <w:r>
              <w:rPr>
                <w:rFonts w:ascii="Arial" w:hAnsi="Arial" w:cs="Arial"/>
                <w:sz w:val="20"/>
                <w:szCs w:val="20"/>
              </w:rPr>
              <w:t>25</w:t>
            </w:r>
          </w:p>
        </w:tc>
        <w:tc>
          <w:tcPr>
            <w:tcW w:w="659" w:type="dxa"/>
            <w:tcBorders>
              <w:top w:val="nil"/>
              <w:left w:val="nil"/>
              <w:bottom w:val="single" w:sz="4" w:space="0" w:color="auto"/>
              <w:right w:val="single" w:sz="4" w:space="0" w:color="auto"/>
            </w:tcBorders>
            <w:noWrap/>
            <w:vAlign w:val="center"/>
          </w:tcPr>
          <w:p w14:paraId="025BB70D" w14:textId="77777777" w:rsidR="00793C88" w:rsidRDefault="00793C88" w:rsidP="008738F2">
            <w:pPr>
              <w:spacing w:after="60"/>
              <w:jc w:val="right"/>
              <w:rPr>
                <w:rFonts w:ascii="Arial" w:hAnsi="Arial" w:cs="Arial"/>
                <w:sz w:val="20"/>
                <w:szCs w:val="20"/>
              </w:rPr>
            </w:pPr>
            <w:r>
              <w:rPr>
                <w:rFonts w:ascii="Arial" w:hAnsi="Arial" w:cs="Arial"/>
                <w:sz w:val="20"/>
                <w:szCs w:val="20"/>
              </w:rPr>
              <w:t>186</w:t>
            </w:r>
          </w:p>
        </w:tc>
      </w:tr>
      <w:tr w:rsidR="00793C88" w14:paraId="0008ED2F" w14:textId="77777777" w:rsidTr="006B524B">
        <w:trPr>
          <w:trHeight w:val="288"/>
          <w:jc w:val="center"/>
        </w:trPr>
        <w:tc>
          <w:tcPr>
            <w:tcW w:w="3100" w:type="dxa"/>
            <w:tcBorders>
              <w:top w:val="nil"/>
              <w:left w:val="single" w:sz="4" w:space="0" w:color="auto"/>
              <w:bottom w:val="single" w:sz="4" w:space="0" w:color="auto"/>
              <w:right w:val="single" w:sz="4" w:space="0" w:color="auto"/>
            </w:tcBorders>
            <w:noWrap/>
            <w:vAlign w:val="center"/>
          </w:tcPr>
          <w:p w14:paraId="328AB156" w14:textId="77777777" w:rsidR="00793C88" w:rsidRDefault="00793C88" w:rsidP="008738F2">
            <w:pPr>
              <w:spacing w:after="60"/>
              <w:rPr>
                <w:rFonts w:ascii="Arial" w:hAnsi="Arial" w:cs="Arial"/>
                <w:sz w:val="20"/>
                <w:szCs w:val="20"/>
              </w:rPr>
            </w:pPr>
            <w:smartTag w:uri="urn:schemas-microsoft-com:office:smarttags" w:element="place">
              <w:smartTag w:uri="urn:schemas-microsoft-com:office:smarttags" w:element="City">
                <w:r>
                  <w:rPr>
                    <w:rFonts w:ascii="Arial" w:hAnsi="Arial" w:cs="Arial"/>
                    <w:sz w:val="20"/>
                    <w:szCs w:val="20"/>
                  </w:rPr>
                  <w:t>TALKEETNA</w:t>
                </w:r>
              </w:smartTag>
              <w:r>
                <w:rPr>
                  <w:rFonts w:ascii="Arial" w:hAnsi="Arial" w:cs="Arial"/>
                  <w:sz w:val="20"/>
                  <w:szCs w:val="20"/>
                </w:rPr>
                <w:t xml:space="preserve">, </w:t>
              </w:r>
              <w:smartTag w:uri="urn:schemas-microsoft-com:office:smarttags" w:element="State">
                <w:r>
                  <w:rPr>
                    <w:rFonts w:ascii="Arial" w:hAnsi="Arial" w:cs="Arial"/>
                    <w:sz w:val="20"/>
                    <w:szCs w:val="20"/>
                  </w:rPr>
                  <w:t>AK</w:t>
                </w:r>
              </w:smartTag>
            </w:smartTag>
          </w:p>
        </w:tc>
        <w:tc>
          <w:tcPr>
            <w:tcW w:w="643" w:type="dxa"/>
            <w:tcBorders>
              <w:top w:val="nil"/>
              <w:left w:val="nil"/>
              <w:bottom w:val="single" w:sz="4" w:space="0" w:color="auto"/>
              <w:right w:val="single" w:sz="4" w:space="0" w:color="auto"/>
            </w:tcBorders>
            <w:noWrap/>
            <w:vAlign w:val="center"/>
          </w:tcPr>
          <w:p w14:paraId="0DC1FB66" w14:textId="77777777" w:rsidR="00793C88" w:rsidRDefault="00793C88" w:rsidP="008738F2">
            <w:pPr>
              <w:spacing w:after="60"/>
              <w:jc w:val="right"/>
              <w:rPr>
                <w:rFonts w:ascii="Arial" w:hAnsi="Arial" w:cs="Arial"/>
                <w:sz w:val="20"/>
                <w:szCs w:val="20"/>
              </w:rPr>
            </w:pPr>
            <w:r>
              <w:rPr>
                <w:rFonts w:ascii="Arial" w:hAnsi="Arial" w:cs="Arial"/>
                <w:sz w:val="20"/>
                <w:szCs w:val="20"/>
              </w:rPr>
              <w:t>64</w:t>
            </w:r>
          </w:p>
        </w:tc>
        <w:tc>
          <w:tcPr>
            <w:tcW w:w="594" w:type="dxa"/>
            <w:tcBorders>
              <w:top w:val="nil"/>
              <w:left w:val="nil"/>
              <w:bottom w:val="single" w:sz="4" w:space="0" w:color="auto"/>
              <w:right w:val="single" w:sz="4" w:space="0" w:color="auto"/>
            </w:tcBorders>
            <w:noWrap/>
            <w:vAlign w:val="center"/>
          </w:tcPr>
          <w:p w14:paraId="65D632A6" w14:textId="77777777" w:rsidR="00793C88" w:rsidRDefault="00793C88" w:rsidP="008738F2">
            <w:pPr>
              <w:spacing w:after="60"/>
              <w:jc w:val="right"/>
              <w:rPr>
                <w:rFonts w:ascii="Arial" w:hAnsi="Arial" w:cs="Arial"/>
                <w:sz w:val="20"/>
                <w:szCs w:val="20"/>
              </w:rPr>
            </w:pPr>
            <w:r>
              <w:rPr>
                <w:rFonts w:ascii="Arial" w:hAnsi="Arial" w:cs="Arial"/>
                <w:sz w:val="20"/>
                <w:szCs w:val="20"/>
              </w:rPr>
              <w:t>31</w:t>
            </w:r>
          </w:p>
        </w:tc>
        <w:tc>
          <w:tcPr>
            <w:tcW w:w="610" w:type="dxa"/>
            <w:tcBorders>
              <w:top w:val="nil"/>
              <w:left w:val="nil"/>
              <w:bottom w:val="single" w:sz="4" w:space="0" w:color="auto"/>
              <w:right w:val="single" w:sz="4" w:space="0" w:color="auto"/>
            </w:tcBorders>
            <w:noWrap/>
            <w:vAlign w:val="center"/>
          </w:tcPr>
          <w:p w14:paraId="6561E5CA" w14:textId="77777777" w:rsidR="00793C88" w:rsidRDefault="00793C88" w:rsidP="008738F2">
            <w:pPr>
              <w:spacing w:after="60"/>
              <w:jc w:val="right"/>
              <w:rPr>
                <w:rFonts w:ascii="Arial" w:hAnsi="Arial" w:cs="Arial"/>
                <w:sz w:val="20"/>
                <w:szCs w:val="20"/>
              </w:rPr>
            </w:pPr>
            <w:r>
              <w:rPr>
                <w:rFonts w:ascii="Arial" w:hAnsi="Arial" w:cs="Arial"/>
                <w:sz w:val="20"/>
                <w:szCs w:val="20"/>
              </w:rPr>
              <w:t>28</w:t>
            </w:r>
          </w:p>
        </w:tc>
        <w:tc>
          <w:tcPr>
            <w:tcW w:w="691" w:type="dxa"/>
            <w:tcBorders>
              <w:top w:val="nil"/>
              <w:left w:val="nil"/>
              <w:bottom w:val="single" w:sz="4" w:space="0" w:color="auto"/>
              <w:right w:val="single" w:sz="4" w:space="0" w:color="auto"/>
            </w:tcBorders>
            <w:noWrap/>
            <w:vAlign w:val="center"/>
          </w:tcPr>
          <w:p w14:paraId="77B96E44" w14:textId="77777777" w:rsidR="00793C88" w:rsidRDefault="00793C88" w:rsidP="008738F2">
            <w:pPr>
              <w:spacing w:after="60"/>
              <w:jc w:val="right"/>
              <w:rPr>
                <w:rFonts w:ascii="Arial" w:hAnsi="Arial" w:cs="Arial"/>
                <w:sz w:val="20"/>
                <w:szCs w:val="20"/>
              </w:rPr>
            </w:pPr>
            <w:r>
              <w:rPr>
                <w:rFonts w:ascii="Arial" w:hAnsi="Arial" w:cs="Arial"/>
                <w:sz w:val="20"/>
                <w:szCs w:val="20"/>
              </w:rPr>
              <w:t>31</w:t>
            </w:r>
          </w:p>
        </w:tc>
        <w:tc>
          <w:tcPr>
            <w:tcW w:w="643" w:type="dxa"/>
            <w:tcBorders>
              <w:top w:val="nil"/>
              <w:left w:val="nil"/>
              <w:bottom w:val="single" w:sz="4" w:space="0" w:color="auto"/>
              <w:right w:val="single" w:sz="4" w:space="0" w:color="auto"/>
            </w:tcBorders>
            <w:noWrap/>
            <w:vAlign w:val="center"/>
          </w:tcPr>
          <w:p w14:paraId="1FC81886" w14:textId="77777777" w:rsidR="00793C88" w:rsidRDefault="00793C88" w:rsidP="008738F2">
            <w:pPr>
              <w:spacing w:after="60"/>
              <w:jc w:val="right"/>
              <w:rPr>
                <w:rFonts w:ascii="Arial" w:hAnsi="Arial" w:cs="Arial"/>
                <w:sz w:val="20"/>
                <w:szCs w:val="20"/>
              </w:rPr>
            </w:pPr>
            <w:r>
              <w:rPr>
                <w:rFonts w:ascii="Arial" w:hAnsi="Arial" w:cs="Arial"/>
                <w:sz w:val="20"/>
                <w:szCs w:val="20"/>
              </w:rPr>
              <w:t>28</w:t>
            </w:r>
          </w:p>
        </w:tc>
        <w:tc>
          <w:tcPr>
            <w:tcW w:w="675" w:type="dxa"/>
            <w:tcBorders>
              <w:top w:val="nil"/>
              <w:left w:val="nil"/>
              <w:bottom w:val="single" w:sz="4" w:space="0" w:color="auto"/>
              <w:right w:val="single" w:sz="4" w:space="0" w:color="auto"/>
            </w:tcBorders>
            <w:noWrap/>
            <w:vAlign w:val="center"/>
          </w:tcPr>
          <w:p w14:paraId="5A617CDB" w14:textId="77777777" w:rsidR="00793C88" w:rsidRDefault="00793C88" w:rsidP="008738F2">
            <w:pPr>
              <w:spacing w:after="60"/>
              <w:jc w:val="right"/>
              <w:rPr>
                <w:rFonts w:ascii="Arial" w:hAnsi="Arial" w:cs="Arial"/>
                <w:sz w:val="20"/>
                <w:szCs w:val="20"/>
              </w:rPr>
            </w:pPr>
            <w:r>
              <w:rPr>
                <w:rFonts w:ascii="Arial" w:hAnsi="Arial" w:cs="Arial"/>
                <w:sz w:val="20"/>
                <w:szCs w:val="20"/>
              </w:rPr>
              <w:t>13</w:t>
            </w:r>
          </w:p>
        </w:tc>
        <w:tc>
          <w:tcPr>
            <w:tcW w:w="610" w:type="dxa"/>
            <w:tcBorders>
              <w:top w:val="nil"/>
              <w:left w:val="nil"/>
              <w:bottom w:val="single" w:sz="4" w:space="0" w:color="auto"/>
              <w:right w:val="single" w:sz="4" w:space="0" w:color="auto"/>
            </w:tcBorders>
            <w:noWrap/>
            <w:vAlign w:val="center"/>
          </w:tcPr>
          <w:p w14:paraId="68FFD5E4" w14:textId="77777777" w:rsidR="00793C88" w:rsidRDefault="00793C88" w:rsidP="008738F2">
            <w:pPr>
              <w:spacing w:after="60"/>
              <w:jc w:val="right"/>
              <w:rPr>
                <w:rFonts w:ascii="Arial" w:hAnsi="Arial" w:cs="Arial"/>
                <w:sz w:val="20"/>
                <w:szCs w:val="20"/>
              </w:rPr>
            </w:pPr>
            <w:r>
              <w:rPr>
                <w:rFonts w:ascii="Arial" w:hAnsi="Arial" w:cs="Arial"/>
                <w:sz w:val="20"/>
                <w:szCs w:val="20"/>
              </w:rPr>
              <w:t>*</w:t>
            </w:r>
          </w:p>
        </w:tc>
        <w:tc>
          <w:tcPr>
            <w:tcW w:w="572" w:type="dxa"/>
            <w:tcBorders>
              <w:top w:val="nil"/>
              <w:left w:val="nil"/>
              <w:bottom w:val="single" w:sz="4" w:space="0" w:color="auto"/>
              <w:right w:val="single" w:sz="4" w:space="0" w:color="auto"/>
            </w:tcBorders>
            <w:noWrap/>
            <w:vAlign w:val="center"/>
          </w:tcPr>
          <w:p w14:paraId="39BD8117" w14:textId="77777777" w:rsidR="00793C88" w:rsidRDefault="00793C88" w:rsidP="008738F2">
            <w:pPr>
              <w:spacing w:after="60"/>
              <w:jc w:val="right"/>
              <w:rPr>
                <w:rFonts w:ascii="Arial" w:hAnsi="Arial" w:cs="Arial"/>
                <w:sz w:val="20"/>
                <w:szCs w:val="20"/>
              </w:rPr>
            </w:pPr>
            <w:r>
              <w:rPr>
                <w:rFonts w:ascii="Arial" w:hAnsi="Arial" w:cs="Arial"/>
                <w:sz w:val="20"/>
                <w:szCs w:val="20"/>
              </w:rPr>
              <w:t>0</w:t>
            </w:r>
          </w:p>
        </w:tc>
        <w:tc>
          <w:tcPr>
            <w:tcW w:w="675" w:type="dxa"/>
            <w:tcBorders>
              <w:top w:val="nil"/>
              <w:left w:val="nil"/>
              <w:bottom w:val="single" w:sz="4" w:space="0" w:color="auto"/>
              <w:right w:val="single" w:sz="4" w:space="0" w:color="auto"/>
            </w:tcBorders>
            <w:noWrap/>
            <w:vAlign w:val="center"/>
          </w:tcPr>
          <w:p w14:paraId="360E3376" w14:textId="77777777" w:rsidR="00793C88" w:rsidRDefault="00793C88" w:rsidP="008738F2">
            <w:pPr>
              <w:spacing w:after="60"/>
              <w:jc w:val="right"/>
              <w:rPr>
                <w:rFonts w:ascii="Arial" w:hAnsi="Arial" w:cs="Arial"/>
                <w:sz w:val="20"/>
                <w:szCs w:val="20"/>
              </w:rPr>
            </w:pPr>
            <w:r>
              <w:rPr>
                <w:rFonts w:ascii="Arial" w:hAnsi="Arial" w:cs="Arial"/>
                <w:sz w:val="20"/>
                <w:szCs w:val="20"/>
              </w:rPr>
              <w:t>1</w:t>
            </w:r>
          </w:p>
        </w:tc>
        <w:tc>
          <w:tcPr>
            <w:tcW w:w="627" w:type="dxa"/>
            <w:tcBorders>
              <w:top w:val="nil"/>
              <w:left w:val="nil"/>
              <w:bottom w:val="single" w:sz="4" w:space="0" w:color="auto"/>
              <w:right w:val="single" w:sz="4" w:space="0" w:color="auto"/>
            </w:tcBorders>
            <w:noWrap/>
            <w:vAlign w:val="center"/>
          </w:tcPr>
          <w:p w14:paraId="59D9031E" w14:textId="77777777" w:rsidR="00793C88" w:rsidRDefault="00793C88" w:rsidP="008738F2">
            <w:pPr>
              <w:spacing w:after="60"/>
              <w:jc w:val="right"/>
              <w:rPr>
                <w:rFonts w:ascii="Arial" w:hAnsi="Arial" w:cs="Arial"/>
                <w:sz w:val="20"/>
                <w:szCs w:val="20"/>
              </w:rPr>
            </w:pPr>
            <w:r>
              <w:rPr>
                <w:rFonts w:ascii="Arial" w:hAnsi="Arial" w:cs="Arial"/>
                <w:sz w:val="20"/>
                <w:szCs w:val="20"/>
              </w:rPr>
              <w:t>8</w:t>
            </w:r>
          </w:p>
        </w:tc>
        <w:tc>
          <w:tcPr>
            <w:tcW w:w="659" w:type="dxa"/>
            <w:tcBorders>
              <w:top w:val="nil"/>
              <w:left w:val="nil"/>
              <w:bottom w:val="single" w:sz="4" w:space="0" w:color="auto"/>
              <w:right w:val="single" w:sz="4" w:space="0" w:color="auto"/>
            </w:tcBorders>
            <w:noWrap/>
            <w:vAlign w:val="center"/>
          </w:tcPr>
          <w:p w14:paraId="75597A26" w14:textId="77777777" w:rsidR="00793C88" w:rsidRDefault="00793C88" w:rsidP="008738F2">
            <w:pPr>
              <w:spacing w:after="60"/>
              <w:jc w:val="right"/>
              <w:rPr>
                <w:rFonts w:ascii="Arial" w:hAnsi="Arial" w:cs="Arial"/>
                <w:sz w:val="20"/>
                <w:szCs w:val="20"/>
              </w:rPr>
            </w:pPr>
            <w:r>
              <w:rPr>
                <w:rFonts w:ascii="Arial" w:hAnsi="Arial" w:cs="Arial"/>
                <w:sz w:val="20"/>
                <w:szCs w:val="20"/>
              </w:rPr>
              <w:t>25</w:t>
            </w:r>
          </w:p>
        </w:tc>
        <w:tc>
          <w:tcPr>
            <w:tcW w:w="675" w:type="dxa"/>
            <w:tcBorders>
              <w:top w:val="nil"/>
              <w:left w:val="nil"/>
              <w:bottom w:val="single" w:sz="4" w:space="0" w:color="auto"/>
              <w:right w:val="single" w:sz="4" w:space="0" w:color="auto"/>
            </w:tcBorders>
            <w:noWrap/>
            <w:vAlign w:val="center"/>
          </w:tcPr>
          <w:p w14:paraId="04B0055C" w14:textId="77777777" w:rsidR="00793C88" w:rsidRDefault="00793C88" w:rsidP="008738F2">
            <w:pPr>
              <w:spacing w:after="60"/>
              <w:jc w:val="right"/>
              <w:rPr>
                <w:rFonts w:ascii="Arial" w:hAnsi="Arial" w:cs="Arial"/>
                <w:sz w:val="20"/>
                <w:szCs w:val="20"/>
              </w:rPr>
            </w:pPr>
            <w:r>
              <w:rPr>
                <w:rFonts w:ascii="Arial" w:hAnsi="Arial" w:cs="Arial"/>
                <w:sz w:val="20"/>
                <w:szCs w:val="20"/>
              </w:rPr>
              <w:t>29</w:t>
            </w:r>
          </w:p>
        </w:tc>
        <w:tc>
          <w:tcPr>
            <w:tcW w:w="659" w:type="dxa"/>
            <w:tcBorders>
              <w:top w:val="nil"/>
              <w:left w:val="nil"/>
              <w:bottom w:val="single" w:sz="4" w:space="0" w:color="auto"/>
              <w:right w:val="single" w:sz="4" w:space="0" w:color="auto"/>
            </w:tcBorders>
            <w:noWrap/>
            <w:vAlign w:val="center"/>
          </w:tcPr>
          <w:p w14:paraId="6FCA5025" w14:textId="77777777" w:rsidR="00793C88" w:rsidRDefault="00793C88" w:rsidP="008738F2">
            <w:pPr>
              <w:spacing w:after="60"/>
              <w:jc w:val="right"/>
              <w:rPr>
                <w:rFonts w:ascii="Arial" w:hAnsi="Arial" w:cs="Arial"/>
                <w:sz w:val="20"/>
                <w:szCs w:val="20"/>
              </w:rPr>
            </w:pPr>
            <w:r>
              <w:rPr>
                <w:rFonts w:ascii="Arial" w:hAnsi="Arial" w:cs="Arial"/>
                <w:sz w:val="20"/>
                <w:szCs w:val="20"/>
              </w:rPr>
              <w:t>31</w:t>
            </w:r>
          </w:p>
        </w:tc>
        <w:tc>
          <w:tcPr>
            <w:tcW w:w="659" w:type="dxa"/>
            <w:tcBorders>
              <w:top w:val="nil"/>
              <w:left w:val="nil"/>
              <w:bottom w:val="single" w:sz="4" w:space="0" w:color="auto"/>
              <w:right w:val="single" w:sz="4" w:space="0" w:color="auto"/>
            </w:tcBorders>
            <w:noWrap/>
            <w:vAlign w:val="center"/>
          </w:tcPr>
          <w:p w14:paraId="3F717E59" w14:textId="77777777" w:rsidR="00793C88" w:rsidRDefault="00793C88" w:rsidP="008738F2">
            <w:pPr>
              <w:spacing w:after="60"/>
              <w:jc w:val="right"/>
              <w:rPr>
                <w:rFonts w:ascii="Arial" w:hAnsi="Arial" w:cs="Arial"/>
                <w:sz w:val="20"/>
                <w:szCs w:val="20"/>
              </w:rPr>
            </w:pPr>
            <w:r>
              <w:rPr>
                <w:rFonts w:ascii="Arial" w:hAnsi="Arial" w:cs="Arial"/>
                <w:sz w:val="20"/>
                <w:szCs w:val="20"/>
              </w:rPr>
              <w:t>222</w:t>
            </w:r>
          </w:p>
        </w:tc>
      </w:tr>
      <w:tr w:rsidR="00793C88" w14:paraId="562C0CC8" w14:textId="77777777" w:rsidTr="006B524B">
        <w:trPr>
          <w:trHeight w:val="288"/>
          <w:jc w:val="center"/>
        </w:trPr>
        <w:tc>
          <w:tcPr>
            <w:tcW w:w="3100" w:type="dxa"/>
            <w:tcBorders>
              <w:top w:val="nil"/>
              <w:left w:val="single" w:sz="4" w:space="0" w:color="auto"/>
              <w:bottom w:val="single" w:sz="4" w:space="0" w:color="auto"/>
              <w:right w:val="single" w:sz="4" w:space="0" w:color="auto"/>
            </w:tcBorders>
            <w:noWrap/>
            <w:vAlign w:val="center"/>
          </w:tcPr>
          <w:p w14:paraId="717FD72C" w14:textId="77777777" w:rsidR="00793C88" w:rsidRDefault="00793C88" w:rsidP="008738F2">
            <w:pPr>
              <w:spacing w:after="60"/>
              <w:rPr>
                <w:rFonts w:ascii="Arial" w:hAnsi="Arial" w:cs="Arial"/>
                <w:sz w:val="20"/>
                <w:szCs w:val="20"/>
              </w:rPr>
            </w:pPr>
            <w:smartTag w:uri="urn:schemas-microsoft-com:office:smarttags" w:element="place">
              <w:smartTag w:uri="urn:schemas-microsoft-com:office:smarttags" w:element="City">
                <w:r>
                  <w:rPr>
                    <w:rFonts w:ascii="Arial" w:hAnsi="Arial" w:cs="Arial"/>
                    <w:sz w:val="20"/>
                    <w:szCs w:val="20"/>
                  </w:rPr>
                  <w:t>UNALAKLEET</w:t>
                </w:r>
              </w:smartTag>
              <w:r>
                <w:rPr>
                  <w:rFonts w:ascii="Arial" w:hAnsi="Arial" w:cs="Arial"/>
                  <w:sz w:val="20"/>
                  <w:szCs w:val="20"/>
                </w:rPr>
                <w:t xml:space="preserve">, </w:t>
              </w:r>
              <w:smartTag w:uri="urn:schemas-microsoft-com:office:smarttags" w:element="State">
                <w:r>
                  <w:rPr>
                    <w:rFonts w:ascii="Arial" w:hAnsi="Arial" w:cs="Arial"/>
                    <w:sz w:val="20"/>
                    <w:szCs w:val="20"/>
                  </w:rPr>
                  <w:t>AK</w:t>
                </w:r>
              </w:smartTag>
            </w:smartTag>
          </w:p>
        </w:tc>
        <w:tc>
          <w:tcPr>
            <w:tcW w:w="643" w:type="dxa"/>
            <w:tcBorders>
              <w:top w:val="nil"/>
              <w:left w:val="nil"/>
              <w:bottom w:val="single" w:sz="4" w:space="0" w:color="auto"/>
              <w:right w:val="single" w:sz="4" w:space="0" w:color="auto"/>
            </w:tcBorders>
            <w:noWrap/>
            <w:vAlign w:val="center"/>
          </w:tcPr>
          <w:p w14:paraId="506EAE8B" w14:textId="77777777" w:rsidR="00793C88" w:rsidRDefault="00793C88" w:rsidP="008738F2">
            <w:pPr>
              <w:spacing w:after="60"/>
              <w:jc w:val="right"/>
              <w:rPr>
                <w:rFonts w:ascii="Arial" w:hAnsi="Arial" w:cs="Arial"/>
                <w:sz w:val="20"/>
                <w:szCs w:val="20"/>
              </w:rPr>
            </w:pPr>
            <w:r>
              <w:rPr>
                <w:rFonts w:ascii="Arial" w:hAnsi="Arial" w:cs="Arial"/>
                <w:sz w:val="20"/>
                <w:szCs w:val="20"/>
              </w:rPr>
              <w:t>30</w:t>
            </w:r>
          </w:p>
        </w:tc>
        <w:tc>
          <w:tcPr>
            <w:tcW w:w="594" w:type="dxa"/>
            <w:tcBorders>
              <w:top w:val="nil"/>
              <w:left w:val="nil"/>
              <w:bottom w:val="single" w:sz="4" w:space="0" w:color="auto"/>
              <w:right w:val="single" w:sz="4" w:space="0" w:color="auto"/>
            </w:tcBorders>
            <w:noWrap/>
            <w:vAlign w:val="center"/>
          </w:tcPr>
          <w:p w14:paraId="412ADFD7" w14:textId="77777777" w:rsidR="00793C88" w:rsidRDefault="00793C88" w:rsidP="008738F2">
            <w:pPr>
              <w:spacing w:after="60"/>
              <w:jc w:val="right"/>
              <w:rPr>
                <w:rFonts w:ascii="Arial" w:hAnsi="Arial" w:cs="Arial"/>
                <w:sz w:val="20"/>
                <w:szCs w:val="20"/>
              </w:rPr>
            </w:pPr>
            <w:r>
              <w:rPr>
                <w:rFonts w:ascii="Arial" w:hAnsi="Arial" w:cs="Arial"/>
                <w:sz w:val="20"/>
                <w:szCs w:val="20"/>
              </w:rPr>
              <w:t>31</w:t>
            </w:r>
          </w:p>
        </w:tc>
        <w:tc>
          <w:tcPr>
            <w:tcW w:w="610" w:type="dxa"/>
            <w:tcBorders>
              <w:top w:val="nil"/>
              <w:left w:val="nil"/>
              <w:bottom w:val="single" w:sz="4" w:space="0" w:color="auto"/>
              <w:right w:val="single" w:sz="4" w:space="0" w:color="auto"/>
            </w:tcBorders>
            <w:noWrap/>
            <w:vAlign w:val="center"/>
          </w:tcPr>
          <w:p w14:paraId="24DA10AD" w14:textId="77777777" w:rsidR="00793C88" w:rsidRDefault="00793C88" w:rsidP="008738F2">
            <w:pPr>
              <w:spacing w:after="60"/>
              <w:jc w:val="right"/>
              <w:rPr>
                <w:rFonts w:ascii="Arial" w:hAnsi="Arial" w:cs="Arial"/>
                <w:sz w:val="20"/>
                <w:szCs w:val="20"/>
              </w:rPr>
            </w:pPr>
            <w:r>
              <w:rPr>
                <w:rFonts w:ascii="Arial" w:hAnsi="Arial" w:cs="Arial"/>
                <w:sz w:val="20"/>
                <w:szCs w:val="20"/>
              </w:rPr>
              <w:t>28</w:t>
            </w:r>
          </w:p>
        </w:tc>
        <w:tc>
          <w:tcPr>
            <w:tcW w:w="691" w:type="dxa"/>
            <w:tcBorders>
              <w:top w:val="nil"/>
              <w:left w:val="nil"/>
              <w:bottom w:val="single" w:sz="4" w:space="0" w:color="auto"/>
              <w:right w:val="single" w:sz="4" w:space="0" w:color="auto"/>
            </w:tcBorders>
            <w:noWrap/>
            <w:vAlign w:val="center"/>
          </w:tcPr>
          <w:p w14:paraId="5CBE80F5" w14:textId="77777777" w:rsidR="00793C88" w:rsidRDefault="00793C88" w:rsidP="008738F2">
            <w:pPr>
              <w:spacing w:after="60"/>
              <w:jc w:val="right"/>
              <w:rPr>
                <w:rFonts w:ascii="Arial" w:hAnsi="Arial" w:cs="Arial"/>
                <w:sz w:val="20"/>
                <w:szCs w:val="20"/>
              </w:rPr>
            </w:pPr>
            <w:r>
              <w:rPr>
                <w:rFonts w:ascii="Arial" w:hAnsi="Arial" w:cs="Arial"/>
                <w:sz w:val="20"/>
                <w:szCs w:val="20"/>
              </w:rPr>
              <w:t>31</w:t>
            </w:r>
          </w:p>
        </w:tc>
        <w:tc>
          <w:tcPr>
            <w:tcW w:w="643" w:type="dxa"/>
            <w:tcBorders>
              <w:top w:val="nil"/>
              <w:left w:val="nil"/>
              <w:bottom w:val="single" w:sz="4" w:space="0" w:color="auto"/>
              <w:right w:val="single" w:sz="4" w:space="0" w:color="auto"/>
            </w:tcBorders>
            <w:noWrap/>
            <w:vAlign w:val="center"/>
          </w:tcPr>
          <w:p w14:paraId="1366151E" w14:textId="77777777" w:rsidR="00793C88" w:rsidRDefault="00793C88" w:rsidP="008738F2">
            <w:pPr>
              <w:spacing w:after="60"/>
              <w:jc w:val="right"/>
              <w:rPr>
                <w:rFonts w:ascii="Arial" w:hAnsi="Arial" w:cs="Arial"/>
                <w:sz w:val="20"/>
                <w:szCs w:val="20"/>
              </w:rPr>
            </w:pPr>
            <w:r>
              <w:rPr>
                <w:rFonts w:ascii="Arial" w:hAnsi="Arial" w:cs="Arial"/>
                <w:sz w:val="20"/>
                <w:szCs w:val="20"/>
              </w:rPr>
              <w:t>29</w:t>
            </w:r>
          </w:p>
        </w:tc>
        <w:tc>
          <w:tcPr>
            <w:tcW w:w="675" w:type="dxa"/>
            <w:tcBorders>
              <w:top w:val="nil"/>
              <w:left w:val="nil"/>
              <w:bottom w:val="single" w:sz="4" w:space="0" w:color="auto"/>
              <w:right w:val="single" w:sz="4" w:space="0" w:color="auto"/>
            </w:tcBorders>
            <w:noWrap/>
            <w:vAlign w:val="center"/>
          </w:tcPr>
          <w:p w14:paraId="4E44D8C5" w14:textId="77777777" w:rsidR="00793C88" w:rsidRDefault="00793C88" w:rsidP="008738F2">
            <w:pPr>
              <w:spacing w:after="60"/>
              <w:jc w:val="right"/>
              <w:rPr>
                <w:rFonts w:ascii="Arial" w:hAnsi="Arial" w:cs="Arial"/>
                <w:sz w:val="20"/>
                <w:szCs w:val="20"/>
              </w:rPr>
            </w:pPr>
            <w:r>
              <w:rPr>
                <w:rFonts w:ascii="Arial" w:hAnsi="Arial" w:cs="Arial"/>
                <w:sz w:val="20"/>
                <w:szCs w:val="20"/>
              </w:rPr>
              <w:t>18</w:t>
            </w:r>
          </w:p>
        </w:tc>
        <w:tc>
          <w:tcPr>
            <w:tcW w:w="610" w:type="dxa"/>
            <w:tcBorders>
              <w:top w:val="nil"/>
              <w:left w:val="nil"/>
              <w:bottom w:val="single" w:sz="4" w:space="0" w:color="auto"/>
              <w:right w:val="single" w:sz="4" w:space="0" w:color="auto"/>
            </w:tcBorders>
            <w:noWrap/>
            <w:vAlign w:val="center"/>
          </w:tcPr>
          <w:p w14:paraId="423CD23C" w14:textId="77777777" w:rsidR="00793C88" w:rsidRDefault="00793C88" w:rsidP="008738F2">
            <w:pPr>
              <w:spacing w:after="60"/>
              <w:jc w:val="right"/>
              <w:rPr>
                <w:rFonts w:ascii="Arial" w:hAnsi="Arial" w:cs="Arial"/>
                <w:sz w:val="20"/>
                <w:szCs w:val="20"/>
              </w:rPr>
            </w:pPr>
            <w:r>
              <w:rPr>
                <w:rFonts w:ascii="Arial" w:hAnsi="Arial" w:cs="Arial"/>
                <w:sz w:val="20"/>
                <w:szCs w:val="20"/>
              </w:rPr>
              <w:t>2</w:t>
            </w:r>
          </w:p>
        </w:tc>
        <w:tc>
          <w:tcPr>
            <w:tcW w:w="572" w:type="dxa"/>
            <w:tcBorders>
              <w:top w:val="nil"/>
              <w:left w:val="nil"/>
              <w:bottom w:val="single" w:sz="4" w:space="0" w:color="auto"/>
              <w:right w:val="single" w:sz="4" w:space="0" w:color="auto"/>
            </w:tcBorders>
            <w:noWrap/>
            <w:vAlign w:val="center"/>
          </w:tcPr>
          <w:p w14:paraId="325A2B61" w14:textId="77777777" w:rsidR="00793C88" w:rsidRDefault="00793C88" w:rsidP="008738F2">
            <w:pPr>
              <w:spacing w:after="60"/>
              <w:jc w:val="right"/>
              <w:rPr>
                <w:rFonts w:ascii="Arial" w:hAnsi="Arial" w:cs="Arial"/>
                <w:sz w:val="20"/>
                <w:szCs w:val="20"/>
              </w:rPr>
            </w:pPr>
            <w:r>
              <w:rPr>
                <w:rFonts w:ascii="Arial" w:hAnsi="Arial" w:cs="Arial"/>
                <w:sz w:val="20"/>
                <w:szCs w:val="20"/>
              </w:rPr>
              <w:t>*</w:t>
            </w:r>
          </w:p>
        </w:tc>
        <w:tc>
          <w:tcPr>
            <w:tcW w:w="675" w:type="dxa"/>
            <w:tcBorders>
              <w:top w:val="nil"/>
              <w:left w:val="nil"/>
              <w:bottom w:val="single" w:sz="4" w:space="0" w:color="auto"/>
              <w:right w:val="single" w:sz="4" w:space="0" w:color="auto"/>
            </w:tcBorders>
            <w:noWrap/>
            <w:vAlign w:val="center"/>
          </w:tcPr>
          <w:p w14:paraId="483EEB13" w14:textId="77777777" w:rsidR="00793C88" w:rsidRDefault="00793C88" w:rsidP="008738F2">
            <w:pPr>
              <w:spacing w:after="60"/>
              <w:jc w:val="right"/>
              <w:rPr>
                <w:rFonts w:ascii="Arial" w:hAnsi="Arial" w:cs="Arial"/>
                <w:sz w:val="20"/>
                <w:szCs w:val="20"/>
              </w:rPr>
            </w:pPr>
            <w:r>
              <w:rPr>
                <w:rFonts w:ascii="Arial" w:hAnsi="Arial" w:cs="Arial"/>
                <w:sz w:val="20"/>
                <w:szCs w:val="20"/>
              </w:rPr>
              <w:t>1</w:t>
            </w:r>
          </w:p>
        </w:tc>
        <w:tc>
          <w:tcPr>
            <w:tcW w:w="627" w:type="dxa"/>
            <w:tcBorders>
              <w:top w:val="nil"/>
              <w:left w:val="nil"/>
              <w:bottom w:val="single" w:sz="4" w:space="0" w:color="auto"/>
              <w:right w:val="single" w:sz="4" w:space="0" w:color="auto"/>
            </w:tcBorders>
            <w:noWrap/>
            <w:vAlign w:val="center"/>
          </w:tcPr>
          <w:p w14:paraId="30CD12A4" w14:textId="77777777" w:rsidR="00793C88" w:rsidRDefault="00793C88" w:rsidP="008738F2">
            <w:pPr>
              <w:spacing w:after="60"/>
              <w:jc w:val="right"/>
              <w:rPr>
                <w:rFonts w:ascii="Arial" w:hAnsi="Arial" w:cs="Arial"/>
                <w:sz w:val="20"/>
                <w:szCs w:val="20"/>
              </w:rPr>
            </w:pPr>
            <w:r>
              <w:rPr>
                <w:rFonts w:ascii="Arial" w:hAnsi="Arial" w:cs="Arial"/>
                <w:sz w:val="20"/>
                <w:szCs w:val="20"/>
              </w:rPr>
              <w:t>8</w:t>
            </w:r>
          </w:p>
        </w:tc>
        <w:tc>
          <w:tcPr>
            <w:tcW w:w="659" w:type="dxa"/>
            <w:tcBorders>
              <w:top w:val="nil"/>
              <w:left w:val="nil"/>
              <w:bottom w:val="single" w:sz="4" w:space="0" w:color="auto"/>
              <w:right w:val="single" w:sz="4" w:space="0" w:color="auto"/>
            </w:tcBorders>
            <w:noWrap/>
            <w:vAlign w:val="center"/>
          </w:tcPr>
          <w:p w14:paraId="4650F625" w14:textId="77777777" w:rsidR="00793C88" w:rsidRDefault="00793C88" w:rsidP="008738F2">
            <w:pPr>
              <w:spacing w:after="60"/>
              <w:jc w:val="right"/>
              <w:rPr>
                <w:rFonts w:ascii="Arial" w:hAnsi="Arial" w:cs="Arial"/>
                <w:sz w:val="20"/>
                <w:szCs w:val="20"/>
              </w:rPr>
            </w:pPr>
            <w:r>
              <w:rPr>
                <w:rFonts w:ascii="Arial" w:hAnsi="Arial" w:cs="Arial"/>
                <w:sz w:val="20"/>
                <w:szCs w:val="20"/>
              </w:rPr>
              <w:t>27</w:t>
            </w:r>
          </w:p>
        </w:tc>
        <w:tc>
          <w:tcPr>
            <w:tcW w:w="675" w:type="dxa"/>
            <w:tcBorders>
              <w:top w:val="nil"/>
              <w:left w:val="nil"/>
              <w:bottom w:val="single" w:sz="4" w:space="0" w:color="auto"/>
              <w:right w:val="single" w:sz="4" w:space="0" w:color="auto"/>
            </w:tcBorders>
            <w:noWrap/>
            <w:vAlign w:val="center"/>
          </w:tcPr>
          <w:p w14:paraId="2AFFB7BE" w14:textId="77777777" w:rsidR="00793C88" w:rsidRDefault="00793C88" w:rsidP="008738F2">
            <w:pPr>
              <w:spacing w:after="60"/>
              <w:jc w:val="right"/>
              <w:rPr>
                <w:rFonts w:ascii="Arial" w:hAnsi="Arial" w:cs="Arial"/>
                <w:sz w:val="20"/>
                <w:szCs w:val="20"/>
              </w:rPr>
            </w:pPr>
            <w:r>
              <w:rPr>
                <w:rFonts w:ascii="Arial" w:hAnsi="Arial" w:cs="Arial"/>
                <w:sz w:val="20"/>
                <w:szCs w:val="20"/>
              </w:rPr>
              <w:t>30</w:t>
            </w:r>
          </w:p>
        </w:tc>
        <w:tc>
          <w:tcPr>
            <w:tcW w:w="659" w:type="dxa"/>
            <w:tcBorders>
              <w:top w:val="nil"/>
              <w:left w:val="nil"/>
              <w:bottom w:val="single" w:sz="4" w:space="0" w:color="auto"/>
              <w:right w:val="single" w:sz="4" w:space="0" w:color="auto"/>
            </w:tcBorders>
            <w:noWrap/>
            <w:vAlign w:val="center"/>
          </w:tcPr>
          <w:p w14:paraId="2F38C6BF" w14:textId="77777777" w:rsidR="00793C88" w:rsidRDefault="00793C88" w:rsidP="008738F2">
            <w:pPr>
              <w:spacing w:after="60"/>
              <w:jc w:val="right"/>
              <w:rPr>
                <w:rFonts w:ascii="Arial" w:hAnsi="Arial" w:cs="Arial"/>
                <w:sz w:val="20"/>
                <w:szCs w:val="20"/>
              </w:rPr>
            </w:pPr>
            <w:r>
              <w:rPr>
                <w:rFonts w:ascii="Arial" w:hAnsi="Arial" w:cs="Arial"/>
                <w:sz w:val="20"/>
                <w:szCs w:val="20"/>
              </w:rPr>
              <w:t>31</w:t>
            </w:r>
          </w:p>
        </w:tc>
        <w:tc>
          <w:tcPr>
            <w:tcW w:w="659" w:type="dxa"/>
            <w:tcBorders>
              <w:top w:val="nil"/>
              <w:left w:val="nil"/>
              <w:bottom w:val="single" w:sz="4" w:space="0" w:color="auto"/>
              <w:right w:val="single" w:sz="4" w:space="0" w:color="auto"/>
            </w:tcBorders>
            <w:noWrap/>
            <w:vAlign w:val="center"/>
          </w:tcPr>
          <w:p w14:paraId="302D553F" w14:textId="77777777" w:rsidR="00793C88" w:rsidRDefault="00793C88" w:rsidP="008738F2">
            <w:pPr>
              <w:spacing w:after="60"/>
              <w:jc w:val="right"/>
              <w:rPr>
                <w:rFonts w:ascii="Arial" w:hAnsi="Arial" w:cs="Arial"/>
                <w:sz w:val="20"/>
                <w:szCs w:val="20"/>
              </w:rPr>
            </w:pPr>
            <w:r>
              <w:rPr>
                <w:rFonts w:ascii="Arial" w:hAnsi="Arial" w:cs="Arial"/>
                <w:sz w:val="20"/>
                <w:szCs w:val="20"/>
              </w:rPr>
              <w:t>236</w:t>
            </w:r>
          </w:p>
        </w:tc>
      </w:tr>
      <w:tr w:rsidR="00793C88" w14:paraId="020DA541" w14:textId="77777777" w:rsidTr="006B524B">
        <w:trPr>
          <w:trHeight w:val="288"/>
          <w:jc w:val="center"/>
        </w:trPr>
        <w:tc>
          <w:tcPr>
            <w:tcW w:w="3100" w:type="dxa"/>
            <w:tcBorders>
              <w:top w:val="nil"/>
              <w:left w:val="single" w:sz="4" w:space="0" w:color="auto"/>
              <w:bottom w:val="single" w:sz="4" w:space="0" w:color="auto"/>
              <w:right w:val="single" w:sz="4" w:space="0" w:color="auto"/>
            </w:tcBorders>
            <w:noWrap/>
            <w:vAlign w:val="center"/>
          </w:tcPr>
          <w:p w14:paraId="72F325A7" w14:textId="77777777" w:rsidR="00793C88" w:rsidRDefault="00793C88" w:rsidP="008738F2">
            <w:pPr>
              <w:spacing w:after="60"/>
              <w:rPr>
                <w:rFonts w:ascii="Arial" w:hAnsi="Arial" w:cs="Arial"/>
                <w:sz w:val="20"/>
                <w:szCs w:val="20"/>
              </w:rPr>
            </w:pPr>
            <w:smartTag w:uri="urn:schemas-microsoft-com:office:smarttags" w:element="place">
              <w:smartTag w:uri="urn:schemas-microsoft-com:office:smarttags" w:element="City">
                <w:r>
                  <w:rPr>
                    <w:rFonts w:ascii="Arial" w:hAnsi="Arial" w:cs="Arial"/>
                    <w:sz w:val="20"/>
                    <w:szCs w:val="20"/>
                  </w:rPr>
                  <w:t>VALDEZ</w:t>
                </w:r>
              </w:smartTag>
              <w:r>
                <w:rPr>
                  <w:rFonts w:ascii="Arial" w:hAnsi="Arial" w:cs="Arial"/>
                  <w:sz w:val="20"/>
                  <w:szCs w:val="20"/>
                </w:rPr>
                <w:t xml:space="preserve">, </w:t>
              </w:r>
              <w:smartTag w:uri="urn:schemas-microsoft-com:office:smarttags" w:element="State">
                <w:r>
                  <w:rPr>
                    <w:rFonts w:ascii="Arial" w:hAnsi="Arial" w:cs="Arial"/>
                    <w:sz w:val="20"/>
                    <w:szCs w:val="20"/>
                  </w:rPr>
                  <w:t>AK</w:t>
                </w:r>
              </w:smartTag>
            </w:smartTag>
          </w:p>
        </w:tc>
        <w:tc>
          <w:tcPr>
            <w:tcW w:w="643" w:type="dxa"/>
            <w:tcBorders>
              <w:top w:val="nil"/>
              <w:left w:val="nil"/>
              <w:bottom w:val="single" w:sz="4" w:space="0" w:color="auto"/>
              <w:right w:val="single" w:sz="4" w:space="0" w:color="auto"/>
            </w:tcBorders>
            <w:noWrap/>
            <w:vAlign w:val="center"/>
          </w:tcPr>
          <w:p w14:paraId="74F85F11" w14:textId="77777777" w:rsidR="00793C88" w:rsidRDefault="00793C88" w:rsidP="008738F2">
            <w:pPr>
              <w:spacing w:after="60"/>
              <w:jc w:val="right"/>
              <w:rPr>
                <w:rFonts w:ascii="Arial" w:hAnsi="Arial" w:cs="Arial"/>
                <w:sz w:val="20"/>
                <w:szCs w:val="20"/>
              </w:rPr>
            </w:pPr>
            <w:r>
              <w:rPr>
                <w:rFonts w:ascii="Arial" w:hAnsi="Arial" w:cs="Arial"/>
                <w:sz w:val="20"/>
                <w:szCs w:val="20"/>
              </w:rPr>
              <w:t>32</w:t>
            </w:r>
          </w:p>
        </w:tc>
        <w:tc>
          <w:tcPr>
            <w:tcW w:w="594" w:type="dxa"/>
            <w:tcBorders>
              <w:top w:val="nil"/>
              <w:left w:val="nil"/>
              <w:bottom w:val="single" w:sz="4" w:space="0" w:color="auto"/>
              <w:right w:val="single" w:sz="4" w:space="0" w:color="auto"/>
            </w:tcBorders>
            <w:noWrap/>
            <w:vAlign w:val="center"/>
          </w:tcPr>
          <w:p w14:paraId="7764027D" w14:textId="77777777" w:rsidR="00793C88" w:rsidRDefault="00793C88" w:rsidP="008738F2">
            <w:pPr>
              <w:spacing w:after="60"/>
              <w:jc w:val="right"/>
              <w:rPr>
                <w:rFonts w:ascii="Arial" w:hAnsi="Arial" w:cs="Arial"/>
                <w:sz w:val="20"/>
                <w:szCs w:val="20"/>
              </w:rPr>
            </w:pPr>
            <w:r>
              <w:rPr>
                <w:rFonts w:ascii="Arial" w:hAnsi="Arial" w:cs="Arial"/>
                <w:sz w:val="20"/>
                <w:szCs w:val="20"/>
              </w:rPr>
              <w:t>30</w:t>
            </w:r>
          </w:p>
        </w:tc>
        <w:tc>
          <w:tcPr>
            <w:tcW w:w="610" w:type="dxa"/>
            <w:tcBorders>
              <w:top w:val="nil"/>
              <w:left w:val="nil"/>
              <w:bottom w:val="single" w:sz="4" w:space="0" w:color="auto"/>
              <w:right w:val="single" w:sz="4" w:space="0" w:color="auto"/>
            </w:tcBorders>
            <w:noWrap/>
            <w:vAlign w:val="center"/>
          </w:tcPr>
          <w:p w14:paraId="52C0643A" w14:textId="77777777" w:rsidR="00793C88" w:rsidRDefault="00793C88" w:rsidP="008738F2">
            <w:pPr>
              <w:spacing w:after="60"/>
              <w:jc w:val="right"/>
              <w:rPr>
                <w:rFonts w:ascii="Arial" w:hAnsi="Arial" w:cs="Arial"/>
                <w:sz w:val="20"/>
                <w:szCs w:val="20"/>
              </w:rPr>
            </w:pPr>
            <w:r>
              <w:rPr>
                <w:rFonts w:ascii="Arial" w:hAnsi="Arial" w:cs="Arial"/>
                <w:sz w:val="20"/>
                <w:szCs w:val="20"/>
              </w:rPr>
              <w:t>27</w:t>
            </w:r>
          </w:p>
        </w:tc>
        <w:tc>
          <w:tcPr>
            <w:tcW w:w="691" w:type="dxa"/>
            <w:tcBorders>
              <w:top w:val="nil"/>
              <w:left w:val="nil"/>
              <w:bottom w:val="single" w:sz="4" w:space="0" w:color="auto"/>
              <w:right w:val="single" w:sz="4" w:space="0" w:color="auto"/>
            </w:tcBorders>
            <w:noWrap/>
            <w:vAlign w:val="center"/>
          </w:tcPr>
          <w:p w14:paraId="39D1F7C9" w14:textId="77777777" w:rsidR="00793C88" w:rsidRDefault="00793C88" w:rsidP="008738F2">
            <w:pPr>
              <w:spacing w:after="60"/>
              <w:jc w:val="right"/>
              <w:rPr>
                <w:rFonts w:ascii="Arial" w:hAnsi="Arial" w:cs="Arial"/>
                <w:sz w:val="20"/>
                <w:szCs w:val="20"/>
              </w:rPr>
            </w:pPr>
            <w:r>
              <w:rPr>
                <w:rFonts w:ascii="Arial" w:hAnsi="Arial" w:cs="Arial"/>
                <w:sz w:val="20"/>
                <w:szCs w:val="20"/>
              </w:rPr>
              <w:t>29</w:t>
            </w:r>
          </w:p>
        </w:tc>
        <w:tc>
          <w:tcPr>
            <w:tcW w:w="643" w:type="dxa"/>
            <w:tcBorders>
              <w:top w:val="nil"/>
              <w:left w:val="nil"/>
              <w:bottom w:val="single" w:sz="4" w:space="0" w:color="auto"/>
              <w:right w:val="single" w:sz="4" w:space="0" w:color="auto"/>
            </w:tcBorders>
            <w:noWrap/>
            <w:vAlign w:val="center"/>
          </w:tcPr>
          <w:p w14:paraId="471BB761" w14:textId="77777777" w:rsidR="00793C88" w:rsidRDefault="00793C88" w:rsidP="008738F2">
            <w:pPr>
              <w:spacing w:after="60"/>
              <w:jc w:val="right"/>
              <w:rPr>
                <w:rFonts w:ascii="Arial" w:hAnsi="Arial" w:cs="Arial"/>
                <w:sz w:val="20"/>
                <w:szCs w:val="20"/>
              </w:rPr>
            </w:pPr>
            <w:r>
              <w:rPr>
                <w:rFonts w:ascii="Arial" w:hAnsi="Arial" w:cs="Arial"/>
                <w:sz w:val="20"/>
                <w:szCs w:val="20"/>
              </w:rPr>
              <w:t>16</w:t>
            </w:r>
          </w:p>
        </w:tc>
        <w:tc>
          <w:tcPr>
            <w:tcW w:w="675" w:type="dxa"/>
            <w:tcBorders>
              <w:top w:val="nil"/>
              <w:left w:val="nil"/>
              <w:bottom w:val="single" w:sz="4" w:space="0" w:color="auto"/>
              <w:right w:val="single" w:sz="4" w:space="0" w:color="auto"/>
            </w:tcBorders>
            <w:noWrap/>
            <w:vAlign w:val="center"/>
          </w:tcPr>
          <w:p w14:paraId="0D56EA85" w14:textId="77777777" w:rsidR="00793C88" w:rsidRDefault="00793C88" w:rsidP="008738F2">
            <w:pPr>
              <w:spacing w:after="60"/>
              <w:jc w:val="right"/>
              <w:rPr>
                <w:rFonts w:ascii="Arial" w:hAnsi="Arial" w:cs="Arial"/>
                <w:sz w:val="20"/>
                <w:szCs w:val="20"/>
              </w:rPr>
            </w:pPr>
            <w:r>
              <w:rPr>
                <w:rFonts w:ascii="Arial" w:hAnsi="Arial" w:cs="Arial"/>
                <w:sz w:val="20"/>
                <w:szCs w:val="20"/>
              </w:rPr>
              <w:t>1</w:t>
            </w:r>
          </w:p>
        </w:tc>
        <w:tc>
          <w:tcPr>
            <w:tcW w:w="610" w:type="dxa"/>
            <w:tcBorders>
              <w:top w:val="nil"/>
              <w:left w:val="nil"/>
              <w:bottom w:val="single" w:sz="4" w:space="0" w:color="auto"/>
              <w:right w:val="single" w:sz="4" w:space="0" w:color="auto"/>
            </w:tcBorders>
            <w:noWrap/>
            <w:vAlign w:val="center"/>
          </w:tcPr>
          <w:p w14:paraId="5A6FA178" w14:textId="77777777" w:rsidR="00793C88" w:rsidRDefault="00793C88" w:rsidP="008738F2">
            <w:pPr>
              <w:spacing w:after="60"/>
              <w:jc w:val="right"/>
              <w:rPr>
                <w:rFonts w:ascii="Arial" w:hAnsi="Arial" w:cs="Arial"/>
                <w:sz w:val="20"/>
                <w:szCs w:val="20"/>
              </w:rPr>
            </w:pPr>
            <w:r>
              <w:rPr>
                <w:rFonts w:ascii="Arial" w:hAnsi="Arial" w:cs="Arial"/>
                <w:sz w:val="20"/>
                <w:szCs w:val="20"/>
              </w:rPr>
              <w:t>*</w:t>
            </w:r>
          </w:p>
        </w:tc>
        <w:tc>
          <w:tcPr>
            <w:tcW w:w="572" w:type="dxa"/>
            <w:tcBorders>
              <w:top w:val="nil"/>
              <w:left w:val="nil"/>
              <w:bottom w:val="single" w:sz="4" w:space="0" w:color="auto"/>
              <w:right w:val="single" w:sz="4" w:space="0" w:color="auto"/>
            </w:tcBorders>
            <w:noWrap/>
            <w:vAlign w:val="center"/>
          </w:tcPr>
          <w:p w14:paraId="0792586E" w14:textId="77777777" w:rsidR="00793C88" w:rsidRDefault="00793C88" w:rsidP="008738F2">
            <w:pPr>
              <w:spacing w:after="60"/>
              <w:jc w:val="right"/>
              <w:rPr>
                <w:rFonts w:ascii="Arial" w:hAnsi="Arial" w:cs="Arial"/>
                <w:sz w:val="20"/>
                <w:szCs w:val="20"/>
              </w:rPr>
            </w:pPr>
            <w:r>
              <w:rPr>
                <w:rFonts w:ascii="Arial" w:hAnsi="Arial" w:cs="Arial"/>
                <w:sz w:val="20"/>
                <w:szCs w:val="20"/>
              </w:rPr>
              <w:t>0</w:t>
            </w:r>
          </w:p>
        </w:tc>
        <w:tc>
          <w:tcPr>
            <w:tcW w:w="675" w:type="dxa"/>
            <w:tcBorders>
              <w:top w:val="nil"/>
              <w:left w:val="nil"/>
              <w:bottom w:val="single" w:sz="4" w:space="0" w:color="auto"/>
              <w:right w:val="single" w:sz="4" w:space="0" w:color="auto"/>
            </w:tcBorders>
            <w:noWrap/>
            <w:vAlign w:val="center"/>
          </w:tcPr>
          <w:p w14:paraId="145733A7" w14:textId="77777777" w:rsidR="00793C88" w:rsidRDefault="00793C88" w:rsidP="008738F2">
            <w:pPr>
              <w:spacing w:after="60"/>
              <w:jc w:val="right"/>
              <w:rPr>
                <w:rFonts w:ascii="Arial" w:hAnsi="Arial" w:cs="Arial"/>
                <w:sz w:val="20"/>
                <w:szCs w:val="20"/>
              </w:rPr>
            </w:pPr>
            <w:r>
              <w:rPr>
                <w:rFonts w:ascii="Arial" w:hAnsi="Arial" w:cs="Arial"/>
                <w:sz w:val="20"/>
                <w:szCs w:val="20"/>
              </w:rPr>
              <w:t>*</w:t>
            </w:r>
          </w:p>
        </w:tc>
        <w:tc>
          <w:tcPr>
            <w:tcW w:w="627" w:type="dxa"/>
            <w:tcBorders>
              <w:top w:val="nil"/>
              <w:left w:val="nil"/>
              <w:bottom w:val="single" w:sz="4" w:space="0" w:color="auto"/>
              <w:right w:val="single" w:sz="4" w:space="0" w:color="auto"/>
            </w:tcBorders>
            <w:noWrap/>
            <w:vAlign w:val="center"/>
          </w:tcPr>
          <w:p w14:paraId="70655047" w14:textId="77777777" w:rsidR="00793C88" w:rsidRDefault="00793C88" w:rsidP="008738F2">
            <w:pPr>
              <w:spacing w:after="60"/>
              <w:jc w:val="right"/>
              <w:rPr>
                <w:rFonts w:ascii="Arial" w:hAnsi="Arial" w:cs="Arial"/>
                <w:sz w:val="20"/>
                <w:szCs w:val="20"/>
              </w:rPr>
            </w:pPr>
            <w:r>
              <w:rPr>
                <w:rFonts w:ascii="Arial" w:hAnsi="Arial" w:cs="Arial"/>
                <w:sz w:val="20"/>
                <w:szCs w:val="20"/>
              </w:rPr>
              <w:t>1</w:t>
            </w:r>
          </w:p>
        </w:tc>
        <w:tc>
          <w:tcPr>
            <w:tcW w:w="659" w:type="dxa"/>
            <w:tcBorders>
              <w:top w:val="nil"/>
              <w:left w:val="nil"/>
              <w:bottom w:val="single" w:sz="4" w:space="0" w:color="auto"/>
              <w:right w:val="single" w:sz="4" w:space="0" w:color="auto"/>
            </w:tcBorders>
            <w:noWrap/>
            <w:vAlign w:val="center"/>
          </w:tcPr>
          <w:p w14:paraId="79C59FFC" w14:textId="77777777" w:rsidR="00793C88" w:rsidRDefault="00793C88" w:rsidP="008738F2">
            <w:pPr>
              <w:spacing w:after="60"/>
              <w:jc w:val="right"/>
              <w:rPr>
                <w:rFonts w:ascii="Arial" w:hAnsi="Arial" w:cs="Arial"/>
                <w:sz w:val="20"/>
                <w:szCs w:val="20"/>
              </w:rPr>
            </w:pPr>
            <w:r>
              <w:rPr>
                <w:rFonts w:ascii="Arial" w:hAnsi="Arial" w:cs="Arial"/>
                <w:sz w:val="20"/>
                <w:szCs w:val="20"/>
              </w:rPr>
              <w:t>12</w:t>
            </w:r>
          </w:p>
        </w:tc>
        <w:tc>
          <w:tcPr>
            <w:tcW w:w="675" w:type="dxa"/>
            <w:tcBorders>
              <w:top w:val="nil"/>
              <w:left w:val="nil"/>
              <w:bottom w:val="single" w:sz="4" w:space="0" w:color="auto"/>
              <w:right w:val="single" w:sz="4" w:space="0" w:color="auto"/>
            </w:tcBorders>
            <w:noWrap/>
            <w:vAlign w:val="center"/>
          </w:tcPr>
          <w:p w14:paraId="2D9791D7" w14:textId="77777777" w:rsidR="00793C88" w:rsidRDefault="00793C88" w:rsidP="008738F2">
            <w:pPr>
              <w:spacing w:after="60"/>
              <w:jc w:val="right"/>
              <w:rPr>
                <w:rFonts w:ascii="Arial" w:hAnsi="Arial" w:cs="Arial"/>
                <w:sz w:val="20"/>
                <w:szCs w:val="20"/>
              </w:rPr>
            </w:pPr>
            <w:r>
              <w:rPr>
                <w:rFonts w:ascii="Arial" w:hAnsi="Arial" w:cs="Arial"/>
                <w:sz w:val="20"/>
                <w:szCs w:val="20"/>
              </w:rPr>
              <w:t>26</w:t>
            </w:r>
          </w:p>
        </w:tc>
        <w:tc>
          <w:tcPr>
            <w:tcW w:w="659" w:type="dxa"/>
            <w:tcBorders>
              <w:top w:val="nil"/>
              <w:left w:val="nil"/>
              <w:bottom w:val="single" w:sz="4" w:space="0" w:color="auto"/>
              <w:right w:val="single" w:sz="4" w:space="0" w:color="auto"/>
            </w:tcBorders>
            <w:noWrap/>
            <w:vAlign w:val="center"/>
          </w:tcPr>
          <w:p w14:paraId="2AC2B25C" w14:textId="77777777" w:rsidR="00793C88" w:rsidRDefault="00793C88" w:rsidP="008738F2">
            <w:pPr>
              <w:spacing w:after="60"/>
              <w:jc w:val="right"/>
              <w:rPr>
                <w:rFonts w:ascii="Arial" w:hAnsi="Arial" w:cs="Arial"/>
                <w:sz w:val="20"/>
                <w:szCs w:val="20"/>
              </w:rPr>
            </w:pPr>
            <w:r>
              <w:rPr>
                <w:rFonts w:ascii="Arial" w:hAnsi="Arial" w:cs="Arial"/>
                <w:sz w:val="20"/>
                <w:szCs w:val="20"/>
              </w:rPr>
              <w:t>30</w:t>
            </w:r>
          </w:p>
        </w:tc>
        <w:tc>
          <w:tcPr>
            <w:tcW w:w="659" w:type="dxa"/>
            <w:tcBorders>
              <w:top w:val="nil"/>
              <w:left w:val="nil"/>
              <w:bottom w:val="single" w:sz="4" w:space="0" w:color="auto"/>
              <w:right w:val="single" w:sz="4" w:space="0" w:color="auto"/>
            </w:tcBorders>
            <w:noWrap/>
            <w:vAlign w:val="center"/>
          </w:tcPr>
          <w:p w14:paraId="0A413151" w14:textId="77777777" w:rsidR="00793C88" w:rsidRDefault="00793C88" w:rsidP="008738F2">
            <w:pPr>
              <w:spacing w:after="60"/>
              <w:jc w:val="right"/>
              <w:rPr>
                <w:rFonts w:ascii="Arial" w:hAnsi="Arial" w:cs="Arial"/>
                <w:sz w:val="20"/>
                <w:szCs w:val="20"/>
              </w:rPr>
            </w:pPr>
            <w:r>
              <w:rPr>
                <w:rFonts w:ascii="Arial" w:hAnsi="Arial" w:cs="Arial"/>
                <w:sz w:val="20"/>
                <w:szCs w:val="20"/>
              </w:rPr>
              <w:t>172</w:t>
            </w:r>
          </w:p>
        </w:tc>
      </w:tr>
      <w:tr w:rsidR="00793C88" w14:paraId="7418B2A5" w14:textId="77777777" w:rsidTr="006B524B">
        <w:trPr>
          <w:trHeight w:val="288"/>
          <w:jc w:val="center"/>
        </w:trPr>
        <w:tc>
          <w:tcPr>
            <w:tcW w:w="3100" w:type="dxa"/>
            <w:tcBorders>
              <w:top w:val="nil"/>
              <w:left w:val="single" w:sz="4" w:space="0" w:color="auto"/>
              <w:bottom w:val="single" w:sz="4" w:space="0" w:color="auto"/>
              <w:right w:val="single" w:sz="4" w:space="0" w:color="auto"/>
            </w:tcBorders>
            <w:noWrap/>
            <w:vAlign w:val="center"/>
          </w:tcPr>
          <w:p w14:paraId="60896443" w14:textId="77777777" w:rsidR="00793C88" w:rsidRDefault="00793C88" w:rsidP="008738F2">
            <w:pPr>
              <w:spacing w:after="60"/>
              <w:rPr>
                <w:rFonts w:ascii="Arial" w:hAnsi="Arial" w:cs="Arial"/>
                <w:sz w:val="20"/>
                <w:szCs w:val="20"/>
              </w:rPr>
            </w:pPr>
            <w:smartTag w:uri="urn:schemas-microsoft-com:office:smarttags" w:element="place">
              <w:smartTag w:uri="urn:schemas-microsoft-com:office:smarttags" w:element="City">
                <w:r>
                  <w:rPr>
                    <w:rFonts w:ascii="Arial" w:hAnsi="Arial" w:cs="Arial"/>
                    <w:sz w:val="20"/>
                    <w:szCs w:val="20"/>
                  </w:rPr>
                  <w:t>YAKUTAT</w:t>
                </w:r>
              </w:smartTag>
              <w:r>
                <w:rPr>
                  <w:rFonts w:ascii="Arial" w:hAnsi="Arial" w:cs="Arial"/>
                  <w:sz w:val="20"/>
                  <w:szCs w:val="20"/>
                </w:rPr>
                <w:t xml:space="preserve">, </w:t>
              </w:r>
              <w:smartTag w:uri="urn:schemas-microsoft-com:office:smarttags" w:element="State">
                <w:r>
                  <w:rPr>
                    <w:rFonts w:ascii="Arial" w:hAnsi="Arial" w:cs="Arial"/>
                    <w:sz w:val="20"/>
                    <w:szCs w:val="20"/>
                  </w:rPr>
                  <w:t>AK</w:t>
                </w:r>
              </w:smartTag>
            </w:smartTag>
          </w:p>
        </w:tc>
        <w:tc>
          <w:tcPr>
            <w:tcW w:w="643" w:type="dxa"/>
            <w:tcBorders>
              <w:top w:val="nil"/>
              <w:left w:val="nil"/>
              <w:bottom w:val="single" w:sz="4" w:space="0" w:color="auto"/>
              <w:right w:val="single" w:sz="4" w:space="0" w:color="auto"/>
            </w:tcBorders>
            <w:noWrap/>
            <w:vAlign w:val="center"/>
          </w:tcPr>
          <w:p w14:paraId="11D83A48" w14:textId="77777777" w:rsidR="00793C88" w:rsidRDefault="00793C88" w:rsidP="008738F2">
            <w:pPr>
              <w:spacing w:after="60"/>
              <w:jc w:val="right"/>
              <w:rPr>
                <w:rFonts w:ascii="Arial" w:hAnsi="Arial" w:cs="Arial"/>
                <w:sz w:val="20"/>
                <w:szCs w:val="20"/>
              </w:rPr>
            </w:pPr>
            <w:r>
              <w:rPr>
                <w:rFonts w:ascii="Arial" w:hAnsi="Arial" w:cs="Arial"/>
                <w:sz w:val="20"/>
                <w:szCs w:val="20"/>
              </w:rPr>
              <w:t>40</w:t>
            </w:r>
          </w:p>
        </w:tc>
        <w:tc>
          <w:tcPr>
            <w:tcW w:w="594" w:type="dxa"/>
            <w:tcBorders>
              <w:top w:val="nil"/>
              <w:left w:val="nil"/>
              <w:bottom w:val="single" w:sz="4" w:space="0" w:color="auto"/>
              <w:right w:val="single" w:sz="4" w:space="0" w:color="auto"/>
            </w:tcBorders>
            <w:noWrap/>
            <w:vAlign w:val="center"/>
          </w:tcPr>
          <w:p w14:paraId="2F40A1C4" w14:textId="77777777" w:rsidR="00793C88" w:rsidRDefault="00793C88" w:rsidP="008738F2">
            <w:pPr>
              <w:spacing w:after="60"/>
              <w:jc w:val="right"/>
              <w:rPr>
                <w:rFonts w:ascii="Arial" w:hAnsi="Arial" w:cs="Arial"/>
                <w:sz w:val="20"/>
                <w:szCs w:val="20"/>
              </w:rPr>
            </w:pPr>
            <w:r>
              <w:rPr>
                <w:rFonts w:ascii="Arial" w:hAnsi="Arial" w:cs="Arial"/>
                <w:sz w:val="20"/>
                <w:szCs w:val="20"/>
              </w:rPr>
              <w:t>25</w:t>
            </w:r>
          </w:p>
        </w:tc>
        <w:tc>
          <w:tcPr>
            <w:tcW w:w="610" w:type="dxa"/>
            <w:tcBorders>
              <w:top w:val="nil"/>
              <w:left w:val="nil"/>
              <w:bottom w:val="single" w:sz="4" w:space="0" w:color="auto"/>
              <w:right w:val="single" w:sz="4" w:space="0" w:color="auto"/>
            </w:tcBorders>
            <w:noWrap/>
            <w:vAlign w:val="center"/>
          </w:tcPr>
          <w:p w14:paraId="5D8AAC3A" w14:textId="77777777" w:rsidR="00793C88" w:rsidRDefault="00793C88" w:rsidP="008738F2">
            <w:pPr>
              <w:spacing w:after="60"/>
              <w:jc w:val="right"/>
              <w:rPr>
                <w:rFonts w:ascii="Arial" w:hAnsi="Arial" w:cs="Arial"/>
                <w:sz w:val="20"/>
                <w:szCs w:val="20"/>
              </w:rPr>
            </w:pPr>
            <w:r>
              <w:rPr>
                <w:rFonts w:ascii="Arial" w:hAnsi="Arial" w:cs="Arial"/>
                <w:sz w:val="20"/>
                <w:szCs w:val="20"/>
              </w:rPr>
              <w:t>23</w:t>
            </w:r>
          </w:p>
        </w:tc>
        <w:tc>
          <w:tcPr>
            <w:tcW w:w="691" w:type="dxa"/>
            <w:tcBorders>
              <w:top w:val="nil"/>
              <w:left w:val="nil"/>
              <w:bottom w:val="single" w:sz="4" w:space="0" w:color="auto"/>
              <w:right w:val="single" w:sz="4" w:space="0" w:color="auto"/>
            </w:tcBorders>
            <w:noWrap/>
            <w:vAlign w:val="center"/>
          </w:tcPr>
          <w:p w14:paraId="2BFE069C" w14:textId="77777777" w:rsidR="00793C88" w:rsidRDefault="00793C88" w:rsidP="008738F2">
            <w:pPr>
              <w:spacing w:after="60"/>
              <w:jc w:val="right"/>
              <w:rPr>
                <w:rFonts w:ascii="Arial" w:hAnsi="Arial" w:cs="Arial"/>
                <w:sz w:val="20"/>
                <w:szCs w:val="20"/>
              </w:rPr>
            </w:pPr>
            <w:r>
              <w:rPr>
                <w:rFonts w:ascii="Arial" w:hAnsi="Arial" w:cs="Arial"/>
                <w:sz w:val="20"/>
                <w:szCs w:val="20"/>
              </w:rPr>
              <w:t>24</w:t>
            </w:r>
          </w:p>
        </w:tc>
        <w:tc>
          <w:tcPr>
            <w:tcW w:w="643" w:type="dxa"/>
            <w:tcBorders>
              <w:top w:val="nil"/>
              <w:left w:val="nil"/>
              <w:bottom w:val="single" w:sz="4" w:space="0" w:color="auto"/>
              <w:right w:val="single" w:sz="4" w:space="0" w:color="auto"/>
            </w:tcBorders>
            <w:noWrap/>
            <w:vAlign w:val="center"/>
          </w:tcPr>
          <w:p w14:paraId="4B506AD5" w14:textId="77777777" w:rsidR="00793C88" w:rsidRDefault="00793C88" w:rsidP="008738F2">
            <w:pPr>
              <w:spacing w:after="60"/>
              <w:jc w:val="right"/>
              <w:rPr>
                <w:rFonts w:ascii="Arial" w:hAnsi="Arial" w:cs="Arial"/>
                <w:sz w:val="20"/>
                <w:szCs w:val="20"/>
              </w:rPr>
            </w:pPr>
            <w:r>
              <w:rPr>
                <w:rFonts w:ascii="Arial" w:hAnsi="Arial" w:cs="Arial"/>
                <w:sz w:val="20"/>
                <w:szCs w:val="20"/>
              </w:rPr>
              <w:t>20</w:t>
            </w:r>
          </w:p>
        </w:tc>
        <w:tc>
          <w:tcPr>
            <w:tcW w:w="675" w:type="dxa"/>
            <w:tcBorders>
              <w:top w:val="nil"/>
              <w:left w:val="nil"/>
              <w:bottom w:val="single" w:sz="4" w:space="0" w:color="auto"/>
              <w:right w:val="single" w:sz="4" w:space="0" w:color="auto"/>
            </w:tcBorders>
            <w:noWrap/>
            <w:vAlign w:val="center"/>
          </w:tcPr>
          <w:p w14:paraId="671F5740" w14:textId="77777777" w:rsidR="00793C88" w:rsidRDefault="00793C88" w:rsidP="008738F2">
            <w:pPr>
              <w:spacing w:after="60"/>
              <w:jc w:val="right"/>
              <w:rPr>
                <w:rFonts w:ascii="Arial" w:hAnsi="Arial" w:cs="Arial"/>
                <w:sz w:val="20"/>
                <w:szCs w:val="20"/>
              </w:rPr>
            </w:pPr>
            <w:r>
              <w:rPr>
                <w:rFonts w:ascii="Arial" w:hAnsi="Arial" w:cs="Arial"/>
                <w:sz w:val="20"/>
                <w:szCs w:val="20"/>
              </w:rPr>
              <w:t>8</w:t>
            </w:r>
          </w:p>
        </w:tc>
        <w:tc>
          <w:tcPr>
            <w:tcW w:w="610" w:type="dxa"/>
            <w:tcBorders>
              <w:top w:val="nil"/>
              <w:left w:val="nil"/>
              <w:bottom w:val="single" w:sz="4" w:space="0" w:color="auto"/>
              <w:right w:val="single" w:sz="4" w:space="0" w:color="auto"/>
            </w:tcBorders>
            <w:noWrap/>
            <w:vAlign w:val="center"/>
          </w:tcPr>
          <w:p w14:paraId="38632557" w14:textId="77777777" w:rsidR="00793C88" w:rsidRDefault="00793C88" w:rsidP="008738F2">
            <w:pPr>
              <w:spacing w:after="60"/>
              <w:jc w:val="right"/>
              <w:rPr>
                <w:rFonts w:ascii="Arial" w:hAnsi="Arial" w:cs="Arial"/>
                <w:sz w:val="20"/>
                <w:szCs w:val="20"/>
              </w:rPr>
            </w:pPr>
            <w:r>
              <w:rPr>
                <w:rFonts w:ascii="Arial" w:hAnsi="Arial" w:cs="Arial"/>
                <w:sz w:val="20"/>
                <w:szCs w:val="20"/>
              </w:rPr>
              <w:t>*</w:t>
            </w:r>
          </w:p>
        </w:tc>
        <w:tc>
          <w:tcPr>
            <w:tcW w:w="572" w:type="dxa"/>
            <w:tcBorders>
              <w:top w:val="nil"/>
              <w:left w:val="nil"/>
              <w:bottom w:val="single" w:sz="4" w:space="0" w:color="auto"/>
              <w:right w:val="single" w:sz="4" w:space="0" w:color="auto"/>
            </w:tcBorders>
            <w:noWrap/>
            <w:vAlign w:val="center"/>
          </w:tcPr>
          <w:p w14:paraId="4E9C5472" w14:textId="77777777" w:rsidR="00793C88" w:rsidRDefault="00793C88" w:rsidP="008738F2">
            <w:pPr>
              <w:spacing w:after="60"/>
              <w:jc w:val="right"/>
              <w:rPr>
                <w:rFonts w:ascii="Arial" w:hAnsi="Arial" w:cs="Arial"/>
                <w:sz w:val="20"/>
                <w:szCs w:val="20"/>
              </w:rPr>
            </w:pPr>
            <w:r>
              <w:rPr>
                <w:rFonts w:ascii="Arial" w:hAnsi="Arial" w:cs="Arial"/>
                <w:sz w:val="20"/>
                <w:szCs w:val="20"/>
              </w:rPr>
              <w:t>0</w:t>
            </w:r>
          </w:p>
        </w:tc>
        <w:tc>
          <w:tcPr>
            <w:tcW w:w="675" w:type="dxa"/>
            <w:tcBorders>
              <w:top w:val="nil"/>
              <w:left w:val="nil"/>
              <w:bottom w:val="single" w:sz="4" w:space="0" w:color="auto"/>
              <w:right w:val="single" w:sz="4" w:space="0" w:color="auto"/>
            </w:tcBorders>
            <w:noWrap/>
            <w:vAlign w:val="center"/>
          </w:tcPr>
          <w:p w14:paraId="5E606B16" w14:textId="77777777" w:rsidR="00793C88" w:rsidRDefault="00793C88" w:rsidP="008738F2">
            <w:pPr>
              <w:spacing w:after="60"/>
              <w:jc w:val="right"/>
              <w:rPr>
                <w:rFonts w:ascii="Arial" w:hAnsi="Arial" w:cs="Arial"/>
                <w:sz w:val="20"/>
                <w:szCs w:val="20"/>
              </w:rPr>
            </w:pPr>
            <w:r>
              <w:rPr>
                <w:rFonts w:ascii="Arial" w:hAnsi="Arial" w:cs="Arial"/>
                <w:sz w:val="20"/>
                <w:szCs w:val="20"/>
              </w:rPr>
              <w:t>*</w:t>
            </w:r>
          </w:p>
        </w:tc>
        <w:tc>
          <w:tcPr>
            <w:tcW w:w="627" w:type="dxa"/>
            <w:tcBorders>
              <w:top w:val="nil"/>
              <w:left w:val="nil"/>
              <w:bottom w:val="single" w:sz="4" w:space="0" w:color="auto"/>
              <w:right w:val="single" w:sz="4" w:space="0" w:color="auto"/>
            </w:tcBorders>
            <w:noWrap/>
            <w:vAlign w:val="center"/>
          </w:tcPr>
          <w:p w14:paraId="33F90462" w14:textId="77777777" w:rsidR="00793C88" w:rsidRDefault="00793C88" w:rsidP="008738F2">
            <w:pPr>
              <w:spacing w:after="60"/>
              <w:jc w:val="right"/>
              <w:rPr>
                <w:rFonts w:ascii="Arial" w:hAnsi="Arial" w:cs="Arial"/>
                <w:sz w:val="20"/>
                <w:szCs w:val="20"/>
              </w:rPr>
            </w:pPr>
            <w:r>
              <w:rPr>
                <w:rFonts w:ascii="Arial" w:hAnsi="Arial" w:cs="Arial"/>
                <w:sz w:val="20"/>
                <w:szCs w:val="20"/>
              </w:rPr>
              <w:t>5</w:t>
            </w:r>
          </w:p>
        </w:tc>
        <w:tc>
          <w:tcPr>
            <w:tcW w:w="659" w:type="dxa"/>
            <w:tcBorders>
              <w:top w:val="nil"/>
              <w:left w:val="nil"/>
              <w:bottom w:val="single" w:sz="4" w:space="0" w:color="auto"/>
              <w:right w:val="single" w:sz="4" w:space="0" w:color="auto"/>
            </w:tcBorders>
            <w:noWrap/>
            <w:vAlign w:val="center"/>
          </w:tcPr>
          <w:p w14:paraId="7329F1D3" w14:textId="77777777" w:rsidR="00793C88" w:rsidRDefault="00793C88" w:rsidP="008738F2">
            <w:pPr>
              <w:spacing w:after="60"/>
              <w:jc w:val="right"/>
              <w:rPr>
                <w:rFonts w:ascii="Arial" w:hAnsi="Arial" w:cs="Arial"/>
                <w:sz w:val="20"/>
                <w:szCs w:val="20"/>
              </w:rPr>
            </w:pPr>
            <w:r>
              <w:rPr>
                <w:rFonts w:ascii="Arial" w:hAnsi="Arial" w:cs="Arial"/>
                <w:sz w:val="20"/>
                <w:szCs w:val="20"/>
              </w:rPr>
              <w:t>11</w:t>
            </w:r>
          </w:p>
        </w:tc>
        <w:tc>
          <w:tcPr>
            <w:tcW w:w="675" w:type="dxa"/>
            <w:tcBorders>
              <w:top w:val="nil"/>
              <w:left w:val="nil"/>
              <w:bottom w:val="single" w:sz="4" w:space="0" w:color="auto"/>
              <w:right w:val="single" w:sz="4" w:space="0" w:color="auto"/>
            </w:tcBorders>
            <w:noWrap/>
            <w:vAlign w:val="center"/>
          </w:tcPr>
          <w:p w14:paraId="2B2F1DC5" w14:textId="77777777" w:rsidR="00793C88" w:rsidRDefault="00793C88" w:rsidP="008738F2">
            <w:pPr>
              <w:spacing w:after="60"/>
              <w:jc w:val="right"/>
              <w:rPr>
                <w:rFonts w:ascii="Arial" w:hAnsi="Arial" w:cs="Arial"/>
                <w:sz w:val="20"/>
                <w:szCs w:val="20"/>
              </w:rPr>
            </w:pPr>
            <w:r>
              <w:rPr>
                <w:rFonts w:ascii="Arial" w:hAnsi="Arial" w:cs="Arial"/>
                <w:sz w:val="20"/>
                <w:szCs w:val="20"/>
              </w:rPr>
              <w:t>22</w:t>
            </w:r>
          </w:p>
        </w:tc>
        <w:tc>
          <w:tcPr>
            <w:tcW w:w="659" w:type="dxa"/>
            <w:tcBorders>
              <w:top w:val="nil"/>
              <w:left w:val="nil"/>
              <w:bottom w:val="single" w:sz="4" w:space="0" w:color="auto"/>
              <w:right w:val="single" w:sz="4" w:space="0" w:color="auto"/>
            </w:tcBorders>
            <w:noWrap/>
            <w:vAlign w:val="center"/>
          </w:tcPr>
          <w:p w14:paraId="4995DA9E" w14:textId="77777777" w:rsidR="00793C88" w:rsidRDefault="00793C88" w:rsidP="008738F2">
            <w:pPr>
              <w:spacing w:after="60"/>
              <w:jc w:val="right"/>
              <w:rPr>
                <w:rFonts w:ascii="Arial" w:hAnsi="Arial" w:cs="Arial"/>
                <w:sz w:val="20"/>
                <w:szCs w:val="20"/>
              </w:rPr>
            </w:pPr>
            <w:r>
              <w:rPr>
                <w:rFonts w:ascii="Arial" w:hAnsi="Arial" w:cs="Arial"/>
                <w:sz w:val="20"/>
                <w:szCs w:val="20"/>
              </w:rPr>
              <w:t>25</w:t>
            </w:r>
          </w:p>
        </w:tc>
        <w:tc>
          <w:tcPr>
            <w:tcW w:w="659" w:type="dxa"/>
            <w:tcBorders>
              <w:top w:val="nil"/>
              <w:left w:val="nil"/>
              <w:bottom w:val="single" w:sz="4" w:space="0" w:color="auto"/>
              <w:right w:val="single" w:sz="4" w:space="0" w:color="auto"/>
            </w:tcBorders>
            <w:noWrap/>
            <w:vAlign w:val="center"/>
          </w:tcPr>
          <w:p w14:paraId="14F0C741" w14:textId="77777777" w:rsidR="00793C88" w:rsidRDefault="00793C88" w:rsidP="008738F2">
            <w:pPr>
              <w:spacing w:after="60"/>
              <w:jc w:val="right"/>
              <w:rPr>
                <w:rFonts w:ascii="Arial" w:hAnsi="Arial" w:cs="Arial"/>
                <w:sz w:val="20"/>
                <w:szCs w:val="20"/>
              </w:rPr>
            </w:pPr>
            <w:r>
              <w:rPr>
                <w:rFonts w:ascii="Arial" w:hAnsi="Arial" w:cs="Arial"/>
                <w:sz w:val="20"/>
                <w:szCs w:val="20"/>
              </w:rPr>
              <w:t>163</w:t>
            </w:r>
          </w:p>
        </w:tc>
      </w:tr>
    </w:tbl>
    <w:p w14:paraId="728A6052" w14:textId="77777777" w:rsidR="002B40DC" w:rsidRDefault="002B40DC">
      <w:pPr>
        <w:rPr>
          <w:b/>
          <w:snapToGrid w:val="0"/>
          <w:sz w:val="28"/>
        </w:rPr>
      </w:pPr>
    </w:p>
    <w:p w14:paraId="419E17B6" w14:textId="77777777" w:rsidR="002B40DC" w:rsidRPr="00793C88" w:rsidRDefault="002B40DC" w:rsidP="002B40DC">
      <w:pPr>
        <w:jc w:val="center"/>
        <w:rPr>
          <w:b/>
          <w:snapToGrid w:val="0"/>
        </w:rPr>
      </w:pPr>
      <w:r>
        <w:rPr>
          <w:b/>
          <w:snapToGrid w:val="0"/>
          <w:sz w:val="28"/>
        </w:rPr>
        <w:br w:type="page"/>
      </w:r>
      <w:r w:rsidRPr="00793C88">
        <w:rPr>
          <w:b/>
          <w:snapToGrid w:val="0"/>
        </w:rPr>
        <w:lastRenderedPageBreak/>
        <w:t>Table A-</w:t>
      </w:r>
      <w:r>
        <w:rPr>
          <w:b/>
          <w:snapToGrid w:val="0"/>
        </w:rPr>
        <w:t>2</w:t>
      </w:r>
      <w:r w:rsidRPr="00793C88">
        <w:rPr>
          <w:b/>
          <w:snapToGrid w:val="0"/>
        </w:rPr>
        <w:t xml:space="preserve">:  </w:t>
      </w:r>
      <w:r>
        <w:rPr>
          <w:b/>
          <w:snapToGrid w:val="0"/>
        </w:rPr>
        <w:t>Snowfall (Including Snow Pellets and Sleet) – Average Total in Inches</w:t>
      </w:r>
    </w:p>
    <w:tbl>
      <w:tblPr>
        <w:tblW w:w="11940" w:type="dxa"/>
        <w:jc w:val="center"/>
        <w:tblLook w:val="0000" w:firstRow="0" w:lastRow="0" w:firstColumn="0" w:lastColumn="0" w:noHBand="0" w:noVBand="0"/>
      </w:tblPr>
      <w:tblGrid>
        <w:gridCol w:w="3031"/>
        <w:gridCol w:w="629"/>
        <w:gridCol w:w="606"/>
        <w:gridCol w:w="606"/>
        <w:gridCol w:w="676"/>
        <w:gridCol w:w="629"/>
        <w:gridCol w:w="660"/>
        <w:gridCol w:w="605"/>
        <w:gridCol w:w="572"/>
        <w:gridCol w:w="660"/>
        <w:gridCol w:w="617"/>
        <w:gridCol w:w="644"/>
        <w:gridCol w:w="660"/>
        <w:gridCol w:w="644"/>
        <w:gridCol w:w="755"/>
      </w:tblGrid>
      <w:tr w:rsidR="002B40DC" w14:paraId="4F6BFDDA" w14:textId="77777777" w:rsidTr="00915E78">
        <w:trPr>
          <w:trHeight w:val="255"/>
          <w:jc w:val="center"/>
        </w:trPr>
        <w:tc>
          <w:tcPr>
            <w:tcW w:w="11940" w:type="dxa"/>
            <w:gridSpan w:val="15"/>
            <w:tcBorders>
              <w:top w:val="nil"/>
              <w:left w:val="nil"/>
              <w:bottom w:val="nil"/>
              <w:right w:val="nil"/>
            </w:tcBorders>
            <w:noWrap/>
            <w:vAlign w:val="center"/>
          </w:tcPr>
          <w:p w14:paraId="69006693" w14:textId="77777777" w:rsidR="002B40DC" w:rsidRDefault="002B40DC" w:rsidP="008738F2">
            <w:pPr>
              <w:spacing w:after="60"/>
              <w:rPr>
                <w:rFonts w:ascii="Arial" w:hAnsi="Arial" w:cs="Arial"/>
                <w:sz w:val="20"/>
                <w:szCs w:val="20"/>
              </w:rPr>
            </w:pPr>
            <w:r>
              <w:rPr>
                <w:rFonts w:ascii="Arial" w:hAnsi="Arial" w:cs="Arial"/>
                <w:sz w:val="20"/>
                <w:szCs w:val="20"/>
              </w:rPr>
              <w:t xml:space="preserve">As Reported by the National Climatic </w:t>
            </w:r>
            <w:smartTag w:uri="urn:schemas-microsoft-com:office:smarttags" w:element="place">
              <w:smartTag w:uri="urn:schemas-microsoft-com:office:smarttags" w:element="PlaceName">
                <w:r>
                  <w:rPr>
                    <w:rFonts w:ascii="Arial" w:hAnsi="Arial" w:cs="Arial"/>
                    <w:sz w:val="20"/>
                    <w:szCs w:val="20"/>
                  </w:rPr>
                  <w:t>Data</w:t>
                </w:r>
              </w:smartTag>
              <w:r>
                <w:rPr>
                  <w:rFonts w:ascii="Arial" w:hAnsi="Arial" w:cs="Arial"/>
                  <w:sz w:val="20"/>
                  <w:szCs w:val="20"/>
                </w:rPr>
                <w:t xml:space="preserve"> </w:t>
              </w:r>
              <w:smartTag w:uri="urn:schemas-microsoft-com:office:smarttags" w:element="PlaceType">
                <w:r>
                  <w:rPr>
                    <w:rFonts w:ascii="Arial" w:hAnsi="Arial" w:cs="Arial"/>
                    <w:sz w:val="20"/>
                    <w:szCs w:val="20"/>
                  </w:rPr>
                  <w:t>Center</w:t>
                </w:r>
              </w:smartTag>
            </w:smartTag>
            <w:r>
              <w:rPr>
                <w:rFonts w:ascii="Arial" w:hAnsi="Arial" w:cs="Arial"/>
                <w:sz w:val="20"/>
                <w:szCs w:val="20"/>
              </w:rPr>
              <w:t xml:space="preserve"> through 2004.  Formatted by ADEC on </w:t>
            </w:r>
            <w:smartTag w:uri="urn:schemas-microsoft-com:office:smarttags" w:element="date">
              <w:smartTagPr>
                <w:attr w:name="Year" w:val="2006"/>
                <w:attr w:name="Day" w:val="14"/>
                <w:attr w:name="Month" w:val="2"/>
              </w:smartTagPr>
              <w:r>
                <w:rPr>
                  <w:rFonts w:ascii="Arial" w:hAnsi="Arial" w:cs="Arial"/>
                  <w:sz w:val="20"/>
                  <w:szCs w:val="20"/>
                </w:rPr>
                <w:t>2/14/06</w:t>
              </w:r>
            </w:smartTag>
          </w:p>
        </w:tc>
      </w:tr>
      <w:tr w:rsidR="002B40DC" w14:paraId="2313D3E9" w14:textId="77777777" w:rsidTr="00915E78">
        <w:trPr>
          <w:trHeight w:val="255"/>
          <w:jc w:val="center"/>
        </w:trPr>
        <w:tc>
          <w:tcPr>
            <w:tcW w:w="3031" w:type="dxa"/>
            <w:tcBorders>
              <w:top w:val="nil"/>
              <w:left w:val="nil"/>
              <w:bottom w:val="single" w:sz="4" w:space="0" w:color="auto"/>
              <w:right w:val="nil"/>
            </w:tcBorders>
            <w:noWrap/>
            <w:vAlign w:val="center"/>
          </w:tcPr>
          <w:p w14:paraId="7CF675F9" w14:textId="77777777" w:rsidR="002B40DC" w:rsidRDefault="002B40DC" w:rsidP="008738F2">
            <w:pPr>
              <w:spacing w:after="60"/>
              <w:rPr>
                <w:rFonts w:ascii="Arial" w:hAnsi="Arial" w:cs="Arial"/>
                <w:sz w:val="20"/>
                <w:szCs w:val="20"/>
              </w:rPr>
            </w:pPr>
          </w:p>
        </w:tc>
        <w:tc>
          <w:tcPr>
            <w:tcW w:w="629" w:type="dxa"/>
            <w:tcBorders>
              <w:top w:val="nil"/>
              <w:left w:val="nil"/>
              <w:bottom w:val="single" w:sz="4" w:space="0" w:color="auto"/>
              <w:right w:val="nil"/>
            </w:tcBorders>
            <w:noWrap/>
            <w:vAlign w:val="center"/>
          </w:tcPr>
          <w:p w14:paraId="1618D33C" w14:textId="77777777" w:rsidR="002B40DC" w:rsidRDefault="002B40DC" w:rsidP="008738F2">
            <w:pPr>
              <w:spacing w:after="60"/>
              <w:rPr>
                <w:rFonts w:ascii="Arial" w:hAnsi="Arial" w:cs="Arial"/>
                <w:sz w:val="20"/>
                <w:szCs w:val="20"/>
              </w:rPr>
            </w:pPr>
          </w:p>
        </w:tc>
        <w:tc>
          <w:tcPr>
            <w:tcW w:w="597" w:type="dxa"/>
            <w:tcBorders>
              <w:top w:val="nil"/>
              <w:left w:val="nil"/>
              <w:bottom w:val="single" w:sz="4" w:space="0" w:color="auto"/>
              <w:right w:val="nil"/>
            </w:tcBorders>
            <w:noWrap/>
            <w:vAlign w:val="center"/>
          </w:tcPr>
          <w:p w14:paraId="516C6F5A" w14:textId="77777777" w:rsidR="002B40DC" w:rsidRDefault="002B40DC" w:rsidP="008738F2">
            <w:pPr>
              <w:spacing w:after="60"/>
              <w:rPr>
                <w:rFonts w:ascii="Arial" w:hAnsi="Arial" w:cs="Arial"/>
                <w:sz w:val="20"/>
                <w:szCs w:val="20"/>
              </w:rPr>
            </w:pPr>
          </w:p>
        </w:tc>
        <w:tc>
          <w:tcPr>
            <w:tcW w:w="597" w:type="dxa"/>
            <w:tcBorders>
              <w:top w:val="nil"/>
              <w:left w:val="nil"/>
              <w:bottom w:val="single" w:sz="4" w:space="0" w:color="auto"/>
              <w:right w:val="nil"/>
            </w:tcBorders>
            <w:noWrap/>
            <w:vAlign w:val="center"/>
          </w:tcPr>
          <w:p w14:paraId="47F89F45" w14:textId="77777777" w:rsidR="002B40DC" w:rsidRDefault="002B40DC" w:rsidP="008738F2">
            <w:pPr>
              <w:spacing w:after="60"/>
              <w:rPr>
                <w:rFonts w:ascii="Arial" w:hAnsi="Arial" w:cs="Arial"/>
                <w:sz w:val="20"/>
                <w:szCs w:val="20"/>
              </w:rPr>
            </w:pPr>
          </w:p>
        </w:tc>
        <w:tc>
          <w:tcPr>
            <w:tcW w:w="676" w:type="dxa"/>
            <w:tcBorders>
              <w:top w:val="nil"/>
              <w:left w:val="nil"/>
              <w:bottom w:val="single" w:sz="4" w:space="0" w:color="auto"/>
              <w:right w:val="nil"/>
            </w:tcBorders>
            <w:noWrap/>
            <w:vAlign w:val="center"/>
          </w:tcPr>
          <w:p w14:paraId="2802F029" w14:textId="77777777" w:rsidR="002B40DC" w:rsidRDefault="002B40DC" w:rsidP="008738F2">
            <w:pPr>
              <w:spacing w:after="60"/>
              <w:rPr>
                <w:rFonts w:ascii="Arial" w:hAnsi="Arial" w:cs="Arial"/>
                <w:sz w:val="20"/>
                <w:szCs w:val="20"/>
              </w:rPr>
            </w:pPr>
          </w:p>
        </w:tc>
        <w:tc>
          <w:tcPr>
            <w:tcW w:w="629" w:type="dxa"/>
            <w:tcBorders>
              <w:top w:val="nil"/>
              <w:left w:val="nil"/>
              <w:bottom w:val="single" w:sz="4" w:space="0" w:color="auto"/>
              <w:right w:val="nil"/>
            </w:tcBorders>
            <w:noWrap/>
            <w:vAlign w:val="center"/>
          </w:tcPr>
          <w:p w14:paraId="13C4236C" w14:textId="77777777" w:rsidR="002B40DC" w:rsidRDefault="002B40DC" w:rsidP="008738F2">
            <w:pPr>
              <w:spacing w:after="60"/>
              <w:rPr>
                <w:rFonts w:ascii="Arial" w:hAnsi="Arial" w:cs="Arial"/>
                <w:sz w:val="20"/>
                <w:szCs w:val="20"/>
              </w:rPr>
            </w:pPr>
          </w:p>
        </w:tc>
        <w:tc>
          <w:tcPr>
            <w:tcW w:w="660" w:type="dxa"/>
            <w:tcBorders>
              <w:top w:val="nil"/>
              <w:left w:val="nil"/>
              <w:bottom w:val="single" w:sz="4" w:space="0" w:color="auto"/>
              <w:right w:val="nil"/>
            </w:tcBorders>
            <w:noWrap/>
            <w:vAlign w:val="center"/>
          </w:tcPr>
          <w:p w14:paraId="668FA77F" w14:textId="77777777" w:rsidR="002B40DC" w:rsidRDefault="002B40DC" w:rsidP="008738F2">
            <w:pPr>
              <w:spacing w:after="60"/>
              <w:rPr>
                <w:rFonts w:ascii="Arial" w:hAnsi="Arial" w:cs="Arial"/>
                <w:sz w:val="20"/>
                <w:szCs w:val="20"/>
              </w:rPr>
            </w:pPr>
          </w:p>
        </w:tc>
        <w:tc>
          <w:tcPr>
            <w:tcW w:w="596" w:type="dxa"/>
            <w:tcBorders>
              <w:top w:val="nil"/>
              <w:left w:val="nil"/>
              <w:bottom w:val="single" w:sz="4" w:space="0" w:color="auto"/>
              <w:right w:val="nil"/>
            </w:tcBorders>
            <w:noWrap/>
            <w:vAlign w:val="center"/>
          </w:tcPr>
          <w:p w14:paraId="301994FF" w14:textId="77777777" w:rsidR="002B40DC" w:rsidRDefault="002B40DC" w:rsidP="008738F2">
            <w:pPr>
              <w:spacing w:after="60"/>
              <w:rPr>
                <w:rFonts w:ascii="Arial" w:hAnsi="Arial" w:cs="Arial"/>
                <w:sz w:val="20"/>
                <w:szCs w:val="20"/>
              </w:rPr>
            </w:pPr>
          </w:p>
        </w:tc>
        <w:tc>
          <w:tcPr>
            <w:tcW w:w="549" w:type="dxa"/>
            <w:tcBorders>
              <w:top w:val="nil"/>
              <w:left w:val="nil"/>
              <w:bottom w:val="single" w:sz="4" w:space="0" w:color="auto"/>
              <w:right w:val="nil"/>
            </w:tcBorders>
            <w:noWrap/>
            <w:vAlign w:val="center"/>
          </w:tcPr>
          <w:p w14:paraId="6075B6A7" w14:textId="77777777" w:rsidR="002B40DC" w:rsidRDefault="002B40DC" w:rsidP="008738F2">
            <w:pPr>
              <w:spacing w:after="60"/>
              <w:rPr>
                <w:rFonts w:ascii="Arial" w:hAnsi="Arial" w:cs="Arial"/>
                <w:sz w:val="20"/>
                <w:szCs w:val="20"/>
              </w:rPr>
            </w:pPr>
          </w:p>
        </w:tc>
        <w:tc>
          <w:tcPr>
            <w:tcW w:w="660" w:type="dxa"/>
            <w:tcBorders>
              <w:top w:val="nil"/>
              <w:left w:val="nil"/>
              <w:bottom w:val="single" w:sz="4" w:space="0" w:color="auto"/>
              <w:right w:val="nil"/>
            </w:tcBorders>
            <w:noWrap/>
            <w:vAlign w:val="center"/>
          </w:tcPr>
          <w:p w14:paraId="1EED1177" w14:textId="77777777" w:rsidR="002B40DC" w:rsidRDefault="002B40DC" w:rsidP="008738F2">
            <w:pPr>
              <w:spacing w:after="60"/>
              <w:rPr>
                <w:rFonts w:ascii="Arial" w:hAnsi="Arial" w:cs="Arial"/>
                <w:sz w:val="20"/>
                <w:szCs w:val="20"/>
              </w:rPr>
            </w:pPr>
          </w:p>
        </w:tc>
        <w:tc>
          <w:tcPr>
            <w:tcW w:w="613" w:type="dxa"/>
            <w:tcBorders>
              <w:top w:val="nil"/>
              <w:left w:val="nil"/>
              <w:bottom w:val="single" w:sz="4" w:space="0" w:color="auto"/>
              <w:right w:val="nil"/>
            </w:tcBorders>
            <w:noWrap/>
            <w:vAlign w:val="center"/>
          </w:tcPr>
          <w:p w14:paraId="07C3D22F" w14:textId="77777777" w:rsidR="002B40DC" w:rsidRDefault="002B40DC" w:rsidP="008738F2">
            <w:pPr>
              <w:spacing w:after="60"/>
              <w:rPr>
                <w:rFonts w:ascii="Arial" w:hAnsi="Arial" w:cs="Arial"/>
                <w:sz w:val="20"/>
                <w:szCs w:val="20"/>
              </w:rPr>
            </w:pPr>
          </w:p>
        </w:tc>
        <w:tc>
          <w:tcPr>
            <w:tcW w:w="644" w:type="dxa"/>
            <w:tcBorders>
              <w:top w:val="nil"/>
              <w:left w:val="nil"/>
              <w:bottom w:val="single" w:sz="4" w:space="0" w:color="auto"/>
              <w:right w:val="nil"/>
            </w:tcBorders>
            <w:noWrap/>
            <w:vAlign w:val="center"/>
          </w:tcPr>
          <w:p w14:paraId="7E630147" w14:textId="77777777" w:rsidR="002B40DC" w:rsidRDefault="002B40DC" w:rsidP="008738F2">
            <w:pPr>
              <w:spacing w:after="60"/>
              <w:rPr>
                <w:rFonts w:ascii="Arial" w:hAnsi="Arial" w:cs="Arial"/>
                <w:sz w:val="20"/>
                <w:szCs w:val="20"/>
              </w:rPr>
            </w:pPr>
          </w:p>
        </w:tc>
        <w:tc>
          <w:tcPr>
            <w:tcW w:w="660" w:type="dxa"/>
            <w:tcBorders>
              <w:top w:val="nil"/>
              <w:left w:val="nil"/>
              <w:bottom w:val="single" w:sz="4" w:space="0" w:color="auto"/>
              <w:right w:val="nil"/>
            </w:tcBorders>
            <w:noWrap/>
            <w:vAlign w:val="center"/>
          </w:tcPr>
          <w:p w14:paraId="37350771" w14:textId="77777777" w:rsidR="002B40DC" w:rsidRDefault="002B40DC" w:rsidP="008738F2">
            <w:pPr>
              <w:spacing w:after="60"/>
              <w:rPr>
                <w:rFonts w:ascii="Arial" w:hAnsi="Arial" w:cs="Arial"/>
                <w:sz w:val="20"/>
                <w:szCs w:val="20"/>
              </w:rPr>
            </w:pPr>
          </w:p>
        </w:tc>
        <w:tc>
          <w:tcPr>
            <w:tcW w:w="644" w:type="dxa"/>
            <w:tcBorders>
              <w:top w:val="nil"/>
              <w:left w:val="nil"/>
              <w:bottom w:val="single" w:sz="4" w:space="0" w:color="auto"/>
              <w:right w:val="nil"/>
            </w:tcBorders>
            <w:noWrap/>
            <w:vAlign w:val="center"/>
          </w:tcPr>
          <w:p w14:paraId="086B3D44" w14:textId="77777777" w:rsidR="002B40DC" w:rsidRDefault="002B40DC" w:rsidP="008738F2">
            <w:pPr>
              <w:spacing w:after="60"/>
              <w:rPr>
                <w:rFonts w:ascii="Arial" w:hAnsi="Arial" w:cs="Arial"/>
                <w:sz w:val="20"/>
                <w:szCs w:val="20"/>
              </w:rPr>
            </w:pPr>
          </w:p>
        </w:tc>
        <w:tc>
          <w:tcPr>
            <w:tcW w:w="755" w:type="dxa"/>
            <w:tcBorders>
              <w:top w:val="nil"/>
              <w:left w:val="nil"/>
              <w:bottom w:val="single" w:sz="4" w:space="0" w:color="auto"/>
              <w:right w:val="nil"/>
            </w:tcBorders>
            <w:noWrap/>
            <w:vAlign w:val="center"/>
          </w:tcPr>
          <w:p w14:paraId="151A0A8F" w14:textId="77777777" w:rsidR="002B40DC" w:rsidRDefault="002B40DC" w:rsidP="008738F2">
            <w:pPr>
              <w:spacing w:after="60"/>
              <w:rPr>
                <w:rFonts w:ascii="Arial" w:hAnsi="Arial" w:cs="Arial"/>
                <w:sz w:val="20"/>
                <w:szCs w:val="20"/>
              </w:rPr>
            </w:pPr>
          </w:p>
        </w:tc>
      </w:tr>
      <w:tr w:rsidR="002B40DC" w14:paraId="21B492C3" w14:textId="77777777" w:rsidTr="00915E78">
        <w:trPr>
          <w:trHeight w:val="270"/>
          <w:jc w:val="center"/>
        </w:trPr>
        <w:tc>
          <w:tcPr>
            <w:tcW w:w="3031" w:type="dxa"/>
            <w:tcBorders>
              <w:top w:val="single" w:sz="4" w:space="0" w:color="auto"/>
              <w:left w:val="single" w:sz="4" w:space="0" w:color="auto"/>
              <w:bottom w:val="single" w:sz="12" w:space="0" w:color="auto"/>
              <w:right w:val="single" w:sz="4" w:space="0" w:color="auto"/>
            </w:tcBorders>
            <w:shd w:val="pct10" w:color="auto" w:fill="auto"/>
            <w:noWrap/>
            <w:vAlign w:val="center"/>
          </w:tcPr>
          <w:p w14:paraId="4AB561D1" w14:textId="77777777" w:rsidR="002B40DC" w:rsidRDefault="002B40DC" w:rsidP="008738F2">
            <w:pPr>
              <w:spacing w:after="60"/>
              <w:rPr>
                <w:rFonts w:ascii="Arial" w:hAnsi="Arial" w:cs="Arial"/>
                <w:sz w:val="20"/>
                <w:szCs w:val="20"/>
              </w:rPr>
            </w:pPr>
            <w:r>
              <w:rPr>
                <w:rFonts w:ascii="Arial" w:hAnsi="Arial" w:cs="Arial"/>
                <w:sz w:val="20"/>
                <w:szCs w:val="20"/>
              </w:rPr>
              <w:t>DATA THROUGH 2004</w:t>
            </w:r>
          </w:p>
        </w:tc>
        <w:tc>
          <w:tcPr>
            <w:tcW w:w="629" w:type="dxa"/>
            <w:tcBorders>
              <w:top w:val="single" w:sz="4" w:space="0" w:color="auto"/>
              <w:left w:val="nil"/>
              <w:bottom w:val="single" w:sz="12" w:space="0" w:color="auto"/>
              <w:right w:val="single" w:sz="4" w:space="0" w:color="auto"/>
            </w:tcBorders>
            <w:shd w:val="pct10" w:color="auto" w:fill="auto"/>
            <w:noWrap/>
            <w:vAlign w:val="center"/>
          </w:tcPr>
          <w:p w14:paraId="2B767667" w14:textId="77777777" w:rsidR="002B40DC" w:rsidRDefault="002B40DC" w:rsidP="008738F2">
            <w:pPr>
              <w:spacing w:after="60"/>
              <w:rPr>
                <w:rFonts w:ascii="Arial" w:hAnsi="Arial" w:cs="Arial"/>
                <w:i/>
                <w:iCs/>
                <w:sz w:val="20"/>
                <w:szCs w:val="20"/>
              </w:rPr>
            </w:pPr>
            <w:r>
              <w:rPr>
                <w:rFonts w:ascii="Arial" w:hAnsi="Arial" w:cs="Arial"/>
                <w:i/>
                <w:iCs/>
                <w:sz w:val="20"/>
                <w:szCs w:val="20"/>
              </w:rPr>
              <w:t>YRS</w:t>
            </w:r>
          </w:p>
        </w:tc>
        <w:tc>
          <w:tcPr>
            <w:tcW w:w="597" w:type="dxa"/>
            <w:tcBorders>
              <w:top w:val="single" w:sz="4" w:space="0" w:color="auto"/>
              <w:left w:val="nil"/>
              <w:bottom w:val="single" w:sz="12" w:space="0" w:color="auto"/>
              <w:right w:val="single" w:sz="4" w:space="0" w:color="auto"/>
            </w:tcBorders>
            <w:shd w:val="pct10" w:color="auto" w:fill="auto"/>
            <w:noWrap/>
            <w:vAlign w:val="center"/>
          </w:tcPr>
          <w:p w14:paraId="7AA92156" w14:textId="77777777" w:rsidR="002B40DC" w:rsidRDefault="002B40DC" w:rsidP="008738F2">
            <w:pPr>
              <w:spacing w:after="60"/>
              <w:rPr>
                <w:rFonts w:ascii="Arial" w:hAnsi="Arial" w:cs="Arial"/>
                <w:sz w:val="20"/>
                <w:szCs w:val="20"/>
              </w:rPr>
            </w:pPr>
            <w:r>
              <w:rPr>
                <w:rFonts w:ascii="Arial" w:hAnsi="Arial" w:cs="Arial"/>
                <w:sz w:val="20"/>
                <w:szCs w:val="20"/>
              </w:rPr>
              <w:t>JAN</w:t>
            </w:r>
          </w:p>
        </w:tc>
        <w:tc>
          <w:tcPr>
            <w:tcW w:w="597" w:type="dxa"/>
            <w:tcBorders>
              <w:top w:val="single" w:sz="4" w:space="0" w:color="auto"/>
              <w:left w:val="nil"/>
              <w:bottom w:val="single" w:sz="12" w:space="0" w:color="auto"/>
              <w:right w:val="single" w:sz="4" w:space="0" w:color="auto"/>
            </w:tcBorders>
            <w:shd w:val="pct10" w:color="auto" w:fill="auto"/>
            <w:noWrap/>
            <w:vAlign w:val="center"/>
          </w:tcPr>
          <w:p w14:paraId="4570CADD" w14:textId="77777777" w:rsidR="002B40DC" w:rsidRDefault="002B40DC" w:rsidP="008738F2">
            <w:pPr>
              <w:spacing w:after="60"/>
              <w:rPr>
                <w:rFonts w:ascii="Arial" w:hAnsi="Arial" w:cs="Arial"/>
                <w:sz w:val="20"/>
                <w:szCs w:val="20"/>
              </w:rPr>
            </w:pPr>
            <w:r>
              <w:rPr>
                <w:rFonts w:ascii="Arial" w:hAnsi="Arial" w:cs="Arial"/>
                <w:sz w:val="20"/>
                <w:szCs w:val="20"/>
              </w:rPr>
              <w:t>FEB</w:t>
            </w:r>
          </w:p>
        </w:tc>
        <w:tc>
          <w:tcPr>
            <w:tcW w:w="676" w:type="dxa"/>
            <w:tcBorders>
              <w:top w:val="single" w:sz="4" w:space="0" w:color="auto"/>
              <w:left w:val="nil"/>
              <w:bottom w:val="single" w:sz="12" w:space="0" w:color="auto"/>
              <w:right w:val="single" w:sz="4" w:space="0" w:color="auto"/>
            </w:tcBorders>
            <w:shd w:val="pct10" w:color="auto" w:fill="auto"/>
            <w:noWrap/>
            <w:vAlign w:val="center"/>
          </w:tcPr>
          <w:p w14:paraId="13236C69" w14:textId="77777777" w:rsidR="002B40DC" w:rsidRDefault="002B40DC" w:rsidP="008738F2">
            <w:pPr>
              <w:spacing w:after="60"/>
              <w:rPr>
                <w:rFonts w:ascii="Arial" w:hAnsi="Arial" w:cs="Arial"/>
                <w:sz w:val="20"/>
                <w:szCs w:val="20"/>
              </w:rPr>
            </w:pPr>
            <w:r>
              <w:rPr>
                <w:rFonts w:ascii="Arial" w:hAnsi="Arial" w:cs="Arial"/>
                <w:sz w:val="20"/>
                <w:szCs w:val="20"/>
              </w:rPr>
              <w:t>MAR</w:t>
            </w:r>
          </w:p>
        </w:tc>
        <w:tc>
          <w:tcPr>
            <w:tcW w:w="629" w:type="dxa"/>
            <w:tcBorders>
              <w:top w:val="single" w:sz="4" w:space="0" w:color="auto"/>
              <w:left w:val="nil"/>
              <w:bottom w:val="single" w:sz="12" w:space="0" w:color="auto"/>
              <w:right w:val="single" w:sz="4" w:space="0" w:color="auto"/>
            </w:tcBorders>
            <w:shd w:val="pct10" w:color="auto" w:fill="auto"/>
            <w:noWrap/>
            <w:vAlign w:val="center"/>
          </w:tcPr>
          <w:p w14:paraId="5102AFBE" w14:textId="77777777" w:rsidR="002B40DC" w:rsidRDefault="002B40DC" w:rsidP="008738F2">
            <w:pPr>
              <w:spacing w:after="60"/>
              <w:rPr>
                <w:rFonts w:ascii="Arial" w:hAnsi="Arial" w:cs="Arial"/>
                <w:sz w:val="20"/>
                <w:szCs w:val="20"/>
              </w:rPr>
            </w:pPr>
            <w:r>
              <w:rPr>
                <w:rFonts w:ascii="Arial" w:hAnsi="Arial" w:cs="Arial"/>
                <w:sz w:val="20"/>
                <w:szCs w:val="20"/>
              </w:rPr>
              <w:t>APR</w:t>
            </w:r>
          </w:p>
        </w:tc>
        <w:tc>
          <w:tcPr>
            <w:tcW w:w="660" w:type="dxa"/>
            <w:tcBorders>
              <w:top w:val="single" w:sz="4" w:space="0" w:color="auto"/>
              <w:left w:val="nil"/>
              <w:bottom w:val="single" w:sz="12" w:space="0" w:color="auto"/>
              <w:right w:val="single" w:sz="4" w:space="0" w:color="auto"/>
            </w:tcBorders>
            <w:shd w:val="pct10" w:color="auto" w:fill="auto"/>
            <w:noWrap/>
            <w:vAlign w:val="center"/>
          </w:tcPr>
          <w:p w14:paraId="6F1CDD51" w14:textId="77777777" w:rsidR="002B40DC" w:rsidRDefault="002B40DC" w:rsidP="008738F2">
            <w:pPr>
              <w:spacing w:after="60"/>
              <w:rPr>
                <w:rFonts w:ascii="Arial" w:hAnsi="Arial" w:cs="Arial"/>
                <w:sz w:val="20"/>
                <w:szCs w:val="20"/>
              </w:rPr>
            </w:pPr>
            <w:r>
              <w:rPr>
                <w:rFonts w:ascii="Arial" w:hAnsi="Arial" w:cs="Arial"/>
                <w:sz w:val="20"/>
                <w:szCs w:val="20"/>
              </w:rPr>
              <w:t>MAY</w:t>
            </w:r>
          </w:p>
        </w:tc>
        <w:tc>
          <w:tcPr>
            <w:tcW w:w="596" w:type="dxa"/>
            <w:tcBorders>
              <w:top w:val="single" w:sz="4" w:space="0" w:color="auto"/>
              <w:left w:val="nil"/>
              <w:bottom w:val="single" w:sz="12" w:space="0" w:color="auto"/>
              <w:right w:val="single" w:sz="4" w:space="0" w:color="auto"/>
            </w:tcBorders>
            <w:shd w:val="pct10" w:color="auto" w:fill="auto"/>
            <w:noWrap/>
            <w:vAlign w:val="center"/>
          </w:tcPr>
          <w:p w14:paraId="41636FB3" w14:textId="77777777" w:rsidR="002B40DC" w:rsidRDefault="002B40DC" w:rsidP="008738F2">
            <w:pPr>
              <w:spacing w:after="60"/>
              <w:rPr>
                <w:rFonts w:ascii="Arial" w:hAnsi="Arial" w:cs="Arial"/>
                <w:sz w:val="20"/>
                <w:szCs w:val="20"/>
              </w:rPr>
            </w:pPr>
            <w:r>
              <w:rPr>
                <w:rFonts w:ascii="Arial" w:hAnsi="Arial" w:cs="Arial"/>
                <w:sz w:val="20"/>
                <w:szCs w:val="20"/>
              </w:rPr>
              <w:t>JUN</w:t>
            </w:r>
          </w:p>
        </w:tc>
        <w:tc>
          <w:tcPr>
            <w:tcW w:w="549" w:type="dxa"/>
            <w:tcBorders>
              <w:top w:val="single" w:sz="4" w:space="0" w:color="auto"/>
              <w:left w:val="nil"/>
              <w:bottom w:val="single" w:sz="12" w:space="0" w:color="auto"/>
              <w:right w:val="single" w:sz="4" w:space="0" w:color="auto"/>
            </w:tcBorders>
            <w:shd w:val="pct10" w:color="auto" w:fill="auto"/>
            <w:noWrap/>
            <w:vAlign w:val="center"/>
          </w:tcPr>
          <w:p w14:paraId="1EC108DC" w14:textId="77777777" w:rsidR="002B40DC" w:rsidRDefault="002B40DC" w:rsidP="008738F2">
            <w:pPr>
              <w:spacing w:after="60"/>
              <w:rPr>
                <w:rFonts w:ascii="Arial" w:hAnsi="Arial" w:cs="Arial"/>
                <w:sz w:val="20"/>
                <w:szCs w:val="20"/>
              </w:rPr>
            </w:pPr>
            <w:r>
              <w:rPr>
                <w:rFonts w:ascii="Arial" w:hAnsi="Arial" w:cs="Arial"/>
                <w:sz w:val="20"/>
                <w:szCs w:val="20"/>
              </w:rPr>
              <w:t>JUL</w:t>
            </w:r>
          </w:p>
        </w:tc>
        <w:tc>
          <w:tcPr>
            <w:tcW w:w="660" w:type="dxa"/>
            <w:tcBorders>
              <w:top w:val="single" w:sz="4" w:space="0" w:color="auto"/>
              <w:left w:val="nil"/>
              <w:bottom w:val="single" w:sz="12" w:space="0" w:color="auto"/>
              <w:right w:val="single" w:sz="4" w:space="0" w:color="auto"/>
            </w:tcBorders>
            <w:shd w:val="pct10" w:color="auto" w:fill="auto"/>
            <w:noWrap/>
            <w:vAlign w:val="center"/>
          </w:tcPr>
          <w:p w14:paraId="6E7DA9CC" w14:textId="77777777" w:rsidR="002B40DC" w:rsidRDefault="002B40DC" w:rsidP="008738F2">
            <w:pPr>
              <w:spacing w:after="60"/>
              <w:rPr>
                <w:rFonts w:ascii="Arial" w:hAnsi="Arial" w:cs="Arial"/>
                <w:sz w:val="20"/>
                <w:szCs w:val="20"/>
              </w:rPr>
            </w:pPr>
            <w:r>
              <w:rPr>
                <w:rFonts w:ascii="Arial" w:hAnsi="Arial" w:cs="Arial"/>
                <w:sz w:val="20"/>
                <w:szCs w:val="20"/>
              </w:rPr>
              <w:t>AUG</w:t>
            </w:r>
          </w:p>
        </w:tc>
        <w:tc>
          <w:tcPr>
            <w:tcW w:w="613" w:type="dxa"/>
            <w:tcBorders>
              <w:top w:val="single" w:sz="4" w:space="0" w:color="auto"/>
              <w:left w:val="nil"/>
              <w:bottom w:val="single" w:sz="12" w:space="0" w:color="auto"/>
              <w:right w:val="single" w:sz="4" w:space="0" w:color="auto"/>
            </w:tcBorders>
            <w:shd w:val="pct10" w:color="auto" w:fill="auto"/>
            <w:noWrap/>
            <w:vAlign w:val="center"/>
          </w:tcPr>
          <w:p w14:paraId="65E7FB0E" w14:textId="77777777" w:rsidR="002B40DC" w:rsidRDefault="002B40DC" w:rsidP="008738F2">
            <w:pPr>
              <w:spacing w:after="60"/>
              <w:rPr>
                <w:rFonts w:ascii="Arial" w:hAnsi="Arial" w:cs="Arial"/>
                <w:sz w:val="20"/>
                <w:szCs w:val="20"/>
              </w:rPr>
            </w:pPr>
            <w:r>
              <w:rPr>
                <w:rFonts w:ascii="Arial" w:hAnsi="Arial" w:cs="Arial"/>
                <w:sz w:val="20"/>
                <w:szCs w:val="20"/>
              </w:rPr>
              <w:t>SEP</w:t>
            </w:r>
          </w:p>
        </w:tc>
        <w:tc>
          <w:tcPr>
            <w:tcW w:w="644" w:type="dxa"/>
            <w:tcBorders>
              <w:top w:val="single" w:sz="4" w:space="0" w:color="auto"/>
              <w:left w:val="nil"/>
              <w:bottom w:val="single" w:sz="12" w:space="0" w:color="auto"/>
              <w:right w:val="single" w:sz="4" w:space="0" w:color="auto"/>
            </w:tcBorders>
            <w:shd w:val="pct10" w:color="auto" w:fill="auto"/>
            <w:noWrap/>
            <w:vAlign w:val="center"/>
          </w:tcPr>
          <w:p w14:paraId="0F974359" w14:textId="77777777" w:rsidR="002B40DC" w:rsidRDefault="002B40DC" w:rsidP="008738F2">
            <w:pPr>
              <w:spacing w:after="60"/>
              <w:rPr>
                <w:rFonts w:ascii="Arial" w:hAnsi="Arial" w:cs="Arial"/>
                <w:sz w:val="20"/>
                <w:szCs w:val="20"/>
              </w:rPr>
            </w:pPr>
            <w:r>
              <w:rPr>
                <w:rFonts w:ascii="Arial" w:hAnsi="Arial" w:cs="Arial"/>
                <w:sz w:val="20"/>
                <w:szCs w:val="20"/>
              </w:rPr>
              <w:t>OCT</w:t>
            </w:r>
          </w:p>
        </w:tc>
        <w:tc>
          <w:tcPr>
            <w:tcW w:w="660" w:type="dxa"/>
            <w:tcBorders>
              <w:top w:val="single" w:sz="4" w:space="0" w:color="auto"/>
              <w:left w:val="nil"/>
              <w:bottom w:val="single" w:sz="12" w:space="0" w:color="auto"/>
              <w:right w:val="single" w:sz="4" w:space="0" w:color="auto"/>
            </w:tcBorders>
            <w:shd w:val="pct10" w:color="auto" w:fill="auto"/>
            <w:noWrap/>
            <w:vAlign w:val="center"/>
          </w:tcPr>
          <w:p w14:paraId="38FF5917" w14:textId="77777777" w:rsidR="002B40DC" w:rsidRDefault="002B40DC" w:rsidP="008738F2">
            <w:pPr>
              <w:spacing w:after="60"/>
              <w:rPr>
                <w:rFonts w:ascii="Arial" w:hAnsi="Arial" w:cs="Arial"/>
                <w:sz w:val="20"/>
                <w:szCs w:val="20"/>
              </w:rPr>
            </w:pPr>
            <w:r>
              <w:rPr>
                <w:rFonts w:ascii="Arial" w:hAnsi="Arial" w:cs="Arial"/>
                <w:sz w:val="20"/>
                <w:szCs w:val="20"/>
              </w:rPr>
              <w:t>NOV</w:t>
            </w:r>
          </w:p>
        </w:tc>
        <w:tc>
          <w:tcPr>
            <w:tcW w:w="644" w:type="dxa"/>
            <w:tcBorders>
              <w:top w:val="single" w:sz="4" w:space="0" w:color="auto"/>
              <w:left w:val="nil"/>
              <w:bottom w:val="single" w:sz="12" w:space="0" w:color="auto"/>
              <w:right w:val="single" w:sz="4" w:space="0" w:color="auto"/>
            </w:tcBorders>
            <w:shd w:val="pct10" w:color="auto" w:fill="auto"/>
            <w:noWrap/>
            <w:vAlign w:val="center"/>
          </w:tcPr>
          <w:p w14:paraId="3709A431" w14:textId="77777777" w:rsidR="002B40DC" w:rsidRDefault="002B40DC" w:rsidP="008738F2">
            <w:pPr>
              <w:spacing w:after="60"/>
              <w:rPr>
                <w:rFonts w:ascii="Arial" w:hAnsi="Arial" w:cs="Arial"/>
                <w:sz w:val="20"/>
                <w:szCs w:val="20"/>
              </w:rPr>
            </w:pPr>
            <w:r>
              <w:rPr>
                <w:rFonts w:ascii="Arial" w:hAnsi="Arial" w:cs="Arial"/>
                <w:sz w:val="20"/>
                <w:szCs w:val="20"/>
              </w:rPr>
              <w:t>DEC</w:t>
            </w:r>
          </w:p>
        </w:tc>
        <w:tc>
          <w:tcPr>
            <w:tcW w:w="755" w:type="dxa"/>
            <w:tcBorders>
              <w:top w:val="single" w:sz="4" w:space="0" w:color="auto"/>
              <w:left w:val="nil"/>
              <w:bottom w:val="single" w:sz="12" w:space="0" w:color="auto"/>
              <w:right w:val="single" w:sz="4" w:space="0" w:color="auto"/>
            </w:tcBorders>
            <w:shd w:val="pct10" w:color="auto" w:fill="auto"/>
            <w:noWrap/>
            <w:vAlign w:val="center"/>
          </w:tcPr>
          <w:p w14:paraId="07ECC7AB" w14:textId="77777777" w:rsidR="002B40DC" w:rsidRDefault="002B40DC" w:rsidP="008738F2">
            <w:pPr>
              <w:spacing w:after="60"/>
              <w:rPr>
                <w:rFonts w:ascii="Arial" w:hAnsi="Arial" w:cs="Arial"/>
                <w:i/>
                <w:iCs/>
                <w:sz w:val="20"/>
                <w:szCs w:val="20"/>
              </w:rPr>
            </w:pPr>
            <w:r>
              <w:rPr>
                <w:rFonts w:ascii="Arial" w:hAnsi="Arial" w:cs="Arial"/>
                <w:i/>
                <w:iCs/>
                <w:sz w:val="20"/>
                <w:szCs w:val="20"/>
              </w:rPr>
              <w:t>ANN</w:t>
            </w:r>
          </w:p>
        </w:tc>
      </w:tr>
      <w:tr w:rsidR="002B40DC" w14:paraId="6C7772C8" w14:textId="77777777" w:rsidTr="00915E78">
        <w:trPr>
          <w:trHeight w:val="255"/>
          <w:jc w:val="center"/>
        </w:trPr>
        <w:tc>
          <w:tcPr>
            <w:tcW w:w="3031" w:type="dxa"/>
            <w:tcBorders>
              <w:top w:val="single" w:sz="12" w:space="0" w:color="auto"/>
              <w:left w:val="single" w:sz="4" w:space="0" w:color="auto"/>
              <w:bottom w:val="single" w:sz="4" w:space="0" w:color="auto"/>
              <w:right w:val="single" w:sz="4" w:space="0" w:color="auto"/>
            </w:tcBorders>
            <w:noWrap/>
            <w:vAlign w:val="center"/>
          </w:tcPr>
          <w:p w14:paraId="276EF9B0" w14:textId="77777777" w:rsidR="002B40DC" w:rsidRDefault="002B40DC" w:rsidP="008738F2">
            <w:pPr>
              <w:spacing w:after="60"/>
              <w:rPr>
                <w:rFonts w:ascii="Arial" w:hAnsi="Arial" w:cs="Arial"/>
                <w:sz w:val="20"/>
                <w:szCs w:val="20"/>
              </w:rPr>
            </w:pPr>
            <w:smartTag w:uri="urn:schemas-microsoft-com:office:smarttags" w:element="place">
              <w:smartTag w:uri="urn:schemas-microsoft-com:office:smarttags" w:element="City">
                <w:r>
                  <w:rPr>
                    <w:rFonts w:ascii="Arial" w:hAnsi="Arial" w:cs="Arial"/>
                    <w:sz w:val="20"/>
                    <w:szCs w:val="20"/>
                  </w:rPr>
                  <w:t>ANCHORAGE</w:t>
                </w:r>
              </w:smartTag>
              <w:r>
                <w:rPr>
                  <w:rFonts w:ascii="Arial" w:hAnsi="Arial" w:cs="Arial"/>
                  <w:sz w:val="20"/>
                  <w:szCs w:val="20"/>
                </w:rPr>
                <w:t xml:space="preserve">, </w:t>
              </w:r>
              <w:smartTag w:uri="urn:schemas-microsoft-com:office:smarttags" w:element="State">
                <w:r>
                  <w:rPr>
                    <w:rFonts w:ascii="Arial" w:hAnsi="Arial" w:cs="Arial"/>
                    <w:sz w:val="20"/>
                    <w:szCs w:val="20"/>
                  </w:rPr>
                  <w:t>AK</w:t>
                </w:r>
              </w:smartTag>
            </w:smartTag>
          </w:p>
        </w:tc>
        <w:tc>
          <w:tcPr>
            <w:tcW w:w="629" w:type="dxa"/>
            <w:tcBorders>
              <w:top w:val="single" w:sz="12" w:space="0" w:color="auto"/>
              <w:left w:val="nil"/>
              <w:bottom w:val="single" w:sz="4" w:space="0" w:color="auto"/>
              <w:right w:val="single" w:sz="4" w:space="0" w:color="auto"/>
            </w:tcBorders>
            <w:noWrap/>
            <w:vAlign w:val="center"/>
          </w:tcPr>
          <w:p w14:paraId="676DAD47" w14:textId="77777777" w:rsidR="002B40DC" w:rsidRDefault="002B40DC" w:rsidP="008738F2">
            <w:pPr>
              <w:spacing w:after="60"/>
              <w:jc w:val="right"/>
              <w:rPr>
                <w:rFonts w:ascii="Arial" w:hAnsi="Arial" w:cs="Arial"/>
                <w:i/>
                <w:iCs/>
                <w:sz w:val="20"/>
                <w:szCs w:val="20"/>
              </w:rPr>
            </w:pPr>
            <w:r>
              <w:rPr>
                <w:rFonts w:ascii="Arial" w:hAnsi="Arial" w:cs="Arial"/>
                <w:i/>
                <w:iCs/>
                <w:sz w:val="20"/>
                <w:szCs w:val="20"/>
              </w:rPr>
              <w:t>61</w:t>
            </w:r>
          </w:p>
        </w:tc>
        <w:tc>
          <w:tcPr>
            <w:tcW w:w="597" w:type="dxa"/>
            <w:tcBorders>
              <w:top w:val="single" w:sz="12" w:space="0" w:color="auto"/>
              <w:left w:val="nil"/>
              <w:bottom w:val="single" w:sz="4" w:space="0" w:color="auto"/>
              <w:right w:val="single" w:sz="4" w:space="0" w:color="auto"/>
            </w:tcBorders>
            <w:noWrap/>
            <w:vAlign w:val="center"/>
          </w:tcPr>
          <w:p w14:paraId="759D5C8C" w14:textId="77777777" w:rsidR="002B40DC" w:rsidRDefault="002B40DC" w:rsidP="008738F2">
            <w:pPr>
              <w:spacing w:after="60"/>
              <w:jc w:val="right"/>
              <w:rPr>
                <w:rFonts w:ascii="Arial" w:hAnsi="Arial" w:cs="Arial"/>
                <w:sz w:val="20"/>
                <w:szCs w:val="20"/>
              </w:rPr>
            </w:pPr>
            <w:r>
              <w:rPr>
                <w:rFonts w:ascii="Arial" w:hAnsi="Arial" w:cs="Arial"/>
                <w:sz w:val="20"/>
                <w:szCs w:val="20"/>
              </w:rPr>
              <w:t>10.3</w:t>
            </w:r>
          </w:p>
        </w:tc>
        <w:tc>
          <w:tcPr>
            <w:tcW w:w="597" w:type="dxa"/>
            <w:tcBorders>
              <w:top w:val="single" w:sz="12" w:space="0" w:color="auto"/>
              <w:left w:val="nil"/>
              <w:bottom w:val="single" w:sz="4" w:space="0" w:color="auto"/>
              <w:right w:val="single" w:sz="4" w:space="0" w:color="auto"/>
            </w:tcBorders>
            <w:noWrap/>
            <w:vAlign w:val="center"/>
          </w:tcPr>
          <w:p w14:paraId="30F46C4F" w14:textId="77777777" w:rsidR="002B40DC" w:rsidRDefault="002B40DC" w:rsidP="008738F2">
            <w:pPr>
              <w:spacing w:after="60"/>
              <w:jc w:val="right"/>
              <w:rPr>
                <w:rFonts w:ascii="Arial" w:hAnsi="Arial" w:cs="Arial"/>
                <w:sz w:val="20"/>
                <w:szCs w:val="20"/>
              </w:rPr>
            </w:pPr>
            <w:r>
              <w:rPr>
                <w:rFonts w:ascii="Arial" w:hAnsi="Arial" w:cs="Arial"/>
                <w:sz w:val="20"/>
                <w:szCs w:val="20"/>
              </w:rPr>
              <w:t>11.5</w:t>
            </w:r>
          </w:p>
        </w:tc>
        <w:tc>
          <w:tcPr>
            <w:tcW w:w="676" w:type="dxa"/>
            <w:tcBorders>
              <w:top w:val="single" w:sz="12" w:space="0" w:color="auto"/>
              <w:left w:val="nil"/>
              <w:bottom w:val="single" w:sz="4" w:space="0" w:color="auto"/>
              <w:right w:val="single" w:sz="4" w:space="0" w:color="auto"/>
            </w:tcBorders>
            <w:noWrap/>
            <w:vAlign w:val="center"/>
          </w:tcPr>
          <w:p w14:paraId="2BEBD982" w14:textId="77777777" w:rsidR="002B40DC" w:rsidRDefault="002B40DC" w:rsidP="008738F2">
            <w:pPr>
              <w:spacing w:after="60"/>
              <w:jc w:val="right"/>
              <w:rPr>
                <w:rFonts w:ascii="Arial" w:hAnsi="Arial" w:cs="Arial"/>
                <w:sz w:val="20"/>
                <w:szCs w:val="20"/>
              </w:rPr>
            </w:pPr>
            <w:r>
              <w:rPr>
                <w:rFonts w:ascii="Arial" w:hAnsi="Arial" w:cs="Arial"/>
                <w:sz w:val="20"/>
                <w:szCs w:val="20"/>
              </w:rPr>
              <w:t>9.8</w:t>
            </w:r>
          </w:p>
        </w:tc>
        <w:tc>
          <w:tcPr>
            <w:tcW w:w="629" w:type="dxa"/>
            <w:tcBorders>
              <w:top w:val="single" w:sz="12" w:space="0" w:color="auto"/>
              <w:left w:val="nil"/>
              <w:bottom w:val="single" w:sz="4" w:space="0" w:color="auto"/>
              <w:right w:val="single" w:sz="4" w:space="0" w:color="auto"/>
            </w:tcBorders>
            <w:noWrap/>
            <w:vAlign w:val="center"/>
          </w:tcPr>
          <w:p w14:paraId="12041CA8" w14:textId="77777777" w:rsidR="002B40DC" w:rsidRDefault="002B40DC" w:rsidP="008738F2">
            <w:pPr>
              <w:spacing w:after="60"/>
              <w:jc w:val="right"/>
              <w:rPr>
                <w:rFonts w:ascii="Arial" w:hAnsi="Arial" w:cs="Arial"/>
                <w:sz w:val="20"/>
                <w:szCs w:val="20"/>
              </w:rPr>
            </w:pPr>
            <w:r>
              <w:rPr>
                <w:rFonts w:ascii="Arial" w:hAnsi="Arial" w:cs="Arial"/>
                <w:sz w:val="20"/>
                <w:szCs w:val="20"/>
              </w:rPr>
              <w:t>4.3</w:t>
            </w:r>
          </w:p>
        </w:tc>
        <w:tc>
          <w:tcPr>
            <w:tcW w:w="660" w:type="dxa"/>
            <w:tcBorders>
              <w:top w:val="single" w:sz="12" w:space="0" w:color="auto"/>
              <w:left w:val="nil"/>
              <w:bottom w:val="single" w:sz="4" w:space="0" w:color="auto"/>
              <w:right w:val="single" w:sz="4" w:space="0" w:color="auto"/>
            </w:tcBorders>
            <w:noWrap/>
            <w:vAlign w:val="center"/>
          </w:tcPr>
          <w:p w14:paraId="42CC16FF" w14:textId="77777777" w:rsidR="002B40DC" w:rsidRDefault="002B40DC" w:rsidP="008738F2">
            <w:pPr>
              <w:spacing w:after="60"/>
              <w:jc w:val="right"/>
              <w:rPr>
                <w:rFonts w:ascii="Arial" w:hAnsi="Arial" w:cs="Arial"/>
                <w:sz w:val="20"/>
                <w:szCs w:val="20"/>
              </w:rPr>
            </w:pPr>
            <w:r>
              <w:rPr>
                <w:rFonts w:ascii="Arial" w:hAnsi="Arial" w:cs="Arial"/>
                <w:sz w:val="20"/>
                <w:szCs w:val="20"/>
              </w:rPr>
              <w:t>0.5</w:t>
            </w:r>
          </w:p>
        </w:tc>
        <w:tc>
          <w:tcPr>
            <w:tcW w:w="596" w:type="dxa"/>
            <w:tcBorders>
              <w:top w:val="single" w:sz="12" w:space="0" w:color="auto"/>
              <w:left w:val="nil"/>
              <w:bottom w:val="single" w:sz="4" w:space="0" w:color="auto"/>
              <w:right w:val="single" w:sz="4" w:space="0" w:color="auto"/>
            </w:tcBorders>
            <w:noWrap/>
            <w:vAlign w:val="center"/>
          </w:tcPr>
          <w:p w14:paraId="2A9B16CB" w14:textId="77777777" w:rsidR="002B40DC" w:rsidRDefault="002B40DC" w:rsidP="008738F2">
            <w:pPr>
              <w:spacing w:after="60"/>
              <w:jc w:val="right"/>
              <w:rPr>
                <w:rFonts w:ascii="Arial" w:hAnsi="Arial" w:cs="Arial"/>
                <w:sz w:val="20"/>
                <w:szCs w:val="20"/>
              </w:rPr>
            </w:pPr>
            <w:r>
              <w:rPr>
                <w:rFonts w:ascii="Arial" w:hAnsi="Arial" w:cs="Arial"/>
                <w:sz w:val="20"/>
                <w:szCs w:val="20"/>
              </w:rPr>
              <w:t>0</w:t>
            </w:r>
          </w:p>
        </w:tc>
        <w:tc>
          <w:tcPr>
            <w:tcW w:w="549" w:type="dxa"/>
            <w:tcBorders>
              <w:top w:val="single" w:sz="12" w:space="0" w:color="auto"/>
              <w:left w:val="nil"/>
              <w:bottom w:val="single" w:sz="4" w:space="0" w:color="auto"/>
              <w:right w:val="single" w:sz="4" w:space="0" w:color="auto"/>
            </w:tcBorders>
            <w:noWrap/>
            <w:vAlign w:val="center"/>
          </w:tcPr>
          <w:p w14:paraId="1AC641A4" w14:textId="77777777" w:rsidR="002B40DC" w:rsidRDefault="002B40DC" w:rsidP="008738F2">
            <w:pPr>
              <w:spacing w:after="60"/>
              <w:jc w:val="right"/>
              <w:rPr>
                <w:rFonts w:ascii="Arial" w:hAnsi="Arial" w:cs="Arial"/>
                <w:sz w:val="20"/>
                <w:szCs w:val="20"/>
              </w:rPr>
            </w:pPr>
            <w:r>
              <w:rPr>
                <w:rFonts w:ascii="Arial" w:hAnsi="Arial" w:cs="Arial"/>
                <w:sz w:val="20"/>
                <w:szCs w:val="20"/>
              </w:rPr>
              <w:t>0</w:t>
            </w:r>
          </w:p>
        </w:tc>
        <w:tc>
          <w:tcPr>
            <w:tcW w:w="660" w:type="dxa"/>
            <w:tcBorders>
              <w:top w:val="single" w:sz="12" w:space="0" w:color="auto"/>
              <w:left w:val="nil"/>
              <w:bottom w:val="single" w:sz="4" w:space="0" w:color="auto"/>
              <w:right w:val="single" w:sz="4" w:space="0" w:color="auto"/>
            </w:tcBorders>
            <w:noWrap/>
            <w:vAlign w:val="center"/>
          </w:tcPr>
          <w:p w14:paraId="42D0E687" w14:textId="77777777" w:rsidR="002B40DC" w:rsidRDefault="002B40DC" w:rsidP="008738F2">
            <w:pPr>
              <w:spacing w:after="60"/>
              <w:jc w:val="right"/>
              <w:rPr>
                <w:rFonts w:ascii="Arial" w:hAnsi="Arial" w:cs="Arial"/>
                <w:sz w:val="20"/>
                <w:szCs w:val="20"/>
              </w:rPr>
            </w:pPr>
            <w:r>
              <w:rPr>
                <w:rFonts w:ascii="Arial" w:hAnsi="Arial" w:cs="Arial"/>
                <w:sz w:val="20"/>
                <w:szCs w:val="20"/>
              </w:rPr>
              <w:t>T</w:t>
            </w:r>
          </w:p>
        </w:tc>
        <w:tc>
          <w:tcPr>
            <w:tcW w:w="613" w:type="dxa"/>
            <w:tcBorders>
              <w:top w:val="single" w:sz="12" w:space="0" w:color="auto"/>
              <w:left w:val="nil"/>
              <w:bottom w:val="single" w:sz="4" w:space="0" w:color="auto"/>
              <w:right w:val="single" w:sz="4" w:space="0" w:color="auto"/>
            </w:tcBorders>
            <w:noWrap/>
            <w:vAlign w:val="center"/>
          </w:tcPr>
          <w:p w14:paraId="63289A7D" w14:textId="77777777" w:rsidR="002B40DC" w:rsidRDefault="002B40DC" w:rsidP="008738F2">
            <w:pPr>
              <w:spacing w:after="60"/>
              <w:jc w:val="right"/>
              <w:rPr>
                <w:rFonts w:ascii="Arial" w:hAnsi="Arial" w:cs="Arial"/>
                <w:sz w:val="20"/>
                <w:szCs w:val="20"/>
              </w:rPr>
            </w:pPr>
            <w:r>
              <w:rPr>
                <w:rFonts w:ascii="Arial" w:hAnsi="Arial" w:cs="Arial"/>
                <w:sz w:val="20"/>
                <w:szCs w:val="20"/>
              </w:rPr>
              <w:t>0.4</w:t>
            </w:r>
          </w:p>
        </w:tc>
        <w:tc>
          <w:tcPr>
            <w:tcW w:w="644" w:type="dxa"/>
            <w:tcBorders>
              <w:top w:val="single" w:sz="12" w:space="0" w:color="auto"/>
              <w:left w:val="nil"/>
              <w:bottom w:val="single" w:sz="4" w:space="0" w:color="auto"/>
              <w:right w:val="single" w:sz="4" w:space="0" w:color="auto"/>
            </w:tcBorders>
            <w:noWrap/>
            <w:vAlign w:val="center"/>
          </w:tcPr>
          <w:p w14:paraId="27BB9842" w14:textId="77777777" w:rsidR="002B40DC" w:rsidRDefault="002B40DC" w:rsidP="008738F2">
            <w:pPr>
              <w:spacing w:after="60"/>
              <w:jc w:val="right"/>
              <w:rPr>
                <w:rFonts w:ascii="Arial" w:hAnsi="Arial" w:cs="Arial"/>
                <w:sz w:val="20"/>
                <w:szCs w:val="20"/>
              </w:rPr>
            </w:pPr>
            <w:r>
              <w:rPr>
                <w:rFonts w:ascii="Arial" w:hAnsi="Arial" w:cs="Arial"/>
                <w:sz w:val="20"/>
                <w:szCs w:val="20"/>
              </w:rPr>
              <w:t>7.5</w:t>
            </w:r>
          </w:p>
        </w:tc>
        <w:tc>
          <w:tcPr>
            <w:tcW w:w="660" w:type="dxa"/>
            <w:tcBorders>
              <w:top w:val="single" w:sz="12" w:space="0" w:color="auto"/>
              <w:left w:val="nil"/>
              <w:bottom w:val="single" w:sz="4" w:space="0" w:color="auto"/>
              <w:right w:val="single" w:sz="4" w:space="0" w:color="auto"/>
            </w:tcBorders>
            <w:noWrap/>
            <w:vAlign w:val="center"/>
          </w:tcPr>
          <w:p w14:paraId="62CCF690" w14:textId="77777777" w:rsidR="002B40DC" w:rsidRDefault="002B40DC" w:rsidP="008738F2">
            <w:pPr>
              <w:spacing w:after="60"/>
              <w:jc w:val="right"/>
              <w:rPr>
                <w:rFonts w:ascii="Arial" w:hAnsi="Arial" w:cs="Arial"/>
                <w:sz w:val="20"/>
                <w:szCs w:val="20"/>
              </w:rPr>
            </w:pPr>
            <w:r>
              <w:rPr>
                <w:rFonts w:ascii="Arial" w:hAnsi="Arial" w:cs="Arial"/>
                <w:sz w:val="20"/>
                <w:szCs w:val="20"/>
              </w:rPr>
              <w:t>11.2</w:t>
            </w:r>
          </w:p>
        </w:tc>
        <w:tc>
          <w:tcPr>
            <w:tcW w:w="644" w:type="dxa"/>
            <w:tcBorders>
              <w:top w:val="single" w:sz="12" w:space="0" w:color="auto"/>
              <w:left w:val="nil"/>
              <w:bottom w:val="single" w:sz="4" w:space="0" w:color="auto"/>
              <w:right w:val="single" w:sz="4" w:space="0" w:color="auto"/>
            </w:tcBorders>
            <w:noWrap/>
            <w:vAlign w:val="center"/>
          </w:tcPr>
          <w:p w14:paraId="6C1BE34D" w14:textId="77777777" w:rsidR="002B40DC" w:rsidRDefault="002B40DC" w:rsidP="008738F2">
            <w:pPr>
              <w:spacing w:after="60"/>
              <w:jc w:val="right"/>
              <w:rPr>
                <w:rFonts w:ascii="Arial" w:hAnsi="Arial" w:cs="Arial"/>
                <w:sz w:val="20"/>
                <w:szCs w:val="20"/>
              </w:rPr>
            </w:pPr>
            <w:r>
              <w:rPr>
                <w:rFonts w:ascii="Arial" w:hAnsi="Arial" w:cs="Arial"/>
                <w:sz w:val="20"/>
                <w:szCs w:val="20"/>
              </w:rPr>
              <w:t>15.7</w:t>
            </w:r>
          </w:p>
        </w:tc>
        <w:tc>
          <w:tcPr>
            <w:tcW w:w="755" w:type="dxa"/>
            <w:tcBorders>
              <w:top w:val="single" w:sz="12" w:space="0" w:color="auto"/>
              <w:left w:val="nil"/>
              <w:bottom w:val="single" w:sz="4" w:space="0" w:color="auto"/>
              <w:right w:val="single" w:sz="4" w:space="0" w:color="auto"/>
            </w:tcBorders>
            <w:noWrap/>
            <w:vAlign w:val="center"/>
          </w:tcPr>
          <w:p w14:paraId="04EBFDE2" w14:textId="77777777" w:rsidR="002B40DC" w:rsidRDefault="002B40DC" w:rsidP="008738F2">
            <w:pPr>
              <w:spacing w:after="60"/>
              <w:jc w:val="right"/>
              <w:rPr>
                <w:rFonts w:ascii="Arial" w:hAnsi="Arial" w:cs="Arial"/>
                <w:i/>
                <w:iCs/>
                <w:sz w:val="20"/>
                <w:szCs w:val="20"/>
              </w:rPr>
            </w:pPr>
            <w:r>
              <w:rPr>
                <w:rFonts w:ascii="Arial" w:hAnsi="Arial" w:cs="Arial"/>
                <w:i/>
                <w:iCs/>
                <w:sz w:val="20"/>
                <w:szCs w:val="20"/>
              </w:rPr>
              <w:t>71.2</w:t>
            </w:r>
          </w:p>
        </w:tc>
      </w:tr>
      <w:tr w:rsidR="002B40DC" w14:paraId="03015945" w14:textId="77777777" w:rsidTr="00915E78">
        <w:trPr>
          <w:trHeight w:val="255"/>
          <w:jc w:val="center"/>
        </w:trPr>
        <w:tc>
          <w:tcPr>
            <w:tcW w:w="3031" w:type="dxa"/>
            <w:tcBorders>
              <w:top w:val="nil"/>
              <w:left w:val="single" w:sz="4" w:space="0" w:color="auto"/>
              <w:bottom w:val="single" w:sz="4" w:space="0" w:color="auto"/>
              <w:right w:val="single" w:sz="4" w:space="0" w:color="auto"/>
            </w:tcBorders>
            <w:noWrap/>
            <w:vAlign w:val="center"/>
          </w:tcPr>
          <w:p w14:paraId="3D7B5EE3" w14:textId="77777777" w:rsidR="002B40DC" w:rsidRDefault="002B40DC" w:rsidP="008738F2">
            <w:pPr>
              <w:spacing w:after="60"/>
              <w:rPr>
                <w:rFonts w:ascii="Arial" w:hAnsi="Arial" w:cs="Arial"/>
                <w:sz w:val="20"/>
                <w:szCs w:val="20"/>
              </w:rPr>
            </w:pPr>
            <w:smartTag w:uri="urn:schemas-microsoft-com:office:smarttags" w:element="place">
              <w:smartTag w:uri="urn:schemas-microsoft-com:office:smarttags" w:element="City">
                <w:r>
                  <w:rPr>
                    <w:rFonts w:ascii="Arial" w:hAnsi="Arial" w:cs="Arial"/>
                    <w:sz w:val="20"/>
                    <w:szCs w:val="20"/>
                  </w:rPr>
                  <w:t>ANNETTE</w:t>
                </w:r>
              </w:smartTag>
              <w:r>
                <w:rPr>
                  <w:rFonts w:ascii="Arial" w:hAnsi="Arial" w:cs="Arial"/>
                  <w:sz w:val="20"/>
                  <w:szCs w:val="20"/>
                </w:rPr>
                <w:t xml:space="preserve">, </w:t>
              </w:r>
              <w:smartTag w:uri="urn:schemas-microsoft-com:office:smarttags" w:element="State">
                <w:r>
                  <w:rPr>
                    <w:rFonts w:ascii="Arial" w:hAnsi="Arial" w:cs="Arial"/>
                    <w:sz w:val="20"/>
                    <w:szCs w:val="20"/>
                  </w:rPr>
                  <w:t>AK</w:t>
                </w:r>
              </w:smartTag>
            </w:smartTag>
          </w:p>
        </w:tc>
        <w:tc>
          <w:tcPr>
            <w:tcW w:w="629" w:type="dxa"/>
            <w:tcBorders>
              <w:top w:val="nil"/>
              <w:left w:val="nil"/>
              <w:bottom w:val="single" w:sz="4" w:space="0" w:color="auto"/>
              <w:right w:val="single" w:sz="4" w:space="0" w:color="auto"/>
            </w:tcBorders>
            <w:noWrap/>
            <w:vAlign w:val="center"/>
          </w:tcPr>
          <w:p w14:paraId="40F40A99" w14:textId="77777777" w:rsidR="002B40DC" w:rsidRDefault="002B40DC" w:rsidP="008738F2">
            <w:pPr>
              <w:spacing w:after="60"/>
              <w:jc w:val="right"/>
              <w:rPr>
                <w:rFonts w:ascii="Arial" w:hAnsi="Arial" w:cs="Arial"/>
                <w:i/>
                <w:iCs/>
                <w:sz w:val="20"/>
                <w:szCs w:val="20"/>
              </w:rPr>
            </w:pPr>
            <w:r>
              <w:rPr>
                <w:rFonts w:ascii="Arial" w:hAnsi="Arial" w:cs="Arial"/>
                <w:i/>
                <w:iCs/>
                <w:sz w:val="20"/>
                <w:szCs w:val="20"/>
              </w:rPr>
              <w:t>57</w:t>
            </w:r>
          </w:p>
        </w:tc>
        <w:tc>
          <w:tcPr>
            <w:tcW w:w="597" w:type="dxa"/>
            <w:tcBorders>
              <w:top w:val="nil"/>
              <w:left w:val="nil"/>
              <w:bottom w:val="single" w:sz="4" w:space="0" w:color="auto"/>
              <w:right w:val="single" w:sz="4" w:space="0" w:color="auto"/>
            </w:tcBorders>
            <w:noWrap/>
            <w:vAlign w:val="center"/>
          </w:tcPr>
          <w:p w14:paraId="6D476B24" w14:textId="77777777" w:rsidR="002B40DC" w:rsidRDefault="002B40DC" w:rsidP="008738F2">
            <w:pPr>
              <w:spacing w:after="60"/>
              <w:jc w:val="right"/>
              <w:rPr>
                <w:rFonts w:ascii="Arial" w:hAnsi="Arial" w:cs="Arial"/>
                <w:sz w:val="20"/>
                <w:szCs w:val="20"/>
              </w:rPr>
            </w:pPr>
            <w:r>
              <w:rPr>
                <w:rFonts w:ascii="Arial" w:hAnsi="Arial" w:cs="Arial"/>
                <w:sz w:val="20"/>
                <w:szCs w:val="20"/>
              </w:rPr>
              <w:t>11.8</w:t>
            </w:r>
          </w:p>
        </w:tc>
        <w:tc>
          <w:tcPr>
            <w:tcW w:w="597" w:type="dxa"/>
            <w:tcBorders>
              <w:top w:val="nil"/>
              <w:left w:val="nil"/>
              <w:bottom w:val="single" w:sz="4" w:space="0" w:color="auto"/>
              <w:right w:val="single" w:sz="4" w:space="0" w:color="auto"/>
            </w:tcBorders>
            <w:noWrap/>
            <w:vAlign w:val="center"/>
          </w:tcPr>
          <w:p w14:paraId="67E642EE" w14:textId="77777777" w:rsidR="002B40DC" w:rsidRDefault="002B40DC" w:rsidP="008738F2">
            <w:pPr>
              <w:spacing w:after="60"/>
              <w:jc w:val="right"/>
              <w:rPr>
                <w:rFonts w:ascii="Arial" w:hAnsi="Arial" w:cs="Arial"/>
                <w:sz w:val="20"/>
                <w:szCs w:val="20"/>
              </w:rPr>
            </w:pPr>
            <w:r>
              <w:rPr>
                <w:rFonts w:ascii="Arial" w:hAnsi="Arial" w:cs="Arial"/>
                <w:sz w:val="20"/>
                <w:szCs w:val="20"/>
              </w:rPr>
              <w:t>10.8</w:t>
            </w:r>
          </w:p>
        </w:tc>
        <w:tc>
          <w:tcPr>
            <w:tcW w:w="676" w:type="dxa"/>
            <w:tcBorders>
              <w:top w:val="nil"/>
              <w:left w:val="nil"/>
              <w:bottom w:val="single" w:sz="4" w:space="0" w:color="auto"/>
              <w:right w:val="single" w:sz="4" w:space="0" w:color="auto"/>
            </w:tcBorders>
            <w:noWrap/>
            <w:vAlign w:val="center"/>
          </w:tcPr>
          <w:p w14:paraId="07A2923C" w14:textId="77777777" w:rsidR="002B40DC" w:rsidRDefault="002B40DC" w:rsidP="008738F2">
            <w:pPr>
              <w:spacing w:after="60"/>
              <w:jc w:val="right"/>
              <w:rPr>
                <w:rFonts w:ascii="Arial" w:hAnsi="Arial" w:cs="Arial"/>
                <w:sz w:val="20"/>
                <w:szCs w:val="20"/>
              </w:rPr>
            </w:pPr>
            <w:r>
              <w:rPr>
                <w:rFonts w:ascii="Arial" w:hAnsi="Arial" w:cs="Arial"/>
                <w:sz w:val="20"/>
                <w:szCs w:val="20"/>
              </w:rPr>
              <w:t>8.5</w:t>
            </w:r>
          </w:p>
        </w:tc>
        <w:tc>
          <w:tcPr>
            <w:tcW w:w="629" w:type="dxa"/>
            <w:tcBorders>
              <w:top w:val="nil"/>
              <w:left w:val="nil"/>
              <w:bottom w:val="single" w:sz="4" w:space="0" w:color="auto"/>
              <w:right w:val="single" w:sz="4" w:space="0" w:color="auto"/>
            </w:tcBorders>
            <w:noWrap/>
            <w:vAlign w:val="center"/>
          </w:tcPr>
          <w:p w14:paraId="02D0BF3F" w14:textId="77777777" w:rsidR="002B40DC" w:rsidRDefault="002B40DC" w:rsidP="008738F2">
            <w:pPr>
              <w:spacing w:after="60"/>
              <w:jc w:val="right"/>
              <w:rPr>
                <w:rFonts w:ascii="Arial" w:hAnsi="Arial" w:cs="Arial"/>
                <w:sz w:val="20"/>
                <w:szCs w:val="20"/>
              </w:rPr>
            </w:pPr>
            <w:r>
              <w:rPr>
                <w:rFonts w:ascii="Arial" w:hAnsi="Arial" w:cs="Arial"/>
                <w:sz w:val="20"/>
                <w:szCs w:val="20"/>
              </w:rPr>
              <w:t>2.3</w:t>
            </w:r>
          </w:p>
        </w:tc>
        <w:tc>
          <w:tcPr>
            <w:tcW w:w="660" w:type="dxa"/>
            <w:tcBorders>
              <w:top w:val="nil"/>
              <w:left w:val="nil"/>
              <w:bottom w:val="single" w:sz="4" w:space="0" w:color="auto"/>
              <w:right w:val="single" w:sz="4" w:space="0" w:color="auto"/>
            </w:tcBorders>
            <w:noWrap/>
            <w:vAlign w:val="center"/>
          </w:tcPr>
          <w:p w14:paraId="1D459740" w14:textId="77777777" w:rsidR="002B40DC" w:rsidRDefault="002B40DC" w:rsidP="008738F2">
            <w:pPr>
              <w:spacing w:after="60"/>
              <w:jc w:val="right"/>
              <w:rPr>
                <w:rFonts w:ascii="Arial" w:hAnsi="Arial" w:cs="Arial"/>
                <w:sz w:val="20"/>
                <w:szCs w:val="20"/>
              </w:rPr>
            </w:pPr>
            <w:r>
              <w:rPr>
                <w:rFonts w:ascii="Arial" w:hAnsi="Arial" w:cs="Arial"/>
                <w:sz w:val="20"/>
                <w:szCs w:val="20"/>
              </w:rPr>
              <w:t>0.1</w:t>
            </w:r>
          </w:p>
        </w:tc>
        <w:tc>
          <w:tcPr>
            <w:tcW w:w="596" w:type="dxa"/>
            <w:tcBorders>
              <w:top w:val="nil"/>
              <w:left w:val="nil"/>
              <w:bottom w:val="single" w:sz="4" w:space="0" w:color="auto"/>
              <w:right w:val="single" w:sz="4" w:space="0" w:color="auto"/>
            </w:tcBorders>
            <w:noWrap/>
            <w:vAlign w:val="center"/>
          </w:tcPr>
          <w:p w14:paraId="11C8310C" w14:textId="77777777" w:rsidR="002B40DC" w:rsidRDefault="002B40DC" w:rsidP="008738F2">
            <w:pPr>
              <w:spacing w:after="60"/>
              <w:jc w:val="right"/>
              <w:rPr>
                <w:rFonts w:ascii="Arial" w:hAnsi="Arial" w:cs="Arial"/>
                <w:sz w:val="20"/>
                <w:szCs w:val="20"/>
              </w:rPr>
            </w:pPr>
            <w:r>
              <w:rPr>
                <w:rFonts w:ascii="Arial" w:hAnsi="Arial" w:cs="Arial"/>
                <w:sz w:val="20"/>
                <w:szCs w:val="20"/>
              </w:rPr>
              <w:t>T</w:t>
            </w:r>
          </w:p>
        </w:tc>
        <w:tc>
          <w:tcPr>
            <w:tcW w:w="549" w:type="dxa"/>
            <w:tcBorders>
              <w:top w:val="nil"/>
              <w:left w:val="nil"/>
              <w:bottom w:val="single" w:sz="4" w:space="0" w:color="auto"/>
              <w:right w:val="single" w:sz="4" w:space="0" w:color="auto"/>
            </w:tcBorders>
            <w:noWrap/>
            <w:vAlign w:val="center"/>
          </w:tcPr>
          <w:p w14:paraId="480E45B7" w14:textId="77777777" w:rsidR="002B40DC" w:rsidRDefault="002B40DC" w:rsidP="008738F2">
            <w:pPr>
              <w:spacing w:after="60"/>
              <w:jc w:val="right"/>
              <w:rPr>
                <w:rFonts w:ascii="Arial" w:hAnsi="Arial" w:cs="Arial"/>
                <w:sz w:val="20"/>
                <w:szCs w:val="20"/>
              </w:rPr>
            </w:pPr>
            <w:r>
              <w:rPr>
                <w:rFonts w:ascii="Arial" w:hAnsi="Arial" w:cs="Arial"/>
                <w:sz w:val="20"/>
                <w:szCs w:val="20"/>
              </w:rPr>
              <w:t>0</w:t>
            </w:r>
          </w:p>
        </w:tc>
        <w:tc>
          <w:tcPr>
            <w:tcW w:w="660" w:type="dxa"/>
            <w:tcBorders>
              <w:top w:val="nil"/>
              <w:left w:val="nil"/>
              <w:bottom w:val="single" w:sz="4" w:space="0" w:color="auto"/>
              <w:right w:val="single" w:sz="4" w:space="0" w:color="auto"/>
            </w:tcBorders>
            <w:noWrap/>
            <w:vAlign w:val="center"/>
          </w:tcPr>
          <w:p w14:paraId="66956BB3" w14:textId="77777777" w:rsidR="002B40DC" w:rsidRDefault="002B40DC" w:rsidP="008738F2">
            <w:pPr>
              <w:spacing w:after="60"/>
              <w:jc w:val="right"/>
              <w:rPr>
                <w:rFonts w:ascii="Arial" w:hAnsi="Arial" w:cs="Arial"/>
                <w:sz w:val="20"/>
                <w:szCs w:val="20"/>
              </w:rPr>
            </w:pPr>
            <w:r>
              <w:rPr>
                <w:rFonts w:ascii="Arial" w:hAnsi="Arial" w:cs="Arial"/>
                <w:sz w:val="20"/>
                <w:szCs w:val="20"/>
              </w:rPr>
              <w:t>0</w:t>
            </w:r>
          </w:p>
        </w:tc>
        <w:tc>
          <w:tcPr>
            <w:tcW w:w="613" w:type="dxa"/>
            <w:tcBorders>
              <w:top w:val="nil"/>
              <w:left w:val="nil"/>
              <w:bottom w:val="single" w:sz="4" w:space="0" w:color="auto"/>
              <w:right w:val="single" w:sz="4" w:space="0" w:color="auto"/>
            </w:tcBorders>
            <w:noWrap/>
            <w:vAlign w:val="center"/>
          </w:tcPr>
          <w:p w14:paraId="0D51934A" w14:textId="77777777" w:rsidR="002B40DC" w:rsidRDefault="002B40DC" w:rsidP="008738F2">
            <w:pPr>
              <w:spacing w:after="60"/>
              <w:jc w:val="right"/>
              <w:rPr>
                <w:rFonts w:ascii="Arial" w:hAnsi="Arial" w:cs="Arial"/>
                <w:sz w:val="20"/>
                <w:szCs w:val="20"/>
              </w:rPr>
            </w:pPr>
            <w:r>
              <w:rPr>
                <w:rFonts w:ascii="Arial" w:hAnsi="Arial" w:cs="Arial"/>
                <w:sz w:val="20"/>
                <w:szCs w:val="20"/>
              </w:rPr>
              <w:t>0</w:t>
            </w:r>
          </w:p>
        </w:tc>
        <w:tc>
          <w:tcPr>
            <w:tcW w:w="644" w:type="dxa"/>
            <w:tcBorders>
              <w:top w:val="nil"/>
              <w:left w:val="nil"/>
              <w:bottom w:val="single" w:sz="4" w:space="0" w:color="auto"/>
              <w:right w:val="single" w:sz="4" w:space="0" w:color="auto"/>
            </w:tcBorders>
            <w:noWrap/>
            <w:vAlign w:val="center"/>
          </w:tcPr>
          <w:p w14:paraId="0D8C2885" w14:textId="77777777" w:rsidR="002B40DC" w:rsidRDefault="002B40DC" w:rsidP="008738F2">
            <w:pPr>
              <w:spacing w:after="60"/>
              <w:jc w:val="right"/>
              <w:rPr>
                <w:rFonts w:ascii="Arial" w:hAnsi="Arial" w:cs="Arial"/>
                <w:sz w:val="20"/>
                <w:szCs w:val="20"/>
              </w:rPr>
            </w:pPr>
            <w:r>
              <w:rPr>
                <w:rFonts w:ascii="Arial" w:hAnsi="Arial" w:cs="Arial"/>
                <w:sz w:val="20"/>
                <w:szCs w:val="20"/>
              </w:rPr>
              <w:t>0.2</w:t>
            </w:r>
          </w:p>
        </w:tc>
        <w:tc>
          <w:tcPr>
            <w:tcW w:w="660" w:type="dxa"/>
            <w:tcBorders>
              <w:top w:val="nil"/>
              <w:left w:val="nil"/>
              <w:bottom w:val="single" w:sz="4" w:space="0" w:color="auto"/>
              <w:right w:val="single" w:sz="4" w:space="0" w:color="auto"/>
            </w:tcBorders>
            <w:noWrap/>
            <w:vAlign w:val="center"/>
          </w:tcPr>
          <w:p w14:paraId="54FB375A" w14:textId="77777777" w:rsidR="002B40DC" w:rsidRDefault="002B40DC" w:rsidP="008738F2">
            <w:pPr>
              <w:spacing w:after="60"/>
              <w:jc w:val="right"/>
              <w:rPr>
                <w:rFonts w:ascii="Arial" w:hAnsi="Arial" w:cs="Arial"/>
                <w:sz w:val="20"/>
                <w:szCs w:val="20"/>
              </w:rPr>
            </w:pPr>
            <w:r>
              <w:rPr>
                <w:rFonts w:ascii="Arial" w:hAnsi="Arial" w:cs="Arial"/>
                <w:sz w:val="20"/>
                <w:szCs w:val="20"/>
              </w:rPr>
              <w:t>3.6</w:t>
            </w:r>
          </w:p>
        </w:tc>
        <w:tc>
          <w:tcPr>
            <w:tcW w:w="644" w:type="dxa"/>
            <w:tcBorders>
              <w:top w:val="nil"/>
              <w:left w:val="nil"/>
              <w:bottom w:val="single" w:sz="4" w:space="0" w:color="auto"/>
              <w:right w:val="single" w:sz="4" w:space="0" w:color="auto"/>
            </w:tcBorders>
            <w:noWrap/>
            <w:vAlign w:val="center"/>
          </w:tcPr>
          <w:p w14:paraId="44876B03" w14:textId="77777777" w:rsidR="002B40DC" w:rsidRDefault="002B40DC" w:rsidP="008738F2">
            <w:pPr>
              <w:spacing w:after="60"/>
              <w:jc w:val="right"/>
              <w:rPr>
                <w:rFonts w:ascii="Arial" w:hAnsi="Arial" w:cs="Arial"/>
                <w:sz w:val="20"/>
                <w:szCs w:val="20"/>
              </w:rPr>
            </w:pPr>
            <w:r>
              <w:rPr>
                <w:rFonts w:ascii="Arial" w:hAnsi="Arial" w:cs="Arial"/>
                <w:sz w:val="20"/>
                <w:szCs w:val="20"/>
              </w:rPr>
              <w:t>10.6</w:t>
            </w:r>
          </w:p>
        </w:tc>
        <w:tc>
          <w:tcPr>
            <w:tcW w:w="755" w:type="dxa"/>
            <w:tcBorders>
              <w:top w:val="nil"/>
              <w:left w:val="nil"/>
              <w:bottom w:val="single" w:sz="4" w:space="0" w:color="auto"/>
              <w:right w:val="single" w:sz="4" w:space="0" w:color="auto"/>
            </w:tcBorders>
            <w:noWrap/>
            <w:vAlign w:val="center"/>
          </w:tcPr>
          <w:p w14:paraId="1A211A79" w14:textId="77777777" w:rsidR="002B40DC" w:rsidRDefault="002B40DC" w:rsidP="008738F2">
            <w:pPr>
              <w:spacing w:after="60"/>
              <w:jc w:val="right"/>
              <w:rPr>
                <w:rFonts w:ascii="Arial" w:hAnsi="Arial" w:cs="Arial"/>
                <w:i/>
                <w:iCs/>
                <w:sz w:val="20"/>
                <w:szCs w:val="20"/>
              </w:rPr>
            </w:pPr>
            <w:r>
              <w:rPr>
                <w:rFonts w:ascii="Arial" w:hAnsi="Arial" w:cs="Arial"/>
                <w:i/>
                <w:iCs/>
                <w:sz w:val="20"/>
                <w:szCs w:val="20"/>
              </w:rPr>
              <w:t>47.9</w:t>
            </w:r>
          </w:p>
        </w:tc>
      </w:tr>
      <w:tr w:rsidR="002B40DC" w14:paraId="72C9517A" w14:textId="77777777" w:rsidTr="00915E78">
        <w:trPr>
          <w:trHeight w:val="255"/>
          <w:jc w:val="center"/>
        </w:trPr>
        <w:tc>
          <w:tcPr>
            <w:tcW w:w="3031" w:type="dxa"/>
            <w:tcBorders>
              <w:top w:val="nil"/>
              <w:left w:val="single" w:sz="4" w:space="0" w:color="auto"/>
              <w:bottom w:val="single" w:sz="4" w:space="0" w:color="auto"/>
              <w:right w:val="single" w:sz="4" w:space="0" w:color="auto"/>
            </w:tcBorders>
            <w:noWrap/>
            <w:vAlign w:val="center"/>
          </w:tcPr>
          <w:p w14:paraId="65CA6037" w14:textId="77777777" w:rsidR="002B40DC" w:rsidRDefault="002B40DC" w:rsidP="008738F2">
            <w:pPr>
              <w:spacing w:after="60"/>
              <w:rPr>
                <w:rFonts w:ascii="Arial" w:hAnsi="Arial" w:cs="Arial"/>
                <w:sz w:val="20"/>
                <w:szCs w:val="20"/>
              </w:rPr>
            </w:pPr>
            <w:r>
              <w:rPr>
                <w:rFonts w:ascii="Arial" w:hAnsi="Arial" w:cs="Arial"/>
                <w:sz w:val="20"/>
                <w:szCs w:val="20"/>
              </w:rPr>
              <w:t>BARROW, AK</w:t>
            </w:r>
          </w:p>
        </w:tc>
        <w:tc>
          <w:tcPr>
            <w:tcW w:w="629" w:type="dxa"/>
            <w:tcBorders>
              <w:top w:val="nil"/>
              <w:left w:val="nil"/>
              <w:bottom w:val="single" w:sz="4" w:space="0" w:color="auto"/>
              <w:right w:val="single" w:sz="4" w:space="0" w:color="auto"/>
            </w:tcBorders>
            <w:noWrap/>
            <w:vAlign w:val="center"/>
          </w:tcPr>
          <w:p w14:paraId="1FDA0802" w14:textId="77777777" w:rsidR="002B40DC" w:rsidRDefault="002B40DC" w:rsidP="008738F2">
            <w:pPr>
              <w:spacing w:after="60"/>
              <w:jc w:val="right"/>
              <w:rPr>
                <w:rFonts w:ascii="Arial" w:hAnsi="Arial" w:cs="Arial"/>
                <w:i/>
                <w:iCs/>
                <w:sz w:val="20"/>
                <w:szCs w:val="20"/>
              </w:rPr>
            </w:pPr>
            <w:r>
              <w:rPr>
                <w:rFonts w:ascii="Arial" w:hAnsi="Arial" w:cs="Arial"/>
                <w:i/>
                <w:iCs/>
                <w:sz w:val="20"/>
                <w:szCs w:val="20"/>
              </w:rPr>
              <w:t>84</w:t>
            </w:r>
          </w:p>
        </w:tc>
        <w:tc>
          <w:tcPr>
            <w:tcW w:w="597" w:type="dxa"/>
            <w:tcBorders>
              <w:top w:val="nil"/>
              <w:left w:val="nil"/>
              <w:bottom w:val="single" w:sz="4" w:space="0" w:color="auto"/>
              <w:right w:val="single" w:sz="4" w:space="0" w:color="auto"/>
            </w:tcBorders>
            <w:noWrap/>
            <w:vAlign w:val="center"/>
          </w:tcPr>
          <w:p w14:paraId="0A720008" w14:textId="77777777" w:rsidR="002B40DC" w:rsidRDefault="002B40DC" w:rsidP="008738F2">
            <w:pPr>
              <w:spacing w:after="60"/>
              <w:jc w:val="right"/>
              <w:rPr>
                <w:rFonts w:ascii="Arial" w:hAnsi="Arial" w:cs="Arial"/>
                <w:sz w:val="20"/>
                <w:szCs w:val="20"/>
              </w:rPr>
            </w:pPr>
            <w:r>
              <w:rPr>
                <w:rFonts w:ascii="Arial" w:hAnsi="Arial" w:cs="Arial"/>
                <w:sz w:val="20"/>
                <w:szCs w:val="20"/>
              </w:rPr>
              <w:t>2.4</w:t>
            </w:r>
          </w:p>
        </w:tc>
        <w:tc>
          <w:tcPr>
            <w:tcW w:w="597" w:type="dxa"/>
            <w:tcBorders>
              <w:top w:val="nil"/>
              <w:left w:val="nil"/>
              <w:bottom w:val="single" w:sz="4" w:space="0" w:color="auto"/>
              <w:right w:val="single" w:sz="4" w:space="0" w:color="auto"/>
            </w:tcBorders>
            <w:noWrap/>
            <w:vAlign w:val="center"/>
          </w:tcPr>
          <w:p w14:paraId="5277FB70" w14:textId="77777777" w:rsidR="002B40DC" w:rsidRDefault="002B40DC" w:rsidP="008738F2">
            <w:pPr>
              <w:spacing w:after="60"/>
              <w:jc w:val="right"/>
              <w:rPr>
                <w:rFonts w:ascii="Arial" w:hAnsi="Arial" w:cs="Arial"/>
                <w:sz w:val="20"/>
                <w:szCs w:val="20"/>
              </w:rPr>
            </w:pPr>
            <w:r>
              <w:rPr>
                <w:rFonts w:ascii="Arial" w:hAnsi="Arial" w:cs="Arial"/>
                <w:sz w:val="20"/>
                <w:szCs w:val="20"/>
              </w:rPr>
              <w:t>2.2</w:t>
            </w:r>
          </w:p>
        </w:tc>
        <w:tc>
          <w:tcPr>
            <w:tcW w:w="676" w:type="dxa"/>
            <w:tcBorders>
              <w:top w:val="nil"/>
              <w:left w:val="nil"/>
              <w:bottom w:val="single" w:sz="4" w:space="0" w:color="auto"/>
              <w:right w:val="single" w:sz="4" w:space="0" w:color="auto"/>
            </w:tcBorders>
            <w:noWrap/>
            <w:vAlign w:val="center"/>
          </w:tcPr>
          <w:p w14:paraId="5FF5CAEE" w14:textId="77777777" w:rsidR="002B40DC" w:rsidRDefault="002B40DC" w:rsidP="008738F2">
            <w:pPr>
              <w:spacing w:after="60"/>
              <w:jc w:val="right"/>
              <w:rPr>
                <w:rFonts w:ascii="Arial" w:hAnsi="Arial" w:cs="Arial"/>
                <w:sz w:val="20"/>
                <w:szCs w:val="20"/>
              </w:rPr>
            </w:pPr>
            <w:r>
              <w:rPr>
                <w:rFonts w:ascii="Arial" w:hAnsi="Arial" w:cs="Arial"/>
                <w:sz w:val="20"/>
                <w:szCs w:val="20"/>
              </w:rPr>
              <w:t>1.9</w:t>
            </w:r>
          </w:p>
        </w:tc>
        <w:tc>
          <w:tcPr>
            <w:tcW w:w="629" w:type="dxa"/>
            <w:tcBorders>
              <w:top w:val="nil"/>
              <w:left w:val="nil"/>
              <w:bottom w:val="single" w:sz="4" w:space="0" w:color="auto"/>
              <w:right w:val="single" w:sz="4" w:space="0" w:color="auto"/>
            </w:tcBorders>
            <w:noWrap/>
            <w:vAlign w:val="center"/>
          </w:tcPr>
          <w:p w14:paraId="73770518" w14:textId="77777777" w:rsidR="002B40DC" w:rsidRDefault="002B40DC" w:rsidP="008738F2">
            <w:pPr>
              <w:spacing w:after="60"/>
              <w:jc w:val="right"/>
              <w:rPr>
                <w:rFonts w:ascii="Arial" w:hAnsi="Arial" w:cs="Arial"/>
                <w:sz w:val="20"/>
                <w:szCs w:val="20"/>
              </w:rPr>
            </w:pPr>
            <w:r>
              <w:rPr>
                <w:rFonts w:ascii="Arial" w:hAnsi="Arial" w:cs="Arial"/>
                <w:sz w:val="20"/>
                <w:szCs w:val="20"/>
              </w:rPr>
              <w:t>2.2</w:t>
            </w:r>
          </w:p>
        </w:tc>
        <w:tc>
          <w:tcPr>
            <w:tcW w:w="660" w:type="dxa"/>
            <w:tcBorders>
              <w:top w:val="nil"/>
              <w:left w:val="nil"/>
              <w:bottom w:val="single" w:sz="4" w:space="0" w:color="auto"/>
              <w:right w:val="single" w:sz="4" w:space="0" w:color="auto"/>
            </w:tcBorders>
            <w:noWrap/>
            <w:vAlign w:val="center"/>
          </w:tcPr>
          <w:p w14:paraId="380B547E" w14:textId="77777777" w:rsidR="002B40DC" w:rsidRDefault="002B40DC" w:rsidP="008738F2">
            <w:pPr>
              <w:spacing w:after="60"/>
              <w:jc w:val="right"/>
              <w:rPr>
                <w:rFonts w:ascii="Arial" w:hAnsi="Arial" w:cs="Arial"/>
                <w:sz w:val="20"/>
                <w:szCs w:val="20"/>
              </w:rPr>
            </w:pPr>
            <w:r>
              <w:rPr>
                <w:rFonts w:ascii="Arial" w:hAnsi="Arial" w:cs="Arial"/>
                <w:sz w:val="20"/>
                <w:szCs w:val="20"/>
              </w:rPr>
              <w:t>1.9</w:t>
            </w:r>
          </w:p>
        </w:tc>
        <w:tc>
          <w:tcPr>
            <w:tcW w:w="596" w:type="dxa"/>
            <w:tcBorders>
              <w:top w:val="nil"/>
              <w:left w:val="nil"/>
              <w:bottom w:val="single" w:sz="4" w:space="0" w:color="auto"/>
              <w:right w:val="single" w:sz="4" w:space="0" w:color="auto"/>
            </w:tcBorders>
            <w:noWrap/>
            <w:vAlign w:val="center"/>
          </w:tcPr>
          <w:p w14:paraId="25B53978" w14:textId="77777777" w:rsidR="002B40DC" w:rsidRDefault="002B40DC" w:rsidP="008738F2">
            <w:pPr>
              <w:spacing w:after="60"/>
              <w:jc w:val="right"/>
              <w:rPr>
                <w:rFonts w:ascii="Arial" w:hAnsi="Arial" w:cs="Arial"/>
                <w:sz w:val="20"/>
                <w:szCs w:val="20"/>
              </w:rPr>
            </w:pPr>
            <w:r>
              <w:rPr>
                <w:rFonts w:ascii="Arial" w:hAnsi="Arial" w:cs="Arial"/>
                <w:sz w:val="20"/>
                <w:szCs w:val="20"/>
              </w:rPr>
              <w:t>0.6</w:t>
            </w:r>
          </w:p>
        </w:tc>
        <w:tc>
          <w:tcPr>
            <w:tcW w:w="549" w:type="dxa"/>
            <w:tcBorders>
              <w:top w:val="nil"/>
              <w:left w:val="nil"/>
              <w:bottom w:val="single" w:sz="4" w:space="0" w:color="auto"/>
              <w:right w:val="single" w:sz="4" w:space="0" w:color="auto"/>
            </w:tcBorders>
            <w:noWrap/>
            <w:vAlign w:val="center"/>
          </w:tcPr>
          <w:p w14:paraId="346A8650" w14:textId="77777777" w:rsidR="002B40DC" w:rsidRDefault="002B40DC" w:rsidP="008738F2">
            <w:pPr>
              <w:spacing w:after="60"/>
              <w:jc w:val="right"/>
              <w:rPr>
                <w:rFonts w:ascii="Arial" w:hAnsi="Arial" w:cs="Arial"/>
                <w:sz w:val="20"/>
                <w:szCs w:val="20"/>
              </w:rPr>
            </w:pPr>
            <w:r>
              <w:rPr>
                <w:rFonts w:ascii="Arial" w:hAnsi="Arial" w:cs="Arial"/>
                <w:sz w:val="20"/>
                <w:szCs w:val="20"/>
              </w:rPr>
              <w:t>0.5</w:t>
            </w:r>
          </w:p>
        </w:tc>
        <w:tc>
          <w:tcPr>
            <w:tcW w:w="660" w:type="dxa"/>
            <w:tcBorders>
              <w:top w:val="nil"/>
              <w:left w:val="nil"/>
              <w:bottom w:val="single" w:sz="4" w:space="0" w:color="auto"/>
              <w:right w:val="single" w:sz="4" w:space="0" w:color="auto"/>
            </w:tcBorders>
            <w:noWrap/>
            <w:vAlign w:val="center"/>
          </w:tcPr>
          <w:p w14:paraId="75AF7D1B" w14:textId="77777777" w:rsidR="002B40DC" w:rsidRDefault="002B40DC" w:rsidP="008738F2">
            <w:pPr>
              <w:spacing w:after="60"/>
              <w:jc w:val="right"/>
              <w:rPr>
                <w:rFonts w:ascii="Arial" w:hAnsi="Arial" w:cs="Arial"/>
                <w:sz w:val="20"/>
                <w:szCs w:val="20"/>
              </w:rPr>
            </w:pPr>
            <w:r>
              <w:rPr>
                <w:rFonts w:ascii="Arial" w:hAnsi="Arial" w:cs="Arial"/>
                <w:sz w:val="20"/>
                <w:szCs w:val="20"/>
              </w:rPr>
              <w:t>0.7</w:t>
            </w:r>
          </w:p>
        </w:tc>
        <w:tc>
          <w:tcPr>
            <w:tcW w:w="613" w:type="dxa"/>
            <w:tcBorders>
              <w:top w:val="nil"/>
              <w:left w:val="nil"/>
              <w:bottom w:val="single" w:sz="4" w:space="0" w:color="auto"/>
              <w:right w:val="single" w:sz="4" w:space="0" w:color="auto"/>
            </w:tcBorders>
            <w:noWrap/>
            <w:vAlign w:val="center"/>
          </w:tcPr>
          <w:p w14:paraId="685F710A" w14:textId="77777777" w:rsidR="002B40DC" w:rsidRDefault="002B40DC" w:rsidP="008738F2">
            <w:pPr>
              <w:spacing w:after="60"/>
              <w:jc w:val="right"/>
              <w:rPr>
                <w:rFonts w:ascii="Arial" w:hAnsi="Arial" w:cs="Arial"/>
                <w:sz w:val="20"/>
                <w:szCs w:val="20"/>
              </w:rPr>
            </w:pPr>
            <w:r>
              <w:rPr>
                <w:rFonts w:ascii="Arial" w:hAnsi="Arial" w:cs="Arial"/>
                <w:sz w:val="20"/>
                <w:szCs w:val="20"/>
              </w:rPr>
              <w:t>3.7</w:t>
            </w:r>
          </w:p>
        </w:tc>
        <w:tc>
          <w:tcPr>
            <w:tcW w:w="644" w:type="dxa"/>
            <w:tcBorders>
              <w:top w:val="nil"/>
              <w:left w:val="nil"/>
              <w:bottom w:val="single" w:sz="4" w:space="0" w:color="auto"/>
              <w:right w:val="single" w:sz="4" w:space="0" w:color="auto"/>
            </w:tcBorders>
            <w:noWrap/>
            <w:vAlign w:val="center"/>
          </w:tcPr>
          <w:p w14:paraId="30806CC4" w14:textId="77777777" w:rsidR="002B40DC" w:rsidRDefault="002B40DC" w:rsidP="008738F2">
            <w:pPr>
              <w:spacing w:after="60"/>
              <w:jc w:val="right"/>
              <w:rPr>
                <w:rFonts w:ascii="Arial" w:hAnsi="Arial" w:cs="Arial"/>
                <w:sz w:val="20"/>
                <w:szCs w:val="20"/>
              </w:rPr>
            </w:pPr>
            <w:r>
              <w:rPr>
                <w:rFonts w:ascii="Arial" w:hAnsi="Arial" w:cs="Arial"/>
                <w:sz w:val="20"/>
                <w:szCs w:val="20"/>
              </w:rPr>
              <w:t>7.5</w:t>
            </w:r>
          </w:p>
        </w:tc>
        <w:tc>
          <w:tcPr>
            <w:tcW w:w="660" w:type="dxa"/>
            <w:tcBorders>
              <w:top w:val="nil"/>
              <w:left w:val="nil"/>
              <w:bottom w:val="single" w:sz="4" w:space="0" w:color="auto"/>
              <w:right w:val="single" w:sz="4" w:space="0" w:color="auto"/>
            </w:tcBorders>
            <w:noWrap/>
            <w:vAlign w:val="center"/>
          </w:tcPr>
          <w:p w14:paraId="49D976C4" w14:textId="77777777" w:rsidR="002B40DC" w:rsidRDefault="002B40DC" w:rsidP="008738F2">
            <w:pPr>
              <w:spacing w:after="60"/>
              <w:jc w:val="right"/>
              <w:rPr>
                <w:rFonts w:ascii="Arial" w:hAnsi="Arial" w:cs="Arial"/>
                <w:sz w:val="20"/>
                <w:szCs w:val="20"/>
              </w:rPr>
            </w:pPr>
            <w:r>
              <w:rPr>
                <w:rFonts w:ascii="Arial" w:hAnsi="Arial" w:cs="Arial"/>
                <w:sz w:val="20"/>
                <w:szCs w:val="20"/>
              </w:rPr>
              <w:t>3.8</w:t>
            </w:r>
          </w:p>
        </w:tc>
        <w:tc>
          <w:tcPr>
            <w:tcW w:w="644" w:type="dxa"/>
            <w:tcBorders>
              <w:top w:val="nil"/>
              <w:left w:val="nil"/>
              <w:bottom w:val="single" w:sz="4" w:space="0" w:color="auto"/>
              <w:right w:val="single" w:sz="4" w:space="0" w:color="auto"/>
            </w:tcBorders>
            <w:noWrap/>
            <w:vAlign w:val="center"/>
          </w:tcPr>
          <w:p w14:paraId="36AE15B2" w14:textId="77777777" w:rsidR="002B40DC" w:rsidRDefault="002B40DC" w:rsidP="008738F2">
            <w:pPr>
              <w:spacing w:after="60"/>
              <w:jc w:val="right"/>
              <w:rPr>
                <w:rFonts w:ascii="Arial" w:hAnsi="Arial" w:cs="Arial"/>
                <w:sz w:val="20"/>
                <w:szCs w:val="20"/>
              </w:rPr>
            </w:pPr>
            <w:r>
              <w:rPr>
                <w:rFonts w:ascii="Arial" w:hAnsi="Arial" w:cs="Arial"/>
                <w:sz w:val="20"/>
                <w:szCs w:val="20"/>
              </w:rPr>
              <w:t>2.6</w:t>
            </w:r>
          </w:p>
        </w:tc>
        <w:tc>
          <w:tcPr>
            <w:tcW w:w="755" w:type="dxa"/>
            <w:tcBorders>
              <w:top w:val="nil"/>
              <w:left w:val="nil"/>
              <w:bottom w:val="single" w:sz="4" w:space="0" w:color="auto"/>
              <w:right w:val="single" w:sz="4" w:space="0" w:color="auto"/>
            </w:tcBorders>
            <w:noWrap/>
            <w:vAlign w:val="center"/>
          </w:tcPr>
          <w:p w14:paraId="4F8314FF" w14:textId="77777777" w:rsidR="002B40DC" w:rsidRDefault="002B40DC" w:rsidP="008738F2">
            <w:pPr>
              <w:spacing w:after="60"/>
              <w:jc w:val="right"/>
              <w:rPr>
                <w:rFonts w:ascii="Arial" w:hAnsi="Arial" w:cs="Arial"/>
                <w:i/>
                <w:iCs/>
                <w:sz w:val="20"/>
                <w:szCs w:val="20"/>
              </w:rPr>
            </w:pPr>
            <w:r>
              <w:rPr>
                <w:rFonts w:ascii="Arial" w:hAnsi="Arial" w:cs="Arial"/>
                <w:i/>
                <w:iCs/>
                <w:sz w:val="20"/>
                <w:szCs w:val="20"/>
              </w:rPr>
              <w:t>30</w:t>
            </w:r>
          </w:p>
        </w:tc>
      </w:tr>
      <w:tr w:rsidR="002B40DC" w14:paraId="58D40C91" w14:textId="77777777" w:rsidTr="00915E78">
        <w:trPr>
          <w:trHeight w:val="255"/>
          <w:jc w:val="center"/>
        </w:trPr>
        <w:tc>
          <w:tcPr>
            <w:tcW w:w="3031" w:type="dxa"/>
            <w:tcBorders>
              <w:top w:val="nil"/>
              <w:left w:val="single" w:sz="4" w:space="0" w:color="auto"/>
              <w:bottom w:val="single" w:sz="4" w:space="0" w:color="auto"/>
              <w:right w:val="single" w:sz="4" w:space="0" w:color="auto"/>
            </w:tcBorders>
            <w:noWrap/>
            <w:vAlign w:val="center"/>
          </w:tcPr>
          <w:p w14:paraId="3047A32B" w14:textId="77777777" w:rsidR="002B40DC" w:rsidRDefault="002B40DC" w:rsidP="008738F2">
            <w:pPr>
              <w:spacing w:after="60"/>
              <w:rPr>
                <w:rFonts w:ascii="Arial" w:hAnsi="Arial" w:cs="Arial"/>
                <w:sz w:val="20"/>
                <w:szCs w:val="20"/>
              </w:rPr>
            </w:pPr>
            <w:r>
              <w:rPr>
                <w:rFonts w:ascii="Arial" w:hAnsi="Arial" w:cs="Arial"/>
                <w:sz w:val="20"/>
                <w:szCs w:val="20"/>
              </w:rPr>
              <w:t xml:space="preserve">BARTER </w:t>
            </w:r>
            <w:proofErr w:type="gramStart"/>
            <w:r>
              <w:rPr>
                <w:rFonts w:ascii="Arial" w:hAnsi="Arial" w:cs="Arial"/>
                <w:sz w:val="20"/>
                <w:szCs w:val="20"/>
              </w:rPr>
              <w:t>IS.,AK</w:t>
            </w:r>
            <w:proofErr w:type="gramEnd"/>
          </w:p>
        </w:tc>
        <w:tc>
          <w:tcPr>
            <w:tcW w:w="629" w:type="dxa"/>
            <w:tcBorders>
              <w:top w:val="nil"/>
              <w:left w:val="nil"/>
              <w:bottom w:val="single" w:sz="4" w:space="0" w:color="auto"/>
              <w:right w:val="single" w:sz="4" w:space="0" w:color="auto"/>
            </w:tcBorders>
            <w:noWrap/>
            <w:vAlign w:val="center"/>
          </w:tcPr>
          <w:p w14:paraId="474B6730" w14:textId="77777777" w:rsidR="002B40DC" w:rsidRDefault="002B40DC" w:rsidP="008738F2">
            <w:pPr>
              <w:spacing w:after="60"/>
              <w:jc w:val="right"/>
              <w:rPr>
                <w:rFonts w:ascii="Arial" w:hAnsi="Arial" w:cs="Arial"/>
                <w:i/>
                <w:iCs/>
                <w:sz w:val="20"/>
                <w:szCs w:val="20"/>
              </w:rPr>
            </w:pPr>
            <w:r>
              <w:rPr>
                <w:rFonts w:ascii="Arial" w:hAnsi="Arial" w:cs="Arial"/>
                <w:i/>
                <w:iCs/>
                <w:sz w:val="20"/>
                <w:szCs w:val="20"/>
              </w:rPr>
              <w:t>40</w:t>
            </w:r>
          </w:p>
        </w:tc>
        <w:tc>
          <w:tcPr>
            <w:tcW w:w="597" w:type="dxa"/>
            <w:tcBorders>
              <w:top w:val="nil"/>
              <w:left w:val="nil"/>
              <w:bottom w:val="single" w:sz="4" w:space="0" w:color="auto"/>
              <w:right w:val="single" w:sz="4" w:space="0" w:color="auto"/>
            </w:tcBorders>
            <w:noWrap/>
            <w:vAlign w:val="center"/>
          </w:tcPr>
          <w:p w14:paraId="32C2699D" w14:textId="77777777" w:rsidR="002B40DC" w:rsidRDefault="002B40DC" w:rsidP="008738F2">
            <w:pPr>
              <w:spacing w:after="60"/>
              <w:jc w:val="right"/>
              <w:rPr>
                <w:rFonts w:ascii="Arial" w:hAnsi="Arial" w:cs="Arial"/>
                <w:sz w:val="20"/>
                <w:szCs w:val="20"/>
              </w:rPr>
            </w:pPr>
            <w:r>
              <w:rPr>
                <w:rFonts w:ascii="Arial" w:hAnsi="Arial" w:cs="Arial"/>
                <w:sz w:val="20"/>
                <w:szCs w:val="20"/>
              </w:rPr>
              <w:t>4.6</w:t>
            </w:r>
          </w:p>
        </w:tc>
        <w:tc>
          <w:tcPr>
            <w:tcW w:w="597" w:type="dxa"/>
            <w:tcBorders>
              <w:top w:val="nil"/>
              <w:left w:val="nil"/>
              <w:bottom w:val="single" w:sz="4" w:space="0" w:color="auto"/>
              <w:right w:val="single" w:sz="4" w:space="0" w:color="auto"/>
            </w:tcBorders>
            <w:noWrap/>
            <w:vAlign w:val="center"/>
          </w:tcPr>
          <w:p w14:paraId="675A8952" w14:textId="77777777" w:rsidR="002B40DC" w:rsidRDefault="002B40DC" w:rsidP="008738F2">
            <w:pPr>
              <w:spacing w:after="60"/>
              <w:jc w:val="right"/>
              <w:rPr>
                <w:rFonts w:ascii="Arial" w:hAnsi="Arial" w:cs="Arial"/>
                <w:sz w:val="20"/>
                <w:szCs w:val="20"/>
              </w:rPr>
            </w:pPr>
            <w:r>
              <w:rPr>
                <w:rFonts w:ascii="Arial" w:hAnsi="Arial" w:cs="Arial"/>
                <w:sz w:val="20"/>
                <w:szCs w:val="20"/>
              </w:rPr>
              <w:t>2.5</w:t>
            </w:r>
          </w:p>
        </w:tc>
        <w:tc>
          <w:tcPr>
            <w:tcW w:w="676" w:type="dxa"/>
            <w:tcBorders>
              <w:top w:val="nil"/>
              <w:left w:val="nil"/>
              <w:bottom w:val="single" w:sz="4" w:space="0" w:color="auto"/>
              <w:right w:val="single" w:sz="4" w:space="0" w:color="auto"/>
            </w:tcBorders>
            <w:noWrap/>
            <w:vAlign w:val="center"/>
          </w:tcPr>
          <w:p w14:paraId="1752EE1A" w14:textId="77777777" w:rsidR="002B40DC" w:rsidRDefault="002B40DC" w:rsidP="008738F2">
            <w:pPr>
              <w:spacing w:after="60"/>
              <w:jc w:val="right"/>
              <w:rPr>
                <w:rFonts w:ascii="Arial" w:hAnsi="Arial" w:cs="Arial"/>
                <w:sz w:val="20"/>
                <w:szCs w:val="20"/>
              </w:rPr>
            </w:pPr>
            <w:r>
              <w:rPr>
                <w:rFonts w:ascii="Arial" w:hAnsi="Arial" w:cs="Arial"/>
                <w:sz w:val="20"/>
                <w:szCs w:val="20"/>
              </w:rPr>
              <w:t>2.5</w:t>
            </w:r>
          </w:p>
        </w:tc>
        <w:tc>
          <w:tcPr>
            <w:tcW w:w="629" w:type="dxa"/>
            <w:tcBorders>
              <w:top w:val="nil"/>
              <w:left w:val="nil"/>
              <w:bottom w:val="single" w:sz="4" w:space="0" w:color="auto"/>
              <w:right w:val="single" w:sz="4" w:space="0" w:color="auto"/>
            </w:tcBorders>
            <w:noWrap/>
            <w:vAlign w:val="center"/>
          </w:tcPr>
          <w:p w14:paraId="638510B8" w14:textId="77777777" w:rsidR="002B40DC" w:rsidRDefault="002B40DC" w:rsidP="008738F2">
            <w:pPr>
              <w:spacing w:after="60"/>
              <w:jc w:val="right"/>
              <w:rPr>
                <w:rFonts w:ascii="Arial" w:hAnsi="Arial" w:cs="Arial"/>
                <w:sz w:val="20"/>
                <w:szCs w:val="20"/>
              </w:rPr>
            </w:pPr>
            <w:r>
              <w:rPr>
                <w:rFonts w:ascii="Arial" w:hAnsi="Arial" w:cs="Arial"/>
                <w:sz w:val="20"/>
                <w:szCs w:val="20"/>
              </w:rPr>
              <w:t>2.3</w:t>
            </w:r>
          </w:p>
        </w:tc>
        <w:tc>
          <w:tcPr>
            <w:tcW w:w="660" w:type="dxa"/>
            <w:tcBorders>
              <w:top w:val="nil"/>
              <w:left w:val="nil"/>
              <w:bottom w:val="single" w:sz="4" w:space="0" w:color="auto"/>
              <w:right w:val="single" w:sz="4" w:space="0" w:color="auto"/>
            </w:tcBorders>
            <w:noWrap/>
            <w:vAlign w:val="center"/>
          </w:tcPr>
          <w:p w14:paraId="02DF424E" w14:textId="77777777" w:rsidR="002B40DC" w:rsidRDefault="002B40DC" w:rsidP="008738F2">
            <w:pPr>
              <w:spacing w:after="60"/>
              <w:jc w:val="right"/>
              <w:rPr>
                <w:rFonts w:ascii="Arial" w:hAnsi="Arial" w:cs="Arial"/>
                <w:sz w:val="20"/>
                <w:szCs w:val="20"/>
              </w:rPr>
            </w:pPr>
            <w:r>
              <w:rPr>
                <w:rFonts w:ascii="Arial" w:hAnsi="Arial" w:cs="Arial"/>
                <w:sz w:val="20"/>
                <w:szCs w:val="20"/>
              </w:rPr>
              <w:t>2.9</w:t>
            </w:r>
          </w:p>
        </w:tc>
        <w:tc>
          <w:tcPr>
            <w:tcW w:w="596" w:type="dxa"/>
            <w:tcBorders>
              <w:top w:val="nil"/>
              <w:left w:val="nil"/>
              <w:bottom w:val="single" w:sz="4" w:space="0" w:color="auto"/>
              <w:right w:val="single" w:sz="4" w:space="0" w:color="auto"/>
            </w:tcBorders>
            <w:noWrap/>
            <w:vAlign w:val="center"/>
          </w:tcPr>
          <w:p w14:paraId="49FF6D8C" w14:textId="77777777" w:rsidR="002B40DC" w:rsidRDefault="002B40DC" w:rsidP="008738F2">
            <w:pPr>
              <w:spacing w:after="60"/>
              <w:jc w:val="right"/>
              <w:rPr>
                <w:rFonts w:ascii="Arial" w:hAnsi="Arial" w:cs="Arial"/>
                <w:sz w:val="20"/>
                <w:szCs w:val="20"/>
              </w:rPr>
            </w:pPr>
            <w:r>
              <w:rPr>
                <w:rFonts w:ascii="Arial" w:hAnsi="Arial" w:cs="Arial"/>
                <w:sz w:val="20"/>
                <w:szCs w:val="20"/>
              </w:rPr>
              <w:t>1.6</w:t>
            </w:r>
          </w:p>
        </w:tc>
        <w:tc>
          <w:tcPr>
            <w:tcW w:w="549" w:type="dxa"/>
            <w:tcBorders>
              <w:top w:val="nil"/>
              <w:left w:val="nil"/>
              <w:bottom w:val="single" w:sz="4" w:space="0" w:color="auto"/>
              <w:right w:val="single" w:sz="4" w:space="0" w:color="auto"/>
            </w:tcBorders>
            <w:noWrap/>
            <w:vAlign w:val="center"/>
          </w:tcPr>
          <w:p w14:paraId="671A6B14" w14:textId="77777777" w:rsidR="002B40DC" w:rsidRDefault="002B40DC" w:rsidP="008738F2">
            <w:pPr>
              <w:spacing w:after="60"/>
              <w:jc w:val="right"/>
              <w:rPr>
                <w:rFonts w:ascii="Arial" w:hAnsi="Arial" w:cs="Arial"/>
                <w:sz w:val="20"/>
                <w:szCs w:val="20"/>
              </w:rPr>
            </w:pPr>
            <w:r>
              <w:rPr>
                <w:rFonts w:ascii="Arial" w:hAnsi="Arial" w:cs="Arial"/>
                <w:sz w:val="20"/>
                <w:szCs w:val="20"/>
              </w:rPr>
              <w:t>0.5</w:t>
            </w:r>
          </w:p>
        </w:tc>
        <w:tc>
          <w:tcPr>
            <w:tcW w:w="660" w:type="dxa"/>
            <w:tcBorders>
              <w:top w:val="nil"/>
              <w:left w:val="nil"/>
              <w:bottom w:val="single" w:sz="4" w:space="0" w:color="auto"/>
              <w:right w:val="single" w:sz="4" w:space="0" w:color="auto"/>
            </w:tcBorders>
            <w:noWrap/>
            <w:vAlign w:val="center"/>
          </w:tcPr>
          <w:p w14:paraId="7B8AB93A" w14:textId="77777777" w:rsidR="002B40DC" w:rsidRDefault="002B40DC" w:rsidP="008738F2">
            <w:pPr>
              <w:spacing w:after="60"/>
              <w:jc w:val="right"/>
              <w:rPr>
                <w:rFonts w:ascii="Arial" w:hAnsi="Arial" w:cs="Arial"/>
                <w:sz w:val="20"/>
                <w:szCs w:val="20"/>
              </w:rPr>
            </w:pPr>
            <w:r>
              <w:rPr>
                <w:rFonts w:ascii="Arial" w:hAnsi="Arial" w:cs="Arial"/>
                <w:sz w:val="20"/>
                <w:szCs w:val="20"/>
              </w:rPr>
              <w:t>1.6</w:t>
            </w:r>
          </w:p>
        </w:tc>
        <w:tc>
          <w:tcPr>
            <w:tcW w:w="613" w:type="dxa"/>
            <w:tcBorders>
              <w:top w:val="nil"/>
              <w:left w:val="nil"/>
              <w:bottom w:val="single" w:sz="4" w:space="0" w:color="auto"/>
              <w:right w:val="single" w:sz="4" w:space="0" w:color="auto"/>
            </w:tcBorders>
            <w:noWrap/>
            <w:vAlign w:val="center"/>
          </w:tcPr>
          <w:p w14:paraId="13F0D38B" w14:textId="77777777" w:rsidR="002B40DC" w:rsidRDefault="002B40DC" w:rsidP="008738F2">
            <w:pPr>
              <w:spacing w:after="60"/>
              <w:jc w:val="right"/>
              <w:rPr>
                <w:rFonts w:ascii="Arial" w:hAnsi="Arial" w:cs="Arial"/>
                <w:sz w:val="20"/>
                <w:szCs w:val="20"/>
              </w:rPr>
            </w:pPr>
            <w:r>
              <w:rPr>
                <w:rFonts w:ascii="Arial" w:hAnsi="Arial" w:cs="Arial"/>
                <w:sz w:val="20"/>
                <w:szCs w:val="20"/>
              </w:rPr>
              <w:t>5.7</w:t>
            </w:r>
          </w:p>
        </w:tc>
        <w:tc>
          <w:tcPr>
            <w:tcW w:w="644" w:type="dxa"/>
            <w:tcBorders>
              <w:top w:val="nil"/>
              <w:left w:val="nil"/>
              <w:bottom w:val="single" w:sz="4" w:space="0" w:color="auto"/>
              <w:right w:val="single" w:sz="4" w:space="0" w:color="auto"/>
            </w:tcBorders>
            <w:noWrap/>
            <w:vAlign w:val="center"/>
          </w:tcPr>
          <w:p w14:paraId="18F03D83" w14:textId="77777777" w:rsidR="002B40DC" w:rsidRDefault="002B40DC" w:rsidP="008738F2">
            <w:pPr>
              <w:spacing w:after="60"/>
              <w:jc w:val="right"/>
              <w:rPr>
                <w:rFonts w:ascii="Arial" w:hAnsi="Arial" w:cs="Arial"/>
                <w:sz w:val="20"/>
                <w:szCs w:val="20"/>
              </w:rPr>
            </w:pPr>
            <w:r>
              <w:rPr>
                <w:rFonts w:ascii="Arial" w:hAnsi="Arial" w:cs="Arial"/>
                <w:sz w:val="20"/>
                <w:szCs w:val="20"/>
              </w:rPr>
              <w:t>9.5</w:t>
            </w:r>
          </w:p>
        </w:tc>
        <w:tc>
          <w:tcPr>
            <w:tcW w:w="660" w:type="dxa"/>
            <w:tcBorders>
              <w:top w:val="nil"/>
              <w:left w:val="nil"/>
              <w:bottom w:val="single" w:sz="4" w:space="0" w:color="auto"/>
              <w:right w:val="single" w:sz="4" w:space="0" w:color="auto"/>
            </w:tcBorders>
            <w:noWrap/>
            <w:vAlign w:val="center"/>
          </w:tcPr>
          <w:p w14:paraId="53747F0A" w14:textId="77777777" w:rsidR="002B40DC" w:rsidRDefault="002B40DC" w:rsidP="008738F2">
            <w:pPr>
              <w:spacing w:after="60"/>
              <w:jc w:val="right"/>
              <w:rPr>
                <w:rFonts w:ascii="Arial" w:hAnsi="Arial" w:cs="Arial"/>
                <w:sz w:val="20"/>
                <w:szCs w:val="20"/>
              </w:rPr>
            </w:pPr>
            <w:r>
              <w:rPr>
                <w:rFonts w:ascii="Arial" w:hAnsi="Arial" w:cs="Arial"/>
                <w:sz w:val="20"/>
                <w:szCs w:val="20"/>
              </w:rPr>
              <w:t>5.1</w:t>
            </w:r>
          </w:p>
        </w:tc>
        <w:tc>
          <w:tcPr>
            <w:tcW w:w="644" w:type="dxa"/>
            <w:tcBorders>
              <w:top w:val="nil"/>
              <w:left w:val="nil"/>
              <w:bottom w:val="single" w:sz="4" w:space="0" w:color="auto"/>
              <w:right w:val="single" w:sz="4" w:space="0" w:color="auto"/>
            </w:tcBorders>
            <w:noWrap/>
            <w:vAlign w:val="center"/>
          </w:tcPr>
          <w:p w14:paraId="373A822B" w14:textId="77777777" w:rsidR="002B40DC" w:rsidRDefault="002B40DC" w:rsidP="008738F2">
            <w:pPr>
              <w:spacing w:after="60"/>
              <w:jc w:val="right"/>
              <w:rPr>
                <w:rFonts w:ascii="Arial" w:hAnsi="Arial" w:cs="Arial"/>
                <w:sz w:val="20"/>
                <w:szCs w:val="20"/>
              </w:rPr>
            </w:pPr>
            <w:r>
              <w:rPr>
                <w:rFonts w:ascii="Arial" w:hAnsi="Arial" w:cs="Arial"/>
                <w:sz w:val="20"/>
                <w:szCs w:val="20"/>
              </w:rPr>
              <w:t>3.3</w:t>
            </w:r>
          </w:p>
        </w:tc>
        <w:tc>
          <w:tcPr>
            <w:tcW w:w="755" w:type="dxa"/>
            <w:tcBorders>
              <w:top w:val="nil"/>
              <w:left w:val="nil"/>
              <w:bottom w:val="single" w:sz="4" w:space="0" w:color="auto"/>
              <w:right w:val="single" w:sz="4" w:space="0" w:color="auto"/>
            </w:tcBorders>
            <w:noWrap/>
            <w:vAlign w:val="center"/>
          </w:tcPr>
          <w:p w14:paraId="5AA075CC" w14:textId="77777777" w:rsidR="002B40DC" w:rsidRDefault="002B40DC" w:rsidP="008738F2">
            <w:pPr>
              <w:spacing w:after="60"/>
              <w:jc w:val="right"/>
              <w:rPr>
                <w:rFonts w:ascii="Arial" w:hAnsi="Arial" w:cs="Arial"/>
                <w:i/>
                <w:iCs/>
                <w:sz w:val="20"/>
                <w:szCs w:val="20"/>
              </w:rPr>
            </w:pPr>
            <w:r>
              <w:rPr>
                <w:rFonts w:ascii="Arial" w:hAnsi="Arial" w:cs="Arial"/>
                <w:i/>
                <w:iCs/>
                <w:sz w:val="20"/>
                <w:szCs w:val="20"/>
              </w:rPr>
              <w:t>42.1</w:t>
            </w:r>
          </w:p>
        </w:tc>
      </w:tr>
      <w:tr w:rsidR="002B40DC" w14:paraId="54406FE7" w14:textId="77777777" w:rsidTr="00915E78">
        <w:trPr>
          <w:trHeight w:val="255"/>
          <w:jc w:val="center"/>
        </w:trPr>
        <w:tc>
          <w:tcPr>
            <w:tcW w:w="3031" w:type="dxa"/>
            <w:tcBorders>
              <w:top w:val="nil"/>
              <w:left w:val="single" w:sz="4" w:space="0" w:color="auto"/>
              <w:bottom w:val="single" w:sz="4" w:space="0" w:color="auto"/>
              <w:right w:val="single" w:sz="4" w:space="0" w:color="auto"/>
            </w:tcBorders>
            <w:noWrap/>
            <w:vAlign w:val="center"/>
          </w:tcPr>
          <w:p w14:paraId="59F3015F" w14:textId="77777777" w:rsidR="002B40DC" w:rsidRDefault="002B40DC" w:rsidP="008738F2">
            <w:pPr>
              <w:spacing w:after="60"/>
              <w:rPr>
                <w:rFonts w:ascii="Arial" w:hAnsi="Arial" w:cs="Arial"/>
                <w:sz w:val="20"/>
                <w:szCs w:val="20"/>
              </w:rPr>
            </w:pPr>
            <w:smartTag w:uri="urn:schemas-microsoft-com:office:smarttags" w:element="place">
              <w:smartTag w:uri="urn:schemas-microsoft-com:office:smarttags" w:element="City">
                <w:r>
                  <w:rPr>
                    <w:rFonts w:ascii="Arial" w:hAnsi="Arial" w:cs="Arial"/>
                    <w:sz w:val="20"/>
                    <w:szCs w:val="20"/>
                  </w:rPr>
                  <w:t>BETHEL</w:t>
                </w:r>
              </w:smartTag>
              <w:r>
                <w:rPr>
                  <w:rFonts w:ascii="Arial" w:hAnsi="Arial" w:cs="Arial"/>
                  <w:sz w:val="20"/>
                  <w:szCs w:val="20"/>
                </w:rPr>
                <w:t xml:space="preserve">, </w:t>
              </w:r>
              <w:smartTag w:uri="urn:schemas-microsoft-com:office:smarttags" w:element="State">
                <w:r>
                  <w:rPr>
                    <w:rFonts w:ascii="Arial" w:hAnsi="Arial" w:cs="Arial"/>
                    <w:sz w:val="20"/>
                    <w:szCs w:val="20"/>
                  </w:rPr>
                  <w:t>AK</w:t>
                </w:r>
              </w:smartTag>
            </w:smartTag>
          </w:p>
        </w:tc>
        <w:tc>
          <w:tcPr>
            <w:tcW w:w="629" w:type="dxa"/>
            <w:tcBorders>
              <w:top w:val="nil"/>
              <w:left w:val="nil"/>
              <w:bottom w:val="single" w:sz="4" w:space="0" w:color="auto"/>
              <w:right w:val="single" w:sz="4" w:space="0" w:color="auto"/>
            </w:tcBorders>
            <w:noWrap/>
            <w:vAlign w:val="center"/>
          </w:tcPr>
          <w:p w14:paraId="5A888C86" w14:textId="77777777" w:rsidR="002B40DC" w:rsidRDefault="002B40DC" w:rsidP="008738F2">
            <w:pPr>
              <w:spacing w:after="60"/>
              <w:jc w:val="right"/>
              <w:rPr>
                <w:rFonts w:ascii="Arial" w:hAnsi="Arial" w:cs="Arial"/>
                <w:i/>
                <w:iCs/>
                <w:sz w:val="20"/>
                <w:szCs w:val="20"/>
              </w:rPr>
            </w:pPr>
            <w:r>
              <w:rPr>
                <w:rFonts w:ascii="Arial" w:hAnsi="Arial" w:cs="Arial"/>
                <w:i/>
                <w:iCs/>
                <w:sz w:val="20"/>
                <w:szCs w:val="20"/>
              </w:rPr>
              <w:t>46</w:t>
            </w:r>
          </w:p>
        </w:tc>
        <w:tc>
          <w:tcPr>
            <w:tcW w:w="597" w:type="dxa"/>
            <w:tcBorders>
              <w:top w:val="nil"/>
              <w:left w:val="nil"/>
              <w:bottom w:val="single" w:sz="4" w:space="0" w:color="auto"/>
              <w:right w:val="single" w:sz="4" w:space="0" w:color="auto"/>
            </w:tcBorders>
            <w:noWrap/>
            <w:vAlign w:val="center"/>
          </w:tcPr>
          <w:p w14:paraId="4383E9EA" w14:textId="77777777" w:rsidR="002B40DC" w:rsidRDefault="002B40DC" w:rsidP="008738F2">
            <w:pPr>
              <w:spacing w:after="60"/>
              <w:jc w:val="right"/>
              <w:rPr>
                <w:rFonts w:ascii="Arial" w:hAnsi="Arial" w:cs="Arial"/>
                <w:sz w:val="20"/>
                <w:szCs w:val="20"/>
              </w:rPr>
            </w:pPr>
            <w:r>
              <w:rPr>
                <w:rFonts w:ascii="Arial" w:hAnsi="Arial" w:cs="Arial"/>
                <w:sz w:val="20"/>
                <w:szCs w:val="20"/>
              </w:rPr>
              <w:t>6.9</w:t>
            </w:r>
          </w:p>
        </w:tc>
        <w:tc>
          <w:tcPr>
            <w:tcW w:w="597" w:type="dxa"/>
            <w:tcBorders>
              <w:top w:val="nil"/>
              <w:left w:val="nil"/>
              <w:bottom w:val="single" w:sz="4" w:space="0" w:color="auto"/>
              <w:right w:val="single" w:sz="4" w:space="0" w:color="auto"/>
            </w:tcBorders>
            <w:noWrap/>
            <w:vAlign w:val="center"/>
          </w:tcPr>
          <w:p w14:paraId="36B18BCD" w14:textId="77777777" w:rsidR="002B40DC" w:rsidRDefault="002B40DC" w:rsidP="008738F2">
            <w:pPr>
              <w:spacing w:after="60"/>
              <w:jc w:val="right"/>
              <w:rPr>
                <w:rFonts w:ascii="Arial" w:hAnsi="Arial" w:cs="Arial"/>
                <w:sz w:val="20"/>
                <w:szCs w:val="20"/>
              </w:rPr>
            </w:pPr>
            <w:r>
              <w:rPr>
                <w:rFonts w:ascii="Arial" w:hAnsi="Arial" w:cs="Arial"/>
                <w:sz w:val="20"/>
                <w:szCs w:val="20"/>
              </w:rPr>
              <w:t>6.3</w:t>
            </w:r>
          </w:p>
        </w:tc>
        <w:tc>
          <w:tcPr>
            <w:tcW w:w="676" w:type="dxa"/>
            <w:tcBorders>
              <w:top w:val="nil"/>
              <w:left w:val="nil"/>
              <w:bottom w:val="single" w:sz="4" w:space="0" w:color="auto"/>
              <w:right w:val="single" w:sz="4" w:space="0" w:color="auto"/>
            </w:tcBorders>
            <w:noWrap/>
            <w:vAlign w:val="center"/>
          </w:tcPr>
          <w:p w14:paraId="544D107D" w14:textId="77777777" w:rsidR="002B40DC" w:rsidRDefault="002B40DC" w:rsidP="008738F2">
            <w:pPr>
              <w:spacing w:after="60"/>
              <w:jc w:val="right"/>
              <w:rPr>
                <w:rFonts w:ascii="Arial" w:hAnsi="Arial" w:cs="Arial"/>
                <w:sz w:val="20"/>
                <w:szCs w:val="20"/>
              </w:rPr>
            </w:pPr>
            <w:r>
              <w:rPr>
                <w:rFonts w:ascii="Arial" w:hAnsi="Arial" w:cs="Arial"/>
                <w:sz w:val="20"/>
                <w:szCs w:val="20"/>
              </w:rPr>
              <w:t>8</w:t>
            </w:r>
          </w:p>
        </w:tc>
        <w:tc>
          <w:tcPr>
            <w:tcW w:w="629" w:type="dxa"/>
            <w:tcBorders>
              <w:top w:val="nil"/>
              <w:left w:val="nil"/>
              <w:bottom w:val="single" w:sz="4" w:space="0" w:color="auto"/>
              <w:right w:val="single" w:sz="4" w:space="0" w:color="auto"/>
            </w:tcBorders>
            <w:noWrap/>
            <w:vAlign w:val="center"/>
          </w:tcPr>
          <w:p w14:paraId="2B7E5D29" w14:textId="77777777" w:rsidR="002B40DC" w:rsidRDefault="002B40DC" w:rsidP="008738F2">
            <w:pPr>
              <w:spacing w:after="60"/>
              <w:jc w:val="right"/>
              <w:rPr>
                <w:rFonts w:ascii="Arial" w:hAnsi="Arial" w:cs="Arial"/>
                <w:sz w:val="20"/>
                <w:szCs w:val="20"/>
              </w:rPr>
            </w:pPr>
            <w:r>
              <w:rPr>
                <w:rFonts w:ascii="Arial" w:hAnsi="Arial" w:cs="Arial"/>
                <w:sz w:val="20"/>
                <w:szCs w:val="20"/>
              </w:rPr>
              <w:t>5.7</w:t>
            </w:r>
          </w:p>
        </w:tc>
        <w:tc>
          <w:tcPr>
            <w:tcW w:w="660" w:type="dxa"/>
            <w:tcBorders>
              <w:top w:val="nil"/>
              <w:left w:val="nil"/>
              <w:bottom w:val="single" w:sz="4" w:space="0" w:color="auto"/>
              <w:right w:val="single" w:sz="4" w:space="0" w:color="auto"/>
            </w:tcBorders>
            <w:noWrap/>
            <w:vAlign w:val="center"/>
          </w:tcPr>
          <w:p w14:paraId="29C8A7E4" w14:textId="77777777" w:rsidR="002B40DC" w:rsidRDefault="002B40DC" w:rsidP="008738F2">
            <w:pPr>
              <w:spacing w:after="60"/>
              <w:jc w:val="right"/>
              <w:rPr>
                <w:rFonts w:ascii="Arial" w:hAnsi="Arial" w:cs="Arial"/>
                <w:sz w:val="20"/>
                <w:szCs w:val="20"/>
              </w:rPr>
            </w:pPr>
            <w:r>
              <w:rPr>
                <w:rFonts w:ascii="Arial" w:hAnsi="Arial" w:cs="Arial"/>
                <w:sz w:val="20"/>
                <w:szCs w:val="20"/>
              </w:rPr>
              <w:t>2.1</w:t>
            </w:r>
          </w:p>
        </w:tc>
        <w:tc>
          <w:tcPr>
            <w:tcW w:w="596" w:type="dxa"/>
            <w:tcBorders>
              <w:top w:val="nil"/>
              <w:left w:val="nil"/>
              <w:bottom w:val="single" w:sz="4" w:space="0" w:color="auto"/>
              <w:right w:val="single" w:sz="4" w:space="0" w:color="auto"/>
            </w:tcBorders>
            <w:noWrap/>
            <w:vAlign w:val="center"/>
          </w:tcPr>
          <w:p w14:paraId="11DD9FEF" w14:textId="77777777" w:rsidR="002B40DC" w:rsidRDefault="002B40DC" w:rsidP="008738F2">
            <w:pPr>
              <w:spacing w:after="60"/>
              <w:jc w:val="right"/>
              <w:rPr>
                <w:rFonts w:ascii="Arial" w:hAnsi="Arial" w:cs="Arial"/>
                <w:sz w:val="20"/>
                <w:szCs w:val="20"/>
              </w:rPr>
            </w:pPr>
            <w:r>
              <w:rPr>
                <w:rFonts w:ascii="Arial" w:hAnsi="Arial" w:cs="Arial"/>
                <w:sz w:val="20"/>
                <w:szCs w:val="20"/>
              </w:rPr>
              <w:t>0.1</w:t>
            </w:r>
          </w:p>
        </w:tc>
        <w:tc>
          <w:tcPr>
            <w:tcW w:w="549" w:type="dxa"/>
            <w:tcBorders>
              <w:top w:val="nil"/>
              <w:left w:val="nil"/>
              <w:bottom w:val="single" w:sz="4" w:space="0" w:color="auto"/>
              <w:right w:val="single" w:sz="4" w:space="0" w:color="auto"/>
            </w:tcBorders>
            <w:noWrap/>
            <w:vAlign w:val="center"/>
          </w:tcPr>
          <w:p w14:paraId="7E4D5FF3" w14:textId="77777777" w:rsidR="002B40DC" w:rsidRDefault="002B40DC" w:rsidP="008738F2">
            <w:pPr>
              <w:spacing w:after="60"/>
              <w:jc w:val="right"/>
              <w:rPr>
                <w:rFonts w:ascii="Arial" w:hAnsi="Arial" w:cs="Arial"/>
                <w:sz w:val="20"/>
                <w:szCs w:val="20"/>
              </w:rPr>
            </w:pPr>
            <w:r>
              <w:rPr>
                <w:rFonts w:ascii="Arial" w:hAnsi="Arial" w:cs="Arial"/>
                <w:sz w:val="20"/>
                <w:szCs w:val="20"/>
              </w:rPr>
              <w:t>T</w:t>
            </w:r>
          </w:p>
        </w:tc>
        <w:tc>
          <w:tcPr>
            <w:tcW w:w="660" w:type="dxa"/>
            <w:tcBorders>
              <w:top w:val="nil"/>
              <w:left w:val="nil"/>
              <w:bottom w:val="single" w:sz="4" w:space="0" w:color="auto"/>
              <w:right w:val="single" w:sz="4" w:space="0" w:color="auto"/>
            </w:tcBorders>
            <w:noWrap/>
            <w:vAlign w:val="center"/>
          </w:tcPr>
          <w:p w14:paraId="7966DC18" w14:textId="77777777" w:rsidR="002B40DC" w:rsidRDefault="002B40DC" w:rsidP="008738F2">
            <w:pPr>
              <w:spacing w:after="60"/>
              <w:jc w:val="right"/>
              <w:rPr>
                <w:rFonts w:ascii="Arial" w:hAnsi="Arial" w:cs="Arial"/>
                <w:sz w:val="20"/>
                <w:szCs w:val="20"/>
              </w:rPr>
            </w:pPr>
            <w:r>
              <w:rPr>
                <w:rFonts w:ascii="Arial" w:hAnsi="Arial" w:cs="Arial"/>
                <w:sz w:val="20"/>
                <w:szCs w:val="20"/>
              </w:rPr>
              <w:t>0</w:t>
            </w:r>
          </w:p>
        </w:tc>
        <w:tc>
          <w:tcPr>
            <w:tcW w:w="613" w:type="dxa"/>
            <w:tcBorders>
              <w:top w:val="nil"/>
              <w:left w:val="nil"/>
              <w:bottom w:val="single" w:sz="4" w:space="0" w:color="auto"/>
              <w:right w:val="single" w:sz="4" w:space="0" w:color="auto"/>
            </w:tcBorders>
            <w:noWrap/>
            <w:vAlign w:val="center"/>
          </w:tcPr>
          <w:p w14:paraId="7A16776E" w14:textId="77777777" w:rsidR="002B40DC" w:rsidRDefault="002B40DC" w:rsidP="008738F2">
            <w:pPr>
              <w:spacing w:after="60"/>
              <w:jc w:val="right"/>
              <w:rPr>
                <w:rFonts w:ascii="Arial" w:hAnsi="Arial" w:cs="Arial"/>
                <w:sz w:val="20"/>
                <w:szCs w:val="20"/>
              </w:rPr>
            </w:pPr>
            <w:r>
              <w:rPr>
                <w:rFonts w:ascii="Arial" w:hAnsi="Arial" w:cs="Arial"/>
                <w:sz w:val="20"/>
                <w:szCs w:val="20"/>
              </w:rPr>
              <w:t>0.5</w:t>
            </w:r>
          </w:p>
        </w:tc>
        <w:tc>
          <w:tcPr>
            <w:tcW w:w="644" w:type="dxa"/>
            <w:tcBorders>
              <w:top w:val="nil"/>
              <w:left w:val="nil"/>
              <w:bottom w:val="single" w:sz="4" w:space="0" w:color="auto"/>
              <w:right w:val="single" w:sz="4" w:space="0" w:color="auto"/>
            </w:tcBorders>
            <w:noWrap/>
            <w:vAlign w:val="center"/>
          </w:tcPr>
          <w:p w14:paraId="4AF0BAC2" w14:textId="77777777" w:rsidR="002B40DC" w:rsidRDefault="002B40DC" w:rsidP="008738F2">
            <w:pPr>
              <w:spacing w:after="60"/>
              <w:jc w:val="right"/>
              <w:rPr>
                <w:rFonts w:ascii="Arial" w:hAnsi="Arial" w:cs="Arial"/>
                <w:sz w:val="20"/>
                <w:szCs w:val="20"/>
              </w:rPr>
            </w:pPr>
            <w:r>
              <w:rPr>
                <w:rFonts w:ascii="Arial" w:hAnsi="Arial" w:cs="Arial"/>
                <w:sz w:val="20"/>
                <w:szCs w:val="20"/>
              </w:rPr>
              <w:t>4.2</w:t>
            </w:r>
          </w:p>
        </w:tc>
        <w:tc>
          <w:tcPr>
            <w:tcW w:w="660" w:type="dxa"/>
            <w:tcBorders>
              <w:top w:val="nil"/>
              <w:left w:val="nil"/>
              <w:bottom w:val="single" w:sz="4" w:space="0" w:color="auto"/>
              <w:right w:val="single" w:sz="4" w:space="0" w:color="auto"/>
            </w:tcBorders>
            <w:noWrap/>
            <w:vAlign w:val="center"/>
          </w:tcPr>
          <w:p w14:paraId="103991CD" w14:textId="77777777" w:rsidR="002B40DC" w:rsidRDefault="002B40DC" w:rsidP="008738F2">
            <w:pPr>
              <w:spacing w:after="60"/>
              <w:jc w:val="right"/>
              <w:rPr>
                <w:rFonts w:ascii="Arial" w:hAnsi="Arial" w:cs="Arial"/>
                <w:sz w:val="20"/>
                <w:szCs w:val="20"/>
              </w:rPr>
            </w:pPr>
            <w:r>
              <w:rPr>
                <w:rFonts w:ascii="Arial" w:hAnsi="Arial" w:cs="Arial"/>
                <w:sz w:val="20"/>
                <w:szCs w:val="20"/>
              </w:rPr>
              <w:t>9.8</w:t>
            </w:r>
          </w:p>
        </w:tc>
        <w:tc>
          <w:tcPr>
            <w:tcW w:w="644" w:type="dxa"/>
            <w:tcBorders>
              <w:top w:val="nil"/>
              <w:left w:val="nil"/>
              <w:bottom w:val="single" w:sz="4" w:space="0" w:color="auto"/>
              <w:right w:val="single" w:sz="4" w:space="0" w:color="auto"/>
            </w:tcBorders>
            <w:noWrap/>
            <w:vAlign w:val="center"/>
          </w:tcPr>
          <w:p w14:paraId="0B9B197A" w14:textId="77777777" w:rsidR="002B40DC" w:rsidRDefault="002B40DC" w:rsidP="008738F2">
            <w:pPr>
              <w:spacing w:after="60"/>
              <w:jc w:val="right"/>
              <w:rPr>
                <w:rFonts w:ascii="Arial" w:hAnsi="Arial" w:cs="Arial"/>
                <w:sz w:val="20"/>
                <w:szCs w:val="20"/>
              </w:rPr>
            </w:pPr>
            <w:r>
              <w:rPr>
                <w:rFonts w:ascii="Arial" w:hAnsi="Arial" w:cs="Arial"/>
                <w:sz w:val="20"/>
                <w:szCs w:val="20"/>
              </w:rPr>
              <w:t>10.2</w:t>
            </w:r>
          </w:p>
        </w:tc>
        <w:tc>
          <w:tcPr>
            <w:tcW w:w="755" w:type="dxa"/>
            <w:tcBorders>
              <w:top w:val="nil"/>
              <w:left w:val="nil"/>
              <w:bottom w:val="single" w:sz="4" w:space="0" w:color="auto"/>
              <w:right w:val="single" w:sz="4" w:space="0" w:color="auto"/>
            </w:tcBorders>
            <w:noWrap/>
            <w:vAlign w:val="center"/>
          </w:tcPr>
          <w:p w14:paraId="582D130B" w14:textId="77777777" w:rsidR="002B40DC" w:rsidRDefault="002B40DC" w:rsidP="008738F2">
            <w:pPr>
              <w:spacing w:after="60"/>
              <w:jc w:val="right"/>
              <w:rPr>
                <w:rFonts w:ascii="Arial" w:hAnsi="Arial" w:cs="Arial"/>
                <w:i/>
                <w:iCs/>
                <w:sz w:val="20"/>
                <w:szCs w:val="20"/>
              </w:rPr>
            </w:pPr>
            <w:r>
              <w:rPr>
                <w:rFonts w:ascii="Arial" w:hAnsi="Arial" w:cs="Arial"/>
                <w:i/>
                <w:iCs/>
                <w:sz w:val="20"/>
                <w:szCs w:val="20"/>
              </w:rPr>
              <w:t>53.8</w:t>
            </w:r>
          </w:p>
        </w:tc>
      </w:tr>
      <w:tr w:rsidR="002B40DC" w14:paraId="6EE60517" w14:textId="77777777" w:rsidTr="00915E78">
        <w:trPr>
          <w:trHeight w:val="255"/>
          <w:jc w:val="center"/>
        </w:trPr>
        <w:tc>
          <w:tcPr>
            <w:tcW w:w="3031" w:type="dxa"/>
            <w:tcBorders>
              <w:top w:val="nil"/>
              <w:left w:val="single" w:sz="4" w:space="0" w:color="auto"/>
              <w:bottom w:val="single" w:sz="4" w:space="0" w:color="auto"/>
              <w:right w:val="single" w:sz="4" w:space="0" w:color="auto"/>
            </w:tcBorders>
            <w:noWrap/>
            <w:vAlign w:val="center"/>
          </w:tcPr>
          <w:p w14:paraId="4711C1C4" w14:textId="77777777" w:rsidR="002B40DC" w:rsidRDefault="002B40DC" w:rsidP="008738F2">
            <w:pPr>
              <w:spacing w:after="60"/>
              <w:rPr>
                <w:rFonts w:ascii="Arial" w:hAnsi="Arial" w:cs="Arial"/>
                <w:sz w:val="20"/>
                <w:szCs w:val="20"/>
              </w:rPr>
            </w:pPr>
            <w:proofErr w:type="gramStart"/>
            <w:smartTag w:uri="urn:schemas-microsoft-com:office:smarttags" w:element="place">
              <w:smartTag w:uri="urn:schemas-microsoft-com:office:smarttags" w:element="City">
                <w:r>
                  <w:rPr>
                    <w:rFonts w:ascii="Arial" w:hAnsi="Arial" w:cs="Arial"/>
                    <w:sz w:val="20"/>
                    <w:szCs w:val="20"/>
                  </w:rPr>
                  <w:t>BETTLES</w:t>
                </w:r>
              </w:smartTag>
              <w:r>
                <w:rPr>
                  <w:rFonts w:ascii="Arial" w:hAnsi="Arial" w:cs="Arial"/>
                  <w:sz w:val="20"/>
                  <w:szCs w:val="20"/>
                </w:rPr>
                <w:t>,</w:t>
              </w:r>
              <w:smartTag w:uri="urn:schemas-microsoft-com:office:smarttags" w:element="State">
                <w:r>
                  <w:rPr>
                    <w:rFonts w:ascii="Arial" w:hAnsi="Arial" w:cs="Arial"/>
                    <w:sz w:val="20"/>
                    <w:szCs w:val="20"/>
                  </w:rPr>
                  <w:t>AK</w:t>
                </w:r>
              </w:smartTag>
            </w:smartTag>
            <w:proofErr w:type="gramEnd"/>
          </w:p>
        </w:tc>
        <w:tc>
          <w:tcPr>
            <w:tcW w:w="629" w:type="dxa"/>
            <w:tcBorders>
              <w:top w:val="nil"/>
              <w:left w:val="nil"/>
              <w:bottom w:val="single" w:sz="4" w:space="0" w:color="auto"/>
              <w:right w:val="single" w:sz="4" w:space="0" w:color="auto"/>
            </w:tcBorders>
            <w:noWrap/>
            <w:vAlign w:val="center"/>
          </w:tcPr>
          <w:p w14:paraId="0F4355AC" w14:textId="77777777" w:rsidR="002B40DC" w:rsidRDefault="002B40DC" w:rsidP="008738F2">
            <w:pPr>
              <w:spacing w:after="60"/>
              <w:jc w:val="right"/>
              <w:rPr>
                <w:rFonts w:ascii="Arial" w:hAnsi="Arial" w:cs="Arial"/>
                <w:i/>
                <w:iCs/>
                <w:sz w:val="20"/>
                <w:szCs w:val="20"/>
              </w:rPr>
            </w:pPr>
            <w:r>
              <w:rPr>
                <w:rFonts w:ascii="Arial" w:hAnsi="Arial" w:cs="Arial"/>
                <w:i/>
                <w:iCs/>
                <w:sz w:val="20"/>
                <w:szCs w:val="20"/>
              </w:rPr>
              <w:t>53</w:t>
            </w:r>
          </w:p>
        </w:tc>
        <w:tc>
          <w:tcPr>
            <w:tcW w:w="597" w:type="dxa"/>
            <w:tcBorders>
              <w:top w:val="nil"/>
              <w:left w:val="nil"/>
              <w:bottom w:val="single" w:sz="4" w:space="0" w:color="auto"/>
              <w:right w:val="single" w:sz="4" w:space="0" w:color="auto"/>
            </w:tcBorders>
            <w:noWrap/>
            <w:vAlign w:val="center"/>
          </w:tcPr>
          <w:p w14:paraId="253A5651" w14:textId="77777777" w:rsidR="002B40DC" w:rsidRDefault="002B40DC" w:rsidP="008738F2">
            <w:pPr>
              <w:spacing w:after="60"/>
              <w:jc w:val="right"/>
              <w:rPr>
                <w:rFonts w:ascii="Arial" w:hAnsi="Arial" w:cs="Arial"/>
                <w:sz w:val="20"/>
                <w:szCs w:val="20"/>
              </w:rPr>
            </w:pPr>
            <w:r>
              <w:rPr>
                <w:rFonts w:ascii="Arial" w:hAnsi="Arial" w:cs="Arial"/>
                <w:sz w:val="20"/>
                <w:szCs w:val="20"/>
              </w:rPr>
              <w:t>12.3</w:t>
            </w:r>
          </w:p>
        </w:tc>
        <w:tc>
          <w:tcPr>
            <w:tcW w:w="597" w:type="dxa"/>
            <w:tcBorders>
              <w:top w:val="nil"/>
              <w:left w:val="nil"/>
              <w:bottom w:val="single" w:sz="4" w:space="0" w:color="auto"/>
              <w:right w:val="single" w:sz="4" w:space="0" w:color="auto"/>
            </w:tcBorders>
            <w:noWrap/>
            <w:vAlign w:val="center"/>
          </w:tcPr>
          <w:p w14:paraId="4A0E290F" w14:textId="77777777" w:rsidR="002B40DC" w:rsidRDefault="002B40DC" w:rsidP="008738F2">
            <w:pPr>
              <w:spacing w:after="60"/>
              <w:jc w:val="right"/>
              <w:rPr>
                <w:rFonts w:ascii="Arial" w:hAnsi="Arial" w:cs="Arial"/>
                <w:sz w:val="20"/>
                <w:szCs w:val="20"/>
              </w:rPr>
            </w:pPr>
            <w:r>
              <w:rPr>
                <w:rFonts w:ascii="Arial" w:hAnsi="Arial" w:cs="Arial"/>
                <w:sz w:val="20"/>
                <w:szCs w:val="20"/>
              </w:rPr>
              <w:t>10.7</w:t>
            </w:r>
          </w:p>
        </w:tc>
        <w:tc>
          <w:tcPr>
            <w:tcW w:w="676" w:type="dxa"/>
            <w:tcBorders>
              <w:top w:val="nil"/>
              <w:left w:val="nil"/>
              <w:bottom w:val="single" w:sz="4" w:space="0" w:color="auto"/>
              <w:right w:val="single" w:sz="4" w:space="0" w:color="auto"/>
            </w:tcBorders>
            <w:noWrap/>
            <w:vAlign w:val="center"/>
          </w:tcPr>
          <w:p w14:paraId="1C49F0CE" w14:textId="77777777" w:rsidR="002B40DC" w:rsidRDefault="002B40DC" w:rsidP="008738F2">
            <w:pPr>
              <w:spacing w:after="60"/>
              <w:jc w:val="right"/>
              <w:rPr>
                <w:rFonts w:ascii="Arial" w:hAnsi="Arial" w:cs="Arial"/>
                <w:sz w:val="20"/>
                <w:szCs w:val="20"/>
              </w:rPr>
            </w:pPr>
            <w:r>
              <w:rPr>
                <w:rFonts w:ascii="Arial" w:hAnsi="Arial" w:cs="Arial"/>
                <w:sz w:val="20"/>
                <w:szCs w:val="20"/>
              </w:rPr>
              <w:t>10</w:t>
            </w:r>
          </w:p>
        </w:tc>
        <w:tc>
          <w:tcPr>
            <w:tcW w:w="629" w:type="dxa"/>
            <w:tcBorders>
              <w:top w:val="nil"/>
              <w:left w:val="nil"/>
              <w:bottom w:val="single" w:sz="4" w:space="0" w:color="auto"/>
              <w:right w:val="single" w:sz="4" w:space="0" w:color="auto"/>
            </w:tcBorders>
            <w:noWrap/>
            <w:vAlign w:val="center"/>
          </w:tcPr>
          <w:p w14:paraId="5BA7C5D5" w14:textId="77777777" w:rsidR="002B40DC" w:rsidRDefault="002B40DC" w:rsidP="008738F2">
            <w:pPr>
              <w:spacing w:after="60"/>
              <w:jc w:val="right"/>
              <w:rPr>
                <w:rFonts w:ascii="Arial" w:hAnsi="Arial" w:cs="Arial"/>
                <w:sz w:val="20"/>
                <w:szCs w:val="20"/>
              </w:rPr>
            </w:pPr>
            <w:r>
              <w:rPr>
                <w:rFonts w:ascii="Arial" w:hAnsi="Arial" w:cs="Arial"/>
                <w:sz w:val="20"/>
                <w:szCs w:val="20"/>
              </w:rPr>
              <w:t>6.6</w:t>
            </w:r>
          </w:p>
        </w:tc>
        <w:tc>
          <w:tcPr>
            <w:tcW w:w="660" w:type="dxa"/>
            <w:tcBorders>
              <w:top w:val="nil"/>
              <w:left w:val="nil"/>
              <w:bottom w:val="single" w:sz="4" w:space="0" w:color="auto"/>
              <w:right w:val="single" w:sz="4" w:space="0" w:color="auto"/>
            </w:tcBorders>
            <w:noWrap/>
            <w:vAlign w:val="center"/>
          </w:tcPr>
          <w:p w14:paraId="4E5D62A8" w14:textId="77777777" w:rsidR="002B40DC" w:rsidRDefault="002B40DC" w:rsidP="008738F2">
            <w:pPr>
              <w:spacing w:after="60"/>
              <w:jc w:val="right"/>
              <w:rPr>
                <w:rFonts w:ascii="Arial" w:hAnsi="Arial" w:cs="Arial"/>
                <w:sz w:val="20"/>
                <w:szCs w:val="20"/>
              </w:rPr>
            </w:pPr>
            <w:r>
              <w:rPr>
                <w:rFonts w:ascii="Arial" w:hAnsi="Arial" w:cs="Arial"/>
                <w:sz w:val="20"/>
                <w:szCs w:val="20"/>
              </w:rPr>
              <w:t>1.3</w:t>
            </w:r>
          </w:p>
        </w:tc>
        <w:tc>
          <w:tcPr>
            <w:tcW w:w="596" w:type="dxa"/>
            <w:tcBorders>
              <w:top w:val="nil"/>
              <w:left w:val="nil"/>
              <w:bottom w:val="single" w:sz="4" w:space="0" w:color="auto"/>
              <w:right w:val="single" w:sz="4" w:space="0" w:color="auto"/>
            </w:tcBorders>
            <w:noWrap/>
            <w:vAlign w:val="center"/>
          </w:tcPr>
          <w:p w14:paraId="6F9E9E8B" w14:textId="77777777" w:rsidR="002B40DC" w:rsidRDefault="002B40DC" w:rsidP="008738F2">
            <w:pPr>
              <w:spacing w:after="60"/>
              <w:jc w:val="right"/>
              <w:rPr>
                <w:rFonts w:ascii="Arial" w:hAnsi="Arial" w:cs="Arial"/>
                <w:sz w:val="20"/>
                <w:szCs w:val="20"/>
              </w:rPr>
            </w:pPr>
            <w:r>
              <w:rPr>
                <w:rFonts w:ascii="Arial" w:hAnsi="Arial" w:cs="Arial"/>
                <w:sz w:val="20"/>
                <w:szCs w:val="20"/>
              </w:rPr>
              <w:t>T</w:t>
            </w:r>
          </w:p>
        </w:tc>
        <w:tc>
          <w:tcPr>
            <w:tcW w:w="549" w:type="dxa"/>
            <w:tcBorders>
              <w:top w:val="nil"/>
              <w:left w:val="nil"/>
              <w:bottom w:val="single" w:sz="4" w:space="0" w:color="auto"/>
              <w:right w:val="single" w:sz="4" w:space="0" w:color="auto"/>
            </w:tcBorders>
            <w:noWrap/>
            <w:vAlign w:val="center"/>
          </w:tcPr>
          <w:p w14:paraId="333540B2" w14:textId="77777777" w:rsidR="002B40DC" w:rsidRDefault="002B40DC" w:rsidP="008738F2">
            <w:pPr>
              <w:spacing w:after="60"/>
              <w:jc w:val="right"/>
              <w:rPr>
                <w:rFonts w:ascii="Arial" w:hAnsi="Arial" w:cs="Arial"/>
                <w:sz w:val="20"/>
                <w:szCs w:val="20"/>
              </w:rPr>
            </w:pPr>
            <w:r>
              <w:rPr>
                <w:rFonts w:ascii="Arial" w:hAnsi="Arial" w:cs="Arial"/>
                <w:sz w:val="20"/>
                <w:szCs w:val="20"/>
              </w:rPr>
              <w:t>T</w:t>
            </w:r>
          </w:p>
        </w:tc>
        <w:tc>
          <w:tcPr>
            <w:tcW w:w="660" w:type="dxa"/>
            <w:tcBorders>
              <w:top w:val="nil"/>
              <w:left w:val="nil"/>
              <w:bottom w:val="single" w:sz="4" w:space="0" w:color="auto"/>
              <w:right w:val="single" w:sz="4" w:space="0" w:color="auto"/>
            </w:tcBorders>
            <w:noWrap/>
            <w:vAlign w:val="center"/>
          </w:tcPr>
          <w:p w14:paraId="1CFFAC6E" w14:textId="77777777" w:rsidR="002B40DC" w:rsidRDefault="002B40DC" w:rsidP="008738F2">
            <w:pPr>
              <w:spacing w:after="60"/>
              <w:jc w:val="right"/>
              <w:rPr>
                <w:rFonts w:ascii="Arial" w:hAnsi="Arial" w:cs="Arial"/>
                <w:sz w:val="20"/>
                <w:szCs w:val="20"/>
              </w:rPr>
            </w:pPr>
            <w:r>
              <w:rPr>
                <w:rFonts w:ascii="Arial" w:hAnsi="Arial" w:cs="Arial"/>
                <w:sz w:val="20"/>
                <w:szCs w:val="20"/>
              </w:rPr>
              <w:t>0.1</w:t>
            </w:r>
          </w:p>
        </w:tc>
        <w:tc>
          <w:tcPr>
            <w:tcW w:w="613" w:type="dxa"/>
            <w:tcBorders>
              <w:top w:val="nil"/>
              <w:left w:val="nil"/>
              <w:bottom w:val="single" w:sz="4" w:space="0" w:color="auto"/>
              <w:right w:val="single" w:sz="4" w:space="0" w:color="auto"/>
            </w:tcBorders>
            <w:noWrap/>
            <w:vAlign w:val="center"/>
          </w:tcPr>
          <w:p w14:paraId="1786C18B" w14:textId="77777777" w:rsidR="002B40DC" w:rsidRDefault="002B40DC" w:rsidP="008738F2">
            <w:pPr>
              <w:spacing w:after="60"/>
              <w:jc w:val="right"/>
              <w:rPr>
                <w:rFonts w:ascii="Arial" w:hAnsi="Arial" w:cs="Arial"/>
                <w:sz w:val="20"/>
                <w:szCs w:val="20"/>
              </w:rPr>
            </w:pPr>
            <w:r>
              <w:rPr>
                <w:rFonts w:ascii="Arial" w:hAnsi="Arial" w:cs="Arial"/>
                <w:sz w:val="20"/>
                <w:szCs w:val="20"/>
              </w:rPr>
              <w:t>2.5</w:t>
            </w:r>
          </w:p>
        </w:tc>
        <w:tc>
          <w:tcPr>
            <w:tcW w:w="644" w:type="dxa"/>
            <w:tcBorders>
              <w:top w:val="nil"/>
              <w:left w:val="nil"/>
              <w:bottom w:val="single" w:sz="4" w:space="0" w:color="auto"/>
              <w:right w:val="single" w:sz="4" w:space="0" w:color="auto"/>
            </w:tcBorders>
            <w:noWrap/>
            <w:vAlign w:val="center"/>
          </w:tcPr>
          <w:p w14:paraId="27BBB336" w14:textId="77777777" w:rsidR="002B40DC" w:rsidRDefault="002B40DC" w:rsidP="008738F2">
            <w:pPr>
              <w:spacing w:after="60"/>
              <w:jc w:val="right"/>
              <w:rPr>
                <w:rFonts w:ascii="Arial" w:hAnsi="Arial" w:cs="Arial"/>
                <w:sz w:val="20"/>
                <w:szCs w:val="20"/>
              </w:rPr>
            </w:pPr>
            <w:r>
              <w:rPr>
                <w:rFonts w:ascii="Arial" w:hAnsi="Arial" w:cs="Arial"/>
                <w:sz w:val="20"/>
                <w:szCs w:val="20"/>
              </w:rPr>
              <w:t>12.2</w:t>
            </w:r>
          </w:p>
        </w:tc>
        <w:tc>
          <w:tcPr>
            <w:tcW w:w="660" w:type="dxa"/>
            <w:tcBorders>
              <w:top w:val="nil"/>
              <w:left w:val="nil"/>
              <w:bottom w:val="single" w:sz="4" w:space="0" w:color="auto"/>
              <w:right w:val="single" w:sz="4" w:space="0" w:color="auto"/>
            </w:tcBorders>
            <w:noWrap/>
            <w:vAlign w:val="center"/>
          </w:tcPr>
          <w:p w14:paraId="66D6DD8E" w14:textId="77777777" w:rsidR="002B40DC" w:rsidRDefault="002B40DC" w:rsidP="008738F2">
            <w:pPr>
              <w:spacing w:after="60"/>
              <w:jc w:val="right"/>
              <w:rPr>
                <w:rFonts w:ascii="Arial" w:hAnsi="Arial" w:cs="Arial"/>
                <w:sz w:val="20"/>
                <w:szCs w:val="20"/>
              </w:rPr>
            </w:pPr>
            <w:r>
              <w:rPr>
                <w:rFonts w:ascii="Arial" w:hAnsi="Arial" w:cs="Arial"/>
                <w:sz w:val="20"/>
                <w:szCs w:val="20"/>
              </w:rPr>
              <w:t>13.7</w:t>
            </w:r>
          </w:p>
        </w:tc>
        <w:tc>
          <w:tcPr>
            <w:tcW w:w="644" w:type="dxa"/>
            <w:tcBorders>
              <w:top w:val="nil"/>
              <w:left w:val="nil"/>
              <w:bottom w:val="single" w:sz="4" w:space="0" w:color="auto"/>
              <w:right w:val="single" w:sz="4" w:space="0" w:color="auto"/>
            </w:tcBorders>
            <w:noWrap/>
            <w:vAlign w:val="center"/>
          </w:tcPr>
          <w:p w14:paraId="5BFE809A" w14:textId="77777777" w:rsidR="002B40DC" w:rsidRDefault="002B40DC" w:rsidP="008738F2">
            <w:pPr>
              <w:spacing w:after="60"/>
              <w:jc w:val="right"/>
              <w:rPr>
                <w:rFonts w:ascii="Arial" w:hAnsi="Arial" w:cs="Arial"/>
                <w:sz w:val="20"/>
                <w:szCs w:val="20"/>
              </w:rPr>
            </w:pPr>
            <w:r>
              <w:rPr>
                <w:rFonts w:ascii="Arial" w:hAnsi="Arial" w:cs="Arial"/>
                <w:sz w:val="20"/>
                <w:szCs w:val="20"/>
              </w:rPr>
              <w:t>15</w:t>
            </w:r>
          </w:p>
        </w:tc>
        <w:tc>
          <w:tcPr>
            <w:tcW w:w="755" w:type="dxa"/>
            <w:tcBorders>
              <w:top w:val="nil"/>
              <w:left w:val="nil"/>
              <w:bottom w:val="single" w:sz="4" w:space="0" w:color="auto"/>
              <w:right w:val="single" w:sz="4" w:space="0" w:color="auto"/>
            </w:tcBorders>
            <w:noWrap/>
            <w:vAlign w:val="center"/>
          </w:tcPr>
          <w:p w14:paraId="4D9882FD" w14:textId="77777777" w:rsidR="002B40DC" w:rsidRDefault="002B40DC" w:rsidP="008738F2">
            <w:pPr>
              <w:spacing w:after="60"/>
              <w:jc w:val="right"/>
              <w:rPr>
                <w:rFonts w:ascii="Arial" w:hAnsi="Arial" w:cs="Arial"/>
                <w:i/>
                <w:iCs/>
                <w:sz w:val="20"/>
                <w:szCs w:val="20"/>
              </w:rPr>
            </w:pPr>
            <w:r>
              <w:rPr>
                <w:rFonts w:ascii="Arial" w:hAnsi="Arial" w:cs="Arial"/>
                <w:i/>
                <w:iCs/>
                <w:sz w:val="20"/>
                <w:szCs w:val="20"/>
              </w:rPr>
              <w:t>84.4</w:t>
            </w:r>
          </w:p>
        </w:tc>
      </w:tr>
      <w:tr w:rsidR="002B40DC" w14:paraId="55339E63" w14:textId="77777777" w:rsidTr="00915E78">
        <w:trPr>
          <w:trHeight w:val="255"/>
          <w:jc w:val="center"/>
        </w:trPr>
        <w:tc>
          <w:tcPr>
            <w:tcW w:w="3031" w:type="dxa"/>
            <w:tcBorders>
              <w:top w:val="nil"/>
              <w:left w:val="single" w:sz="4" w:space="0" w:color="auto"/>
              <w:bottom w:val="single" w:sz="4" w:space="0" w:color="auto"/>
              <w:right w:val="single" w:sz="4" w:space="0" w:color="auto"/>
            </w:tcBorders>
            <w:noWrap/>
            <w:vAlign w:val="center"/>
          </w:tcPr>
          <w:p w14:paraId="095E33C0" w14:textId="77777777" w:rsidR="002B40DC" w:rsidRDefault="002B40DC" w:rsidP="008738F2">
            <w:pPr>
              <w:spacing w:after="60"/>
              <w:rPr>
                <w:rFonts w:ascii="Arial" w:hAnsi="Arial" w:cs="Arial"/>
                <w:sz w:val="20"/>
                <w:szCs w:val="20"/>
              </w:rPr>
            </w:pPr>
            <w:r>
              <w:rPr>
                <w:rFonts w:ascii="Arial" w:hAnsi="Arial" w:cs="Arial"/>
                <w:sz w:val="20"/>
                <w:szCs w:val="20"/>
              </w:rPr>
              <w:t xml:space="preserve">BIG </w:t>
            </w:r>
            <w:proofErr w:type="gramStart"/>
            <w:r>
              <w:rPr>
                <w:rFonts w:ascii="Arial" w:hAnsi="Arial" w:cs="Arial"/>
                <w:sz w:val="20"/>
                <w:szCs w:val="20"/>
              </w:rPr>
              <w:t>DELTA,AK</w:t>
            </w:r>
            <w:proofErr w:type="gramEnd"/>
          </w:p>
        </w:tc>
        <w:tc>
          <w:tcPr>
            <w:tcW w:w="629" w:type="dxa"/>
            <w:tcBorders>
              <w:top w:val="nil"/>
              <w:left w:val="nil"/>
              <w:bottom w:val="single" w:sz="4" w:space="0" w:color="auto"/>
              <w:right w:val="single" w:sz="4" w:space="0" w:color="auto"/>
            </w:tcBorders>
            <w:noWrap/>
            <w:vAlign w:val="center"/>
          </w:tcPr>
          <w:p w14:paraId="7DF411E8" w14:textId="77777777" w:rsidR="002B40DC" w:rsidRDefault="002B40DC" w:rsidP="008738F2">
            <w:pPr>
              <w:spacing w:after="60"/>
              <w:jc w:val="right"/>
              <w:rPr>
                <w:rFonts w:ascii="Arial" w:hAnsi="Arial" w:cs="Arial"/>
                <w:i/>
                <w:iCs/>
                <w:sz w:val="20"/>
                <w:szCs w:val="20"/>
              </w:rPr>
            </w:pPr>
            <w:r>
              <w:rPr>
                <w:rFonts w:ascii="Arial" w:hAnsi="Arial" w:cs="Arial"/>
                <w:i/>
                <w:iCs/>
                <w:sz w:val="20"/>
                <w:szCs w:val="20"/>
              </w:rPr>
              <w:t>50</w:t>
            </w:r>
          </w:p>
        </w:tc>
        <w:tc>
          <w:tcPr>
            <w:tcW w:w="597" w:type="dxa"/>
            <w:tcBorders>
              <w:top w:val="nil"/>
              <w:left w:val="nil"/>
              <w:bottom w:val="single" w:sz="4" w:space="0" w:color="auto"/>
              <w:right w:val="single" w:sz="4" w:space="0" w:color="auto"/>
            </w:tcBorders>
            <w:noWrap/>
            <w:vAlign w:val="center"/>
          </w:tcPr>
          <w:p w14:paraId="175FE439" w14:textId="77777777" w:rsidR="002B40DC" w:rsidRDefault="002B40DC" w:rsidP="008738F2">
            <w:pPr>
              <w:spacing w:after="60"/>
              <w:jc w:val="right"/>
              <w:rPr>
                <w:rFonts w:ascii="Arial" w:hAnsi="Arial" w:cs="Arial"/>
                <w:sz w:val="20"/>
                <w:szCs w:val="20"/>
              </w:rPr>
            </w:pPr>
            <w:r>
              <w:rPr>
                <w:rFonts w:ascii="Arial" w:hAnsi="Arial" w:cs="Arial"/>
                <w:sz w:val="20"/>
                <w:szCs w:val="20"/>
              </w:rPr>
              <w:t>5.7</w:t>
            </w:r>
          </w:p>
        </w:tc>
        <w:tc>
          <w:tcPr>
            <w:tcW w:w="597" w:type="dxa"/>
            <w:tcBorders>
              <w:top w:val="nil"/>
              <w:left w:val="nil"/>
              <w:bottom w:val="single" w:sz="4" w:space="0" w:color="auto"/>
              <w:right w:val="single" w:sz="4" w:space="0" w:color="auto"/>
            </w:tcBorders>
            <w:noWrap/>
            <w:vAlign w:val="center"/>
          </w:tcPr>
          <w:p w14:paraId="54C32AC2" w14:textId="77777777" w:rsidR="002B40DC" w:rsidRDefault="002B40DC" w:rsidP="008738F2">
            <w:pPr>
              <w:spacing w:after="60"/>
              <w:jc w:val="right"/>
              <w:rPr>
                <w:rFonts w:ascii="Arial" w:hAnsi="Arial" w:cs="Arial"/>
                <w:sz w:val="20"/>
                <w:szCs w:val="20"/>
              </w:rPr>
            </w:pPr>
            <w:r>
              <w:rPr>
                <w:rFonts w:ascii="Arial" w:hAnsi="Arial" w:cs="Arial"/>
                <w:sz w:val="20"/>
                <w:szCs w:val="20"/>
              </w:rPr>
              <w:t>5.4</w:t>
            </w:r>
          </w:p>
        </w:tc>
        <w:tc>
          <w:tcPr>
            <w:tcW w:w="676" w:type="dxa"/>
            <w:tcBorders>
              <w:top w:val="nil"/>
              <w:left w:val="nil"/>
              <w:bottom w:val="single" w:sz="4" w:space="0" w:color="auto"/>
              <w:right w:val="single" w:sz="4" w:space="0" w:color="auto"/>
            </w:tcBorders>
            <w:noWrap/>
            <w:vAlign w:val="center"/>
          </w:tcPr>
          <w:p w14:paraId="5E4C3C53" w14:textId="77777777" w:rsidR="002B40DC" w:rsidRDefault="002B40DC" w:rsidP="008738F2">
            <w:pPr>
              <w:spacing w:after="60"/>
              <w:jc w:val="right"/>
              <w:rPr>
                <w:rFonts w:ascii="Arial" w:hAnsi="Arial" w:cs="Arial"/>
                <w:sz w:val="20"/>
                <w:szCs w:val="20"/>
              </w:rPr>
            </w:pPr>
            <w:r>
              <w:rPr>
                <w:rFonts w:ascii="Arial" w:hAnsi="Arial" w:cs="Arial"/>
                <w:sz w:val="20"/>
                <w:szCs w:val="20"/>
              </w:rPr>
              <w:t>4.5</w:t>
            </w:r>
          </w:p>
        </w:tc>
        <w:tc>
          <w:tcPr>
            <w:tcW w:w="629" w:type="dxa"/>
            <w:tcBorders>
              <w:top w:val="nil"/>
              <w:left w:val="nil"/>
              <w:bottom w:val="single" w:sz="4" w:space="0" w:color="auto"/>
              <w:right w:val="single" w:sz="4" w:space="0" w:color="auto"/>
            </w:tcBorders>
            <w:noWrap/>
            <w:vAlign w:val="center"/>
          </w:tcPr>
          <w:p w14:paraId="2DB332EA" w14:textId="77777777" w:rsidR="002B40DC" w:rsidRDefault="002B40DC" w:rsidP="008738F2">
            <w:pPr>
              <w:spacing w:after="60"/>
              <w:jc w:val="right"/>
              <w:rPr>
                <w:rFonts w:ascii="Arial" w:hAnsi="Arial" w:cs="Arial"/>
                <w:sz w:val="20"/>
                <w:szCs w:val="20"/>
              </w:rPr>
            </w:pPr>
            <w:r>
              <w:rPr>
                <w:rFonts w:ascii="Arial" w:hAnsi="Arial" w:cs="Arial"/>
                <w:sz w:val="20"/>
                <w:szCs w:val="20"/>
              </w:rPr>
              <w:t>2.8</w:t>
            </w:r>
          </w:p>
        </w:tc>
        <w:tc>
          <w:tcPr>
            <w:tcW w:w="660" w:type="dxa"/>
            <w:tcBorders>
              <w:top w:val="nil"/>
              <w:left w:val="nil"/>
              <w:bottom w:val="single" w:sz="4" w:space="0" w:color="auto"/>
              <w:right w:val="single" w:sz="4" w:space="0" w:color="auto"/>
            </w:tcBorders>
            <w:noWrap/>
            <w:vAlign w:val="center"/>
          </w:tcPr>
          <w:p w14:paraId="4EB51106" w14:textId="77777777" w:rsidR="002B40DC" w:rsidRDefault="002B40DC" w:rsidP="008738F2">
            <w:pPr>
              <w:spacing w:after="60"/>
              <w:jc w:val="right"/>
              <w:rPr>
                <w:rFonts w:ascii="Arial" w:hAnsi="Arial" w:cs="Arial"/>
                <w:sz w:val="20"/>
                <w:szCs w:val="20"/>
              </w:rPr>
            </w:pPr>
            <w:r>
              <w:rPr>
                <w:rFonts w:ascii="Arial" w:hAnsi="Arial" w:cs="Arial"/>
                <w:sz w:val="20"/>
                <w:szCs w:val="20"/>
              </w:rPr>
              <w:t>0.7</w:t>
            </w:r>
          </w:p>
        </w:tc>
        <w:tc>
          <w:tcPr>
            <w:tcW w:w="596" w:type="dxa"/>
            <w:tcBorders>
              <w:top w:val="nil"/>
              <w:left w:val="nil"/>
              <w:bottom w:val="single" w:sz="4" w:space="0" w:color="auto"/>
              <w:right w:val="single" w:sz="4" w:space="0" w:color="auto"/>
            </w:tcBorders>
            <w:noWrap/>
            <w:vAlign w:val="center"/>
          </w:tcPr>
          <w:p w14:paraId="135B011A" w14:textId="77777777" w:rsidR="002B40DC" w:rsidRDefault="002B40DC" w:rsidP="008738F2">
            <w:pPr>
              <w:spacing w:after="60"/>
              <w:jc w:val="right"/>
              <w:rPr>
                <w:rFonts w:ascii="Arial" w:hAnsi="Arial" w:cs="Arial"/>
                <w:sz w:val="20"/>
                <w:szCs w:val="20"/>
              </w:rPr>
            </w:pPr>
            <w:r>
              <w:rPr>
                <w:rFonts w:ascii="Arial" w:hAnsi="Arial" w:cs="Arial"/>
                <w:sz w:val="20"/>
                <w:szCs w:val="20"/>
              </w:rPr>
              <w:t>T</w:t>
            </w:r>
          </w:p>
        </w:tc>
        <w:tc>
          <w:tcPr>
            <w:tcW w:w="549" w:type="dxa"/>
            <w:tcBorders>
              <w:top w:val="nil"/>
              <w:left w:val="nil"/>
              <w:bottom w:val="single" w:sz="4" w:space="0" w:color="auto"/>
              <w:right w:val="single" w:sz="4" w:space="0" w:color="auto"/>
            </w:tcBorders>
            <w:noWrap/>
            <w:vAlign w:val="center"/>
          </w:tcPr>
          <w:p w14:paraId="254607D5" w14:textId="77777777" w:rsidR="002B40DC" w:rsidRDefault="002B40DC" w:rsidP="008738F2">
            <w:pPr>
              <w:spacing w:after="60"/>
              <w:jc w:val="right"/>
              <w:rPr>
                <w:rFonts w:ascii="Arial" w:hAnsi="Arial" w:cs="Arial"/>
                <w:sz w:val="20"/>
                <w:szCs w:val="20"/>
              </w:rPr>
            </w:pPr>
            <w:r>
              <w:rPr>
                <w:rFonts w:ascii="Arial" w:hAnsi="Arial" w:cs="Arial"/>
                <w:sz w:val="20"/>
                <w:szCs w:val="20"/>
              </w:rPr>
              <w:t>0</w:t>
            </w:r>
          </w:p>
        </w:tc>
        <w:tc>
          <w:tcPr>
            <w:tcW w:w="660" w:type="dxa"/>
            <w:tcBorders>
              <w:top w:val="nil"/>
              <w:left w:val="nil"/>
              <w:bottom w:val="single" w:sz="4" w:space="0" w:color="auto"/>
              <w:right w:val="single" w:sz="4" w:space="0" w:color="auto"/>
            </w:tcBorders>
            <w:noWrap/>
            <w:vAlign w:val="center"/>
          </w:tcPr>
          <w:p w14:paraId="0AA73180" w14:textId="77777777" w:rsidR="002B40DC" w:rsidRDefault="002B40DC" w:rsidP="008738F2">
            <w:pPr>
              <w:spacing w:after="60"/>
              <w:jc w:val="right"/>
              <w:rPr>
                <w:rFonts w:ascii="Arial" w:hAnsi="Arial" w:cs="Arial"/>
                <w:sz w:val="20"/>
                <w:szCs w:val="20"/>
              </w:rPr>
            </w:pPr>
            <w:r>
              <w:rPr>
                <w:rFonts w:ascii="Arial" w:hAnsi="Arial" w:cs="Arial"/>
                <w:sz w:val="20"/>
                <w:szCs w:val="20"/>
              </w:rPr>
              <w:t>T</w:t>
            </w:r>
          </w:p>
        </w:tc>
        <w:tc>
          <w:tcPr>
            <w:tcW w:w="613" w:type="dxa"/>
            <w:tcBorders>
              <w:top w:val="nil"/>
              <w:left w:val="nil"/>
              <w:bottom w:val="single" w:sz="4" w:space="0" w:color="auto"/>
              <w:right w:val="single" w:sz="4" w:space="0" w:color="auto"/>
            </w:tcBorders>
            <w:noWrap/>
            <w:vAlign w:val="center"/>
          </w:tcPr>
          <w:p w14:paraId="4B22BB0A" w14:textId="77777777" w:rsidR="002B40DC" w:rsidRDefault="002B40DC" w:rsidP="008738F2">
            <w:pPr>
              <w:spacing w:after="60"/>
              <w:jc w:val="right"/>
              <w:rPr>
                <w:rFonts w:ascii="Arial" w:hAnsi="Arial" w:cs="Arial"/>
                <w:sz w:val="20"/>
                <w:szCs w:val="20"/>
              </w:rPr>
            </w:pPr>
            <w:r>
              <w:rPr>
                <w:rFonts w:ascii="Arial" w:hAnsi="Arial" w:cs="Arial"/>
                <w:sz w:val="20"/>
                <w:szCs w:val="20"/>
              </w:rPr>
              <w:t>1.6</w:t>
            </w:r>
          </w:p>
        </w:tc>
        <w:tc>
          <w:tcPr>
            <w:tcW w:w="644" w:type="dxa"/>
            <w:tcBorders>
              <w:top w:val="nil"/>
              <w:left w:val="nil"/>
              <w:bottom w:val="single" w:sz="4" w:space="0" w:color="auto"/>
              <w:right w:val="single" w:sz="4" w:space="0" w:color="auto"/>
            </w:tcBorders>
            <w:noWrap/>
            <w:vAlign w:val="center"/>
          </w:tcPr>
          <w:p w14:paraId="0E6E49AD" w14:textId="77777777" w:rsidR="002B40DC" w:rsidRDefault="002B40DC" w:rsidP="008738F2">
            <w:pPr>
              <w:spacing w:after="60"/>
              <w:jc w:val="right"/>
              <w:rPr>
                <w:rFonts w:ascii="Arial" w:hAnsi="Arial" w:cs="Arial"/>
                <w:sz w:val="20"/>
                <w:szCs w:val="20"/>
              </w:rPr>
            </w:pPr>
            <w:r>
              <w:rPr>
                <w:rFonts w:ascii="Arial" w:hAnsi="Arial" w:cs="Arial"/>
                <w:sz w:val="20"/>
                <w:szCs w:val="20"/>
              </w:rPr>
              <w:t>9.5</w:t>
            </w:r>
          </w:p>
        </w:tc>
        <w:tc>
          <w:tcPr>
            <w:tcW w:w="660" w:type="dxa"/>
            <w:tcBorders>
              <w:top w:val="nil"/>
              <w:left w:val="nil"/>
              <w:bottom w:val="single" w:sz="4" w:space="0" w:color="auto"/>
              <w:right w:val="single" w:sz="4" w:space="0" w:color="auto"/>
            </w:tcBorders>
            <w:noWrap/>
            <w:vAlign w:val="center"/>
          </w:tcPr>
          <w:p w14:paraId="380D198F" w14:textId="77777777" w:rsidR="002B40DC" w:rsidRDefault="002B40DC" w:rsidP="008738F2">
            <w:pPr>
              <w:spacing w:after="60"/>
              <w:jc w:val="right"/>
              <w:rPr>
                <w:rFonts w:ascii="Arial" w:hAnsi="Arial" w:cs="Arial"/>
                <w:sz w:val="20"/>
                <w:szCs w:val="20"/>
              </w:rPr>
            </w:pPr>
            <w:r>
              <w:rPr>
                <w:rFonts w:ascii="Arial" w:hAnsi="Arial" w:cs="Arial"/>
                <w:sz w:val="20"/>
                <w:szCs w:val="20"/>
              </w:rPr>
              <w:t>8.6</w:t>
            </w:r>
          </w:p>
        </w:tc>
        <w:tc>
          <w:tcPr>
            <w:tcW w:w="644" w:type="dxa"/>
            <w:tcBorders>
              <w:top w:val="nil"/>
              <w:left w:val="nil"/>
              <w:bottom w:val="single" w:sz="4" w:space="0" w:color="auto"/>
              <w:right w:val="single" w:sz="4" w:space="0" w:color="auto"/>
            </w:tcBorders>
            <w:noWrap/>
            <w:vAlign w:val="center"/>
          </w:tcPr>
          <w:p w14:paraId="699A6720" w14:textId="77777777" w:rsidR="002B40DC" w:rsidRDefault="002B40DC" w:rsidP="008738F2">
            <w:pPr>
              <w:spacing w:after="60"/>
              <w:jc w:val="right"/>
              <w:rPr>
                <w:rFonts w:ascii="Arial" w:hAnsi="Arial" w:cs="Arial"/>
                <w:sz w:val="20"/>
                <w:szCs w:val="20"/>
              </w:rPr>
            </w:pPr>
            <w:r>
              <w:rPr>
                <w:rFonts w:ascii="Arial" w:hAnsi="Arial" w:cs="Arial"/>
                <w:sz w:val="20"/>
                <w:szCs w:val="20"/>
              </w:rPr>
              <w:t>6</w:t>
            </w:r>
          </w:p>
        </w:tc>
        <w:tc>
          <w:tcPr>
            <w:tcW w:w="755" w:type="dxa"/>
            <w:tcBorders>
              <w:top w:val="nil"/>
              <w:left w:val="nil"/>
              <w:bottom w:val="single" w:sz="4" w:space="0" w:color="auto"/>
              <w:right w:val="single" w:sz="4" w:space="0" w:color="auto"/>
            </w:tcBorders>
            <w:noWrap/>
            <w:vAlign w:val="center"/>
          </w:tcPr>
          <w:p w14:paraId="63733135" w14:textId="77777777" w:rsidR="002B40DC" w:rsidRDefault="002B40DC" w:rsidP="008738F2">
            <w:pPr>
              <w:spacing w:after="60"/>
              <w:jc w:val="right"/>
              <w:rPr>
                <w:rFonts w:ascii="Arial" w:hAnsi="Arial" w:cs="Arial"/>
                <w:i/>
                <w:iCs/>
                <w:sz w:val="20"/>
                <w:szCs w:val="20"/>
              </w:rPr>
            </w:pPr>
            <w:r>
              <w:rPr>
                <w:rFonts w:ascii="Arial" w:hAnsi="Arial" w:cs="Arial"/>
                <w:i/>
                <w:iCs/>
                <w:sz w:val="20"/>
                <w:szCs w:val="20"/>
              </w:rPr>
              <w:t>44.8</w:t>
            </w:r>
          </w:p>
        </w:tc>
      </w:tr>
      <w:tr w:rsidR="002B40DC" w14:paraId="25C8B0F8" w14:textId="77777777" w:rsidTr="00915E78">
        <w:trPr>
          <w:trHeight w:val="255"/>
          <w:jc w:val="center"/>
        </w:trPr>
        <w:tc>
          <w:tcPr>
            <w:tcW w:w="3031" w:type="dxa"/>
            <w:tcBorders>
              <w:top w:val="nil"/>
              <w:left w:val="single" w:sz="4" w:space="0" w:color="auto"/>
              <w:bottom w:val="single" w:sz="4" w:space="0" w:color="auto"/>
              <w:right w:val="single" w:sz="4" w:space="0" w:color="auto"/>
            </w:tcBorders>
            <w:noWrap/>
            <w:vAlign w:val="center"/>
          </w:tcPr>
          <w:p w14:paraId="38501787" w14:textId="77777777" w:rsidR="002B40DC" w:rsidRDefault="002B40DC" w:rsidP="008738F2">
            <w:pPr>
              <w:spacing w:after="60"/>
              <w:rPr>
                <w:rFonts w:ascii="Arial" w:hAnsi="Arial" w:cs="Arial"/>
                <w:sz w:val="20"/>
                <w:szCs w:val="20"/>
              </w:rPr>
            </w:pPr>
            <w:smartTag w:uri="urn:schemas-microsoft-com:office:smarttags" w:element="place">
              <w:smartTag w:uri="urn:schemas-microsoft-com:office:smarttags" w:element="City">
                <w:r>
                  <w:rPr>
                    <w:rFonts w:ascii="Arial" w:hAnsi="Arial" w:cs="Arial"/>
                    <w:sz w:val="20"/>
                    <w:szCs w:val="20"/>
                  </w:rPr>
                  <w:t xml:space="preserve">COLD </w:t>
                </w:r>
                <w:proofErr w:type="gramStart"/>
                <w:r>
                  <w:rPr>
                    <w:rFonts w:ascii="Arial" w:hAnsi="Arial" w:cs="Arial"/>
                    <w:sz w:val="20"/>
                    <w:szCs w:val="20"/>
                  </w:rPr>
                  <w:t>BAY</w:t>
                </w:r>
              </w:smartTag>
              <w:r>
                <w:rPr>
                  <w:rFonts w:ascii="Arial" w:hAnsi="Arial" w:cs="Arial"/>
                  <w:sz w:val="20"/>
                  <w:szCs w:val="20"/>
                </w:rPr>
                <w:t>,</w:t>
              </w:r>
              <w:smartTag w:uri="urn:schemas-microsoft-com:office:smarttags" w:element="State">
                <w:r>
                  <w:rPr>
                    <w:rFonts w:ascii="Arial" w:hAnsi="Arial" w:cs="Arial"/>
                    <w:sz w:val="20"/>
                    <w:szCs w:val="20"/>
                  </w:rPr>
                  <w:t>AK</w:t>
                </w:r>
              </w:smartTag>
            </w:smartTag>
            <w:proofErr w:type="gramEnd"/>
          </w:p>
        </w:tc>
        <w:tc>
          <w:tcPr>
            <w:tcW w:w="629" w:type="dxa"/>
            <w:tcBorders>
              <w:top w:val="nil"/>
              <w:left w:val="nil"/>
              <w:bottom w:val="single" w:sz="4" w:space="0" w:color="auto"/>
              <w:right w:val="single" w:sz="4" w:space="0" w:color="auto"/>
            </w:tcBorders>
            <w:noWrap/>
            <w:vAlign w:val="center"/>
          </w:tcPr>
          <w:p w14:paraId="73A36E88" w14:textId="77777777" w:rsidR="002B40DC" w:rsidRDefault="002B40DC" w:rsidP="008738F2">
            <w:pPr>
              <w:spacing w:after="60"/>
              <w:jc w:val="right"/>
              <w:rPr>
                <w:rFonts w:ascii="Arial" w:hAnsi="Arial" w:cs="Arial"/>
                <w:i/>
                <w:iCs/>
                <w:sz w:val="20"/>
                <w:szCs w:val="20"/>
              </w:rPr>
            </w:pPr>
            <w:r>
              <w:rPr>
                <w:rFonts w:ascii="Arial" w:hAnsi="Arial" w:cs="Arial"/>
                <w:i/>
                <w:iCs/>
                <w:sz w:val="20"/>
                <w:szCs w:val="20"/>
              </w:rPr>
              <w:t>54</w:t>
            </w:r>
          </w:p>
        </w:tc>
        <w:tc>
          <w:tcPr>
            <w:tcW w:w="597" w:type="dxa"/>
            <w:tcBorders>
              <w:top w:val="nil"/>
              <w:left w:val="nil"/>
              <w:bottom w:val="single" w:sz="4" w:space="0" w:color="auto"/>
              <w:right w:val="single" w:sz="4" w:space="0" w:color="auto"/>
            </w:tcBorders>
            <w:noWrap/>
            <w:vAlign w:val="center"/>
          </w:tcPr>
          <w:p w14:paraId="5FD4451A" w14:textId="77777777" w:rsidR="002B40DC" w:rsidRDefault="002B40DC" w:rsidP="008738F2">
            <w:pPr>
              <w:spacing w:after="60"/>
              <w:jc w:val="right"/>
              <w:rPr>
                <w:rFonts w:ascii="Arial" w:hAnsi="Arial" w:cs="Arial"/>
                <w:sz w:val="20"/>
                <w:szCs w:val="20"/>
              </w:rPr>
            </w:pPr>
            <w:r>
              <w:rPr>
                <w:rFonts w:ascii="Arial" w:hAnsi="Arial" w:cs="Arial"/>
                <w:sz w:val="20"/>
                <w:szCs w:val="20"/>
              </w:rPr>
              <w:t>12.2</w:t>
            </w:r>
          </w:p>
        </w:tc>
        <w:tc>
          <w:tcPr>
            <w:tcW w:w="597" w:type="dxa"/>
            <w:tcBorders>
              <w:top w:val="nil"/>
              <w:left w:val="nil"/>
              <w:bottom w:val="single" w:sz="4" w:space="0" w:color="auto"/>
              <w:right w:val="single" w:sz="4" w:space="0" w:color="auto"/>
            </w:tcBorders>
            <w:noWrap/>
            <w:vAlign w:val="center"/>
          </w:tcPr>
          <w:p w14:paraId="6D6BCD49" w14:textId="77777777" w:rsidR="002B40DC" w:rsidRDefault="002B40DC" w:rsidP="008738F2">
            <w:pPr>
              <w:spacing w:after="60"/>
              <w:jc w:val="right"/>
              <w:rPr>
                <w:rFonts w:ascii="Arial" w:hAnsi="Arial" w:cs="Arial"/>
                <w:sz w:val="20"/>
                <w:szCs w:val="20"/>
              </w:rPr>
            </w:pPr>
            <w:r>
              <w:rPr>
                <w:rFonts w:ascii="Arial" w:hAnsi="Arial" w:cs="Arial"/>
                <w:sz w:val="20"/>
                <w:szCs w:val="20"/>
              </w:rPr>
              <w:t>11.8</w:t>
            </w:r>
          </w:p>
        </w:tc>
        <w:tc>
          <w:tcPr>
            <w:tcW w:w="676" w:type="dxa"/>
            <w:tcBorders>
              <w:top w:val="nil"/>
              <w:left w:val="nil"/>
              <w:bottom w:val="single" w:sz="4" w:space="0" w:color="auto"/>
              <w:right w:val="single" w:sz="4" w:space="0" w:color="auto"/>
            </w:tcBorders>
            <w:noWrap/>
            <w:vAlign w:val="center"/>
          </w:tcPr>
          <w:p w14:paraId="5BAF575D" w14:textId="77777777" w:rsidR="002B40DC" w:rsidRDefault="002B40DC" w:rsidP="008738F2">
            <w:pPr>
              <w:spacing w:after="60"/>
              <w:jc w:val="right"/>
              <w:rPr>
                <w:rFonts w:ascii="Arial" w:hAnsi="Arial" w:cs="Arial"/>
                <w:sz w:val="20"/>
                <w:szCs w:val="20"/>
              </w:rPr>
            </w:pPr>
            <w:r>
              <w:rPr>
                <w:rFonts w:ascii="Arial" w:hAnsi="Arial" w:cs="Arial"/>
                <w:sz w:val="20"/>
                <w:szCs w:val="20"/>
              </w:rPr>
              <w:t>11.1</w:t>
            </w:r>
          </w:p>
        </w:tc>
        <w:tc>
          <w:tcPr>
            <w:tcW w:w="629" w:type="dxa"/>
            <w:tcBorders>
              <w:top w:val="nil"/>
              <w:left w:val="nil"/>
              <w:bottom w:val="single" w:sz="4" w:space="0" w:color="auto"/>
              <w:right w:val="single" w:sz="4" w:space="0" w:color="auto"/>
            </w:tcBorders>
            <w:noWrap/>
            <w:vAlign w:val="center"/>
          </w:tcPr>
          <w:p w14:paraId="70B76FB6" w14:textId="77777777" w:rsidR="002B40DC" w:rsidRDefault="002B40DC" w:rsidP="008738F2">
            <w:pPr>
              <w:spacing w:after="60"/>
              <w:jc w:val="right"/>
              <w:rPr>
                <w:rFonts w:ascii="Arial" w:hAnsi="Arial" w:cs="Arial"/>
                <w:sz w:val="20"/>
                <w:szCs w:val="20"/>
              </w:rPr>
            </w:pPr>
            <w:r>
              <w:rPr>
                <w:rFonts w:ascii="Arial" w:hAnsi="Arial" w:cs="Arial"/>
                <w:sz w:val="20"/>
                <w:szCs w:val="20"/>
              </w:rPr>
              <w:t>6.1</w:t>
            </w:r>
          </w:p>
        </w:tc>
        <w:tc>
          <w:tcPr>
            <w:tcW w:w="660" w:type="dxa"/>
            <w:tcBorders>
              <w:top w:val="nil"/>
              <w:left w:val="nil"/>
              <w:bottom w:val="single" w:sz="4" w:space="0" w:color="auto"/>
              <w:right w:val="single" w:sz="4" w:space="0" w:color="auto"/>
            </w:tcBorders>
            <w:noWrap/>
            <w:vAlign w:val="center"/>
          </w:tcPr>
          <w:p w14:paraId="48458CA8" w14:textId="77777777" w:rsidR="002B40DC" w:rsidRDefault="002B40DC" w:rsidP="008738F2">
            <w:pPr>
              <w:spacing w:after="60"/>
              <w:jc w:val="right"/>
              <w:rPr>
                <w:rFonts w:ascii="Arial" w:hAnsi="Arial" w:cs="Arial"/>
                <w:sz w:val="20"/>
                <w:szCs w:val="20"/>
              </w:rPr>
            </w:pPr>
            <w:r>
              <w:rPr>
                <w:rFonts w:ascii="Arial" w:hAnsi="Arial" w:cs="Arial"/>
                <w:sz w:val="20"/>
                <w:szCs w:val="20"/>
              </w:rPr>
              <w:t>1.7</w:t>
            </w:r>
          </w:p>
        </w:tc>
        <w:tc>
          <w:tcPr>
            <w:tcW w:w="596" w:type="dxa"/>
            <w:tcBorders>
              <w:top w:val="nil"/>
              <w:left w:val="nil"/>
              <w:bottom w:val="single" w:sz="4" w:space="0" w:color="auto"/>
              <w:right w:val="single" w:sz="4" w:space="0" w:color="auto"/>
            </w:tcBorders>
            <w:noWrap/>
            <w:vAlign w:val="center"/>
          </w:tcPr>
          <w:p w14:paraId="2F31E678" w14:textId="77777777" w:rsidR="002B40DC" w:rsidRDefault="002B40DC" w:rsidP="008738F2">
            <w:pPr>
              <w:spacing w:after="60"/>
              <w:jc w:val="right"/>
              <w:rPr>
                <w:rFonts w:ascii="Arial" w:hAnsi="Arial" w:cs="Arial"/>
                <w:sz w:val="20"/>
                <w:szCs w:val="20"/>
              </w:rPr>
            </w:pPr>
            <w:r>
              <w:rPr>
                <w:rFonts w:ascii="Arial" w:hAnsi="Arial" w:cs="Arial"/>
                <w:sz w:val="20"/>
                <w:szCs w:val="20"/>
              </w:rPr>
              <w:t>T</w:t>
            </w:r>
          </w:p>
        </w:tc>
        <w:tc>
          <w:tcPr>
            <w:tcW w:w="549" w:type="dxa"/>
            <w:tcBorders>
              <w:top w:val="nil"/>
              <w:left w:val="nil"/>
              <w:bottom w:val="single" w:sz="4" w:space="0" w:color="auto"/>
              <w:right w:val="single" w:sz="4" w:space="0" w:color="auto"/>
            </w:tcBorders>
            <w:noWrap/>
            <w:vAlign w:val="center"/>
          </w:tcPr>
          <w:p w14:paraId="2863507A" w14:textId="77777777" w:rsidR="002B40DC" w:rsidRDefault="002B40DC" w:rsidP="008738F2">
            <w:pPr>
              <w:spacing w:after="60"/>
              <w:jc w:val="right"/>
              <w:rPr>
                <w:rFonts w:ascii="Arial" w:hAnsi="Arial" w:cs="Arial"/>
                <w:sz w:val="20"/>
                <w:szCs w:val="20"/>
              </w:rPr>
            </w:pPr>
            <w:r>
              <w:rPr>
                <w:rFonts w:ascii="Arial" w:hAnsi="Arial" w:cs="Arial"/>
                <w:sz w:val="20"/>
                <w:szCs w:val="20"/>
              </w:rPr>
              <w:t>T</w:t>
            </w:r>
          </w:p>
        </w:tc>
        <w:tc>
          <w:tcPr>
            <w:tcW w:w="660" w:type="dxa"/>
            <w:tcBorders>
              <w:top w:val="nil"/>
              <w:left w:val="nil"/>
              <w:bottom w:val="single" w:sz="4" w:space="0" w:color="auto"/>
              <w:right w:val="single" w:sz="4" w:space="0" w:color="auto"/>
            </w:tcBorders>
            <w:noWrap/>
            <w:vAlign w:val="center"/>
          </w:tcPr>
          <w:p w14:paraId="05132BB8" w14:textId="77777777" w:rsidR="002B40DC" w:rsidRDefault="002B40DC" w:rsidP="008738F2">
            <w:pPr>
              <w:spacing w:after="60"/>
              <w:jc w:val="right"/>
              <w:rPr>
                <w:rFonts w:ascii="Arial" w:hAnsi="Arial" w:cs="Arial"/>
                <w:sz w:val="20"/>
                <w:szCs w:val="20"/>
              </w:rPr>
            </w:pPr>
            <w:r>
              <w:rPr>
                <w:rFonts w:ascii="Arial" w:hAnsi="Arial" w:cs="Arial"/>
                <w:sz w:val="20"/>
                <w:szCs w:val="20"/>
              </w:rPr>
              <w:t>T</w:t>
            </w:r>
          </w:p>
        </w:tc>
        <w:tc>
          <w:tcPr>
            <w:tcW w:w="613" w:type="dxa"/>
            <w:tcBorders>
              <w:top w:val="nil"/>
              <w:left w:val="nil"/>
              <w:bottom w:val="single" w:sz="4" w:space="0" w:color="auto"/>
              <w:right w:val="single" w:sz="4" w:space="0" w:color="auto"/>
            </w:tcBorders>
            <w:noWrap/>
            <w:vAlign w:val="center"/>
          </w:tcPr>
          <w:p w14:paraId="4B80EBB0" w14:textId="77777777" w:rsidR="002B40DC" w:rsidRDefault="002B40DC" w:rsidP="008738F2">
            <w:pPr>
              <w:spacing w:after="60"/>
              <w:jc w:val="right"/>
              <w:rPr>
                <w:rFonts w:ascii="Arial" w:hAnsi="Arial" w:cs="Arial"/>
                <w:sz w:val="20"/>
                <w:szCs w:val="20"/>
              </w:rPr>
            </w:pPr>
            <w:r>
              <w:rPr>
                <w:rFonts w:ascii="Arial" w:hAnsi="Arial" w:cs="Arial"/>
                <w:sz w:val="20"/>
                <w:szCs w:val="20"/>
              </w:rPr>
              <w:t>T</w:t>
            </w:r>
          </w:p>
        </w:tc>
        <w:tc>
          <w:tcPr>
            <w:tcW w:w="644" w:type="dxa"/>
            <w:tcBorders>
              <w:top w:val="nil"/>
              <w:left w:val="nil"/>
              <w:bottom w:val="single" w:sz="4" w:space="0" w:color="auto"/>
              <w:right w:val="single" w:sz="4" w:space="0" w:color="auto"/>
            </w:tcBorders>
            <w:noWrap/>
            <w:vAlign w:val="center"/>
          </w:tcPr>
          <w:p w14:paraId="2BDEA178" w14:textId="77777777" w:rsidR="002B40DC" w:rsidRDefault="002B40DC" w:rsidP="008738F2">
            <w:pPr>
              <w:spacing w:after="60"/>
              <w:jc w:val="right"/>
              <w:rPr>
                <w:rFonts w:ascii="Arial" w:hAnsi="Arial" w:cs="Arial"/>
                <w:sz w:val="20"/>
                <w:szCs w:val="20"/>
              </w:rPr>
            </w:pPr>
            <w:r>
              <w:rPr>
                <w:rFonts w:ascii="Arial" w:hAnsi="Arial" w:cs="Arial"/>
                <w:sz w:val="20"/>
                <w:szCs w:val="20"/>
              </w:rPr>
              <w:t>3.2</w:t>
            </w:r>
          </w:p>
        </w:tc>
        <w:tc>
          <w:tcPr>
            <w:tcW w:w="660" w:type="dxa"/>
            <w:tcBorders>
              <w:top w:val="nil"/>
              <w:left w:val="nil"/>
              <w:bottom w:val="single" w:sz="4" w:space="0" w:color="auto"/>
              <w:right w:val="single" w:sz="4" w:space="0" w:color="auto"/>
            </w:tcBorders>
            <w:noWrap/>
            <w:vAlign w:val="center"/>
          </w:tcPr>
          <w:p w14:paraId="16E54CF7" w14:textId="77777777" w:rsidR="002B40DC" w:rsidRDefault="002B40DC" w:rsidP="008738F2">
            <w:pPr>
              <w:spacing w:after="60"/>
              <w:jc w:val="right"/>
              <w:rPr>
                <w:rFonts w:ascii="Arial" w:hAnsi="Arial" w:cs="Arial"/>
                <w:sz w:val="20"/>
                <w:szCs w:val="20"/>
              </w:rPr>
            </w:pPr>
            <w:r>
              <w:rPr>
                <w:rFonts w:ascii="Arial" w:hAnsi="Arial" w:cs="Arial"/>
                <w:sz w:val="20"/>
                <w:szCs w:val="20"/>
              </w:rPr>
              <w:t>8</w:t>
            </w:r>
          </w:p>
        </w:tc>
        <w:tc>
          <w:tcPr>
            <w:tcW w:w="644" w:type="dxa"/>
            <w:tcBorders>
              <w:top w:val="nil"/>
              <w:left w:val="nil"/>
              <w:bottom w:val="single" w:sz="4" w:space="0" w:color="auto"/>
              <w:right w:val="single" w:sz="4" w:space="0" w:color="auto"/>
            </w:tcBorders>
            <w:noWrap/>
            <w:vAlign w:val="center"/>
          </w:tcPr>
          <w:p w14:paraId="75C6676F" w14:textId="77777777" w:rsidR="002B40DC" w:rsidRDefault="002B40DC" w:rsidP="008738F2">
            <w:pPr>
              <w:spacing w:after="60"/>
              <w:jc w:val="right"/>
              <w:rPr>
                <w:rFonts w:ascii="Arial" w:hAnsi="Arial" w:cs="Arial"/>
                <w:sz w:val="20"/>
                <w:szCs w:val="20"/>
              </w:rPr>
            </w:pPr>
            <w:r>
              <w:rPr>
                <w:rFonts w:ascii="Arial" w:hAnsi="Arial" w:cs="Arial"/>
                <w:sz w:val="20"/>
                <w:szCs w:val="20"/>
              </w:rPr>
              <w:t>11.5</w:t>
            </w:r>
          </w:p>
        </w:tc>
        <w:tc>
          <w:tcPr>
            <w:tcW w:w="755" w:type="dxa"/>
            <w:tcBorders>
              <w:top w:val="nil"/>
              <w:left w:val="nil"/>
              <w:bottom w:val="single" w:sz="4" w:space="0" w:color="auto"/>
              <w:right w:val="single" w:sz="4" w:space="0" w:color="auto"/>
            </w:tcBorders>
            <w:noWrap/>
            <w:vAlign w:val="center"/>
          </w:tcPr>
          <w:p w14:paraId="577B0702" w14:textId="77777777" w:rsidR="002B40DC" w:rsidRDefault="002B40DC" w:rsidP="008738F2">
            <w:pPr>
              <w:spacing w:after="60"/>
              <w:jc w:val="right"/>
              <w:rPr>
                <w:rFonts w:ascii="Arial" w:hAnsi="Arial" w:cs="Arial"/>
                <w:i/>
                <w:iCs/>
                <w:sz w:val="20"/>
                <w:szCs w:val="20"/>
              </w:rPr>
            </w:pPr>
            <w:r>
              <w:rPr>
                <w:rFonts w:ascii="Arial" w:hAnsi="Arial" w:cs="Arial"/>
                <w:i/>
                <w:iCs/>
                <w:sz w:val="20"/>
                <w:szCs w:val="20"/>
              </w:rPr>
              <w:t>65.6</w:t>
            </w:r>
          </w:p>
        </w:tc>
      </w:tr>
      <w:tr w:rsidR="002B40DC" w14:paraId="6FB0F58E" w14:textId="77777777" w:rsidTr="00915E78">
        <w:trPr>
          <w:trHeight w:val="255"/>
          <w:jc w:val="center"/>
        </w:trPr>
        <w:tc>
          <w:tcPr>
            <w:tcW w:w="3031" w:type="dxa"/>
            <w:tcBorders>
              <w:top w:val="nil"/>
              <w:left w:val="single" w:sz="4" w:space="0" w:color="auto"/>
              <w:bottom w:val="single" w:sz="4" w:space="0" w:color="auto"/>
              <w:right w:val="single" w:sz="4" w:space="0" w:color="auto"/>
            </w:tcBorders>
            <w:noWrap/>
            <w:vAlign w:val="center"/>
          </w:tcPr>
          <w:p w14:paraId="1F39DA62" w14:textId="77777777" w:rsidR="002B40DC" w:rsidRDefault="002B40DC" w:rsidP="008738F2">
            <w:pPr>
              <w:spacing w:after="60"/>
              <w:rPr>
                <w:rFonts w:ascii="Arial" w:hAnsi="Arial" w:cs="Arial"/>
                <w:sz w:val="20"/>
                <w:szCs w:val="20"/>
              </w:rPr>
            </w:pPr>
            <w:smartTag w:uri="urn:schemas-microsoft-com:office:smarttags" w:element="place">
              <w:smartTag w:uri="urn:schemas-microsoft-com:office:smarttags" w:element="City">
                <w:r>
                  <w:rPr>
                    <w:rFonts w:ascii="Arial" w:hAnsi="Arial" w:cs="Arial"/>
                    <w:sz w:val="20"/>
                    <w:szCs w:val="20"/>
                  </w:rPr>
                  <w:t>FAIRBANKS</w:t>
                </w:r>
              </w:smartTag>
              <w:r>
                <w:rPr>
                  <w:rFonts w:ascii="Arial" w:hAnsi="Arial" w:cs="Arial"/>
                  <w:sz w:val="20"/>
                  <w:szCs w:val="20"/>
                </w:rPr>
                <w:t xml:space="preserve">, </w:t>
              </w:r>
              <w:smartTag w:uri="urn:schemas-microsoft-com:office:smarttags" w:element="State">
                <w:r>
                  <w:rPr>
                    <w:rFonts w:ascii="Arial" w:hAnsi="Arial" w:cs="Arial"/>
                    <w:sz w:val="20"/>
                    <w:szCs w:val="20"/>
                  </w:rPr>
                  <w:t>AK</w:t>
                </w:r>
              </w:smartTag>
            </w:smartTag>
          </w:p>
        </w:tc>
        <w:tc>
          <w:tcPr>
            <w:tcW w:w="629" w:type="dxa"/>
            <w:tcBorders>
              <w:top w:val="nil"/>
              <w:left w:val="nil"/>
              <w:bottom w:val="single" w:sz="4" w:space="0" w:color="auto"/>
              <w:right w:val="single" w:sz="4" w:space="0" w:color="auto"/>
            </w:tcBorders>
            <w:noWrap/>
            <w:vAlign w:val="center"/>
          </w:tcPr>
          <w:p w14:paraId="097BB59A" w14:textId="77777777" w:rsidR="002B40DC" w:rsidRDefault="002B40DC" w:rsidP="008738F2">
            <w:pPr>
              <w:spacing w:after="60"/>
              <w:jc w:val="right"/>
              <w:rPr>
                <w:rFonts w:ascii="Arial" w:hAnsi="Arial" w:cs="Arial"/>
                <w:i/>
                <w:iCs/>
                <w:sz w:val="20"/>
                <w:szCs w:val="20"/>
              </w:rPr>
            </w:pPr>
            <w:r>
              <w:rPr>
                <w:rFonts w:ascii="Arial" w:hAnsi="Arial" w:cs="Arial"/>
                <w:i/>
                <w:iCs/>
                <w:sz w:val="20"/>
                <w:szCs w:val="20"/>
              </w:rPr>
              <w:t>53</w:t>
            </w:r>
          </w:p>
        </w:tc>
        <w:tc>
          <w:tcPr>
            <w:tcW w:w="597" w:type="dxa"/>
            <w:tcBorders>
              <w:top w:val="nil"/>
              <w:left w:val="nil"/>
              <w:bottom w:val="single" w:sz="4" w:space="0" w:color="auto"/>
              <w:right w:val="single" w:sz="4" w:space="0" w:color="auto"/>
            </w:tcBorders>
            <w:noWrap/>
            <w:vAlign w:val="center"/>
          </w:tcPr>
          <w:p w14:paraId="69F279CF" w14:textId="77777777" w:rsidR="002B40DC" w:rsidRDefault="002B40DC" w:rsidP="008738F2">
            <w:pPr>
              <w:spacing w:after="60"/>
              <w:jc w:val="right"/>
              <w:rPr>
                <w:rFonts w:ascii="Arial" w:hAnsi="Arial" w:cs="Arial"/>
                <w:sz w:val="20"/>
                <w:szCs w:val="20"/>
              </w:rPr>
            </w:pPr>
            <w:r>
              <w:rPr>
                <w:rFonts w:ascii="Arial" w:hAnsi="Arial" w:cs="Arial"/>
                <w:sz w:val="20"/>
                <w:szCs w:val="20"/>
              </w:rPr>
              <w:t>10.4</w:t>
            </w:r>
          </w:p>
        </w:tc>
        <w:tc>
          <w:tcPr>
            <w:tcW w:w="597" w:type="dxa"/>
            <w:tcBorders>
              <w:top w:val="nil"/>
              <w:left w:val="nil"/>
              <w:bottom w:val="single" w:sz="4" w:space="0" w:color="auto"/>
              <w:right w:val="single" w:sz="4" w:space="0" w:color="auto"/>
            </w:tcBorders>
            <w:noWrap/>
            <w:vAlign w:val="center"/>
          </w:tcPr>
          <w:p w14:paraId="1637E221" w14:textId="77777777" w:rsidR="002B40DC" w:rsidRDefault="002B40DC" w:rsidP="008738F2">
            <w:pPr>
              <w:spacing w:after="60"/>
              <w:jc w:val="right"/>
              <w:rPr>
                <w:rFonts w:ascii="Arial" w:hAnsi="Arial" w:cs="Arial"/>
                <w:sz w:val="20"/>
                <w:szCs w:val="20"/>
              </w:rPr>
            </w:pPr>
            <w:r>
              <w:rPr>
                <w:rFonts w:ascii="Arial" w:hAnsi="Arial" w:cs="Arial"/>
                <w:sz w:val="20"/>
                <w:szCs w:val="20"/>
              </w:rPr>
              <w:t>8.6</w:t>
            </w:r>
          </w:p>
        </w:tc>
        <w:tc>
          <w:tcPr>
            <w:tcW w:w="676" w:type="dxa"/>
            <w:tcBorders>
              <w:top w:val="nil"/>
              <w:left w:val="nil"/>
              <w:bottom w:val="single" w:sz="4" w:space="0" w:color="auto"/>
              <w:right w:val="single" w:sz="4" w:space="0" w:color="auto"/>
            </w:tcBorders>
            <w:noWrap/>
            <w:vAlign w:val="center"/>
          </w:tcPr>
          <w:p w14:paraId="78EABCFD" w14:textId="77777777" w:rsidR="002B40DC" w:rsidRDefault="002B40DC" w:rsidP="008738F2">
            <w:pPr>
              <w:spacing w:after="60"/>
              <w:jc w:val="right"/>
              <w:rPr>
                <w:rFonts w:ascii="Arial" w:hAnsi="Arial" w:cs="Arial"/>
                <w:sz w:val="20"/>
                <w:szCs w:val="20"/>
              </w:rPr>
            </w:pPr>
            <w:r>
              <w:rPr>
                <w:rFonts w:ascii="Arial" w:hAnsi="Arial" w:cs="Arial"/>
                <w:sz w:val="20"/>
                <w:szCs w:val="20"/>
              </w:rPr>
              <w:t>6</w:t>
            </w:r>
          </w:p>
        </w:tc>
        <w:tc>
          <w:tcPr>
            <w:tcW w:w="629" w:type="dxa"/>
            <w:tcBorders>
              <w:top w:val="nil"/>
              <w:left w:val="nil"/>
              <w:bottom w:val="single" w:sz="4" w:space="0" w:color="auto"/>
              <w:right w:val="single" w:sz="4" w:space="0" w:color="auto"/>
            </w:tcBorders>
            <w:noWrap/>
            <w:vAlign w:val="center"/>
          </w:tcPr>
          <w:p w14:paraId="60612E2B" w14:textId="77777777" w:rsidR="002B40DC" w:rsidRDefault="002B40DC" w:rsidP="008738F2">
            <w:pPr>
              <w:spacing w:after="60"/>
              <w:jc w:val="right"/>
              <w:rPr>
                <w:rFonts w:ascii="Arial" w:hAnsi="Arial" w:cs="Arial"/>
                <w:sz w:val="20"/>
                <w:szCs w:val="20"/>
              </w:rPr>
            </w:pPr>
            <w:r>
              <w:rPr>
                <w:rFonts w:ascii="Arial" w:hAnsi="Arial" w:cs="Arial"/>
                <w:sz w:val="20"/>
                <w:szCs w:val="20"/>
              </w:rPr>
              <w:t>3.1</w:t>
            </w:r>
          </w:p>
        </w:tc>
        <w:tc>
          <w:tcPr>
            <w:tcW w:w="660" w:type="dxa"/>
            <w:tcBorders>
              <w:top w:val="nil"/>
              <w:left w:val="nil"/>
              <w:bottom w:val="single" w:sz="4" w:space="0" w:color="auto"/>
              <w:right w:val="single" w:sz="4" w:space="0" w:color="auto"/>
            </w:tcBorders>
            <w:noWrap/>
            <w:vAlign w:val="center"/>
          </w:tcPr>
          <w:p w14:paraId="0B3515FE" w14:textId="77777777" w:rsidR="002B40DC" w:rsidRDefault="002B40DC" w:rsidP="008738F2">
            <w:pPr>
              <w:spacing w:after="60"/>
              <w:jc w:val="right"/>
              <w:rPr>
                <w:rFonts w:ascii="Arial" w:hAnsi="Arial" w:cs="Arial"/>
                <w:sz w:val="20"/>
                <w:szCs w:val="20"/>
              </w:rPr>
            </w:pPr>
            <w:r>
              <w:rPr>
                <w:rFonts w:ascii="Arial" w:hAnsi="Arial" w:cs="Arial"/>
                <w:sz w:val="20"/>
                <w:szCs w:val="20"/>
              </w:rPr>
              <w:t>0.9</w:t>
            </w:r>
          </w:p>
        </w:tc>
        <w:tc>
          <w:tcPr>
            <w:tcW w:w="596" w:type="dxa"/>
            <w:tcBorders>
              <w:top w:val="nil"/>
              <w:left w:val="nil"/>
              <w:bottom w:val="single" w:sz="4" w:space="0" w:color="auto"/>
              <w:right w:val="single" w:sz="4" w:space="0" w:color="auto"/>
            </w:tcBorders>
            <w:noWrap/>
            <w:vAlign w:val="center"/>
          </w:tcPr>
          <w:p w14:paraId="0E997A1B" w14:textId="77777777" w:rsidR="002B40DC" w:rsidRDefault="002B40DC" w:rsidP="008738F2">
            <w:pPr>
              <w:spacing w:after="60"/>
              <w:jc w:val="right"/>
              <w:rPr>
                <w:rFonts w:ascii="Arial" w:hAnsi="Arial" w:cs="Arial"/>
                <w:sz w:val="20"/>
                <w:szCs w:val="20"/>
              </w:rPr>
            </w:pPr>
            <w:r>
              <w:rPr>
                <w:rFonts w:ascii="Arial" w:hAnsi="Arial" w:cs="Arial"/>
                <w:sz w:val="20"/>
                <w:szCs w:val="20"/>
              </w:rPr>
              <w:t>T</w:t>
            </w:r>
          </w:p>
        </w:tc>
        <w:tc>
          <w:tcPr>
            <w:tcW w:w="549" w:type="dxa"/>
            <w:tcBorders>
              <w:top w:val="nil"/>
              <w:left w:val="nil"/>
              <w:bottom w:val="single" w:sz="4" w:space="0" w:color="auto"/>
              <w:right w:val="single" w:sz="4" w:space="0" w:color="auto"/>
            </w:tcBorders>
            <w:noWrap/>
            <w:vAlign w:val="center"/>
          </w:tcPr>
          <w:p w14:paraId="30EE2691" w14:textId="77777777" w:rsidR="002B40DC" w:rsidRDefault="002B40DC" w:rsidP="008738F2">
            <w:pPr>
              <w:spacing w:after="60"/>
              <w:jc w:val="right"/>
              <w:rPr>
                <w:rFonts w:ascii="Arial" w:hAnsi="Arial" w:cs="Arial"/>
                <w:sz w:val="20"/>
                <w:szCs w:val="20"/>
              </w:rPr>
            </w:pPr>
            <w:r>
              <w:rPr>
                <w:rFonts w:ascii="Arial" w:hAnsi="Arial" w:cs="Arial"/>
                <w:sz w:val="20"/>
                <w:szCs w:val="20"/>
              </w:rPr>
              <w:t>T</w:t>
            </w:r>
          </w:p>
        </w:tc>
        <w:tc>
          <w:tcPr>
            <w:tcW w:w="660" w:type="dxa"/>
            <w:tcBorders>
              <w:top w:val="nil"/>
              <w:left w:val="nil"/>
              <w:bottom w:val="single" w:sz="4" w:space="0" w:color="auto"/>
              <w:right w:val="single" w:sz="4" w:space="0" w:color="auto"/>
            </w:tcBorders>
            <w:noWrap/>
            <w:vAlign w:val="center"/>
          </w:tcPr>
          <w:p w14:paraId="3B4A4A77" w14:textId="77777777" w:rsidR="002B40DC" w:rsidRDefault="002B40DC" w:rsidP="008738F2">
            <w:pPr>
              <w:spacing w:after="60"/>
              <w:jc w:val="right"/>
              <w:rPr>
                <w:rFonts w:ascii="Arial" w:hAnsi="Arial" w:cs="Arial"/>
                <w:sz w:val="20"/>
                <w:szCs w:val="20"/>
              </w:rPr>
            </w:pPr>
            <w:r>
              <w:rPr>
                <w:rFonts w:ascii="Arial" w:hAnsi="Arial" w:cs="Arial"/>
                <w:sz w:val="20"/>
                <w:szCs w:val="20"/>
              </w:rPr>
              <w:t>T</w:t>
            </w:r>
          </w:p>
        </w:tc>
        <w:tc>
          <w:tcPr>
            <w:tcW w:w="613" w:type="dxa"/>
            <w:tcBorders>
              <w:top w:val="nil"/>
              <w:left w:val="nil"/>
              <w:bottom w:val="single" w:sz="4" w:space="0" w:color="auto"/>
              <w:right w:val="single" w:sz="4" w:space="0" w:color="auto"/>
            </w:tcBorders>
            <w:noWrap/>
            <w:vAlign w:val="center"/>
          </w:tcPr>
          <w:p w14:paraId="2C177D24" w14:textId="77777777" w:rsidR="002B40DC" w:rsidRDefault="002B40DC" w:rsidP="008738F2">
            <w:pPr>
              <w:spacing w:after="60"/>
              <w:jc w:val="right"/>
              <w:rPr>
                <w:rFonts w:ascii="Arial" w:hAnsi="Arial" w:cs="Arial"/>
                <w:sz w:val="20"/>
                <w:szCs w:val="20"/>
              </w:rPr>
            </w:pPr>
            <w:r>
              <w:rPr>
                <w:rFonts w:ascii="Arial" w:hAnsi="Arial" w:cs="Arial"/>
                <w:sz w:val="20"/>
                <w:szCs w:val="20"/>
              </w:rPr>
              <w:t>1.6</w:t>
            </w:r>
          </w:p>
        </w:tc>
        <w:tc>
          <w:tcPr>
            <w:tcW w:w="644" w:type="dxa"/>
            <w:tcBorders>
              <w:top w:val="nil"/>
              <w:left w:val="nil"/>
              <w:bottom w:val="single" w:sz="4" w:space="0" w:color="auto"/>
              <w:right w:val="single" w:sz="4" w:space="0" w:color="auto"/>
            </w:tcBorders>
            <w:noWrap/>
            <w:vAlign w:val="center"/>
          </w:tcPr>
          <w:p w14:paraId="1C28939D" w14:textId="77777777" w:rsidR="002B40DC" w:rsidRDefault="002B40DC" w:rsidP="008738F2">
            <w:pPr>
              <w:spacing w:after="60"/>
              <w:jc w:val="right"/>
              <w:rPr>
                <w:rFonts w:ascii="Arial" w:hAnsi="Arial" w:cs="Arial"/>
                <w:sz w:val="20"/>
                <w:szCs w:val="20"/>
              </w:rPr>
            </w:pPr>
            <w:r>
              <w:rPr>
                <w:rFonts w:ascii="Arial" w:hAnsi="Arial" w:cs="Arial"/>
                <w:sz w:val="20"/>
                <w:szCs w:val="20"/>
              </w:rPr>
              <w:t>11</w:t>
            </w:r>
          </w:p>
        </w:tc>
        <w:tc>
          <w:tcPr>
            <w:tcW w:w="660" w:type="dxa"/>
            <w:tcBorders>
              <w:top w:val="nil"/>
              <w:left w:val="nil"/>
              <w:bottom w:val="single" w:sz="4" w:space="0" w:color="auto"/>
              <w:right w:val="single" w:sz="4" w:space="0" w:color="auto"/>
            </w:tcBorders>
            <w:noWrap/>
            <w:vAlign w:val="center"/>
          </w:tcPr>
          <w:p w14:paraId="5BB3B717" w14:textId="77777777" w:rsidR="002B40DC" w:rsidRDefault="002B40DC" w:rsidP="008738F2">
            <w:pPr>
              <w:spacing w:after="60"/>
              <w:jc w:val="right"/>
              <w:rPr>
                <w:rFonts w:ascii="Arial" w:hAnsi="Arial" w:cs="Arial"/>
                <w:sz w:val="20"/>
                <w:szCs w:val="20"/>
              </w:rPr>
            </w:pPr>
            <w:r>
              <w:rPr>
                <w:rFonts w:ascii="Arial" w:hAnsi="Arial" w:cs="Arial"/>
                <w:sz w:val="20"/>
                <w:szCs w:val="20"/>
              </w:rPr>
              <w:t>13.4</w:t>
            </w:r>
          </w:p>
        </w:tc>
        <w:tc>
          <w:tcPr>
            <w:tcW w:w="644" w:type="dxa"/>
            <w:tcBorders>
              <w:top w:val="nil"/>
              <w:left w:val="nil"/>
              <w:bottom w:val="single" w:sz="4" w:space="0" w:color="auto"/>
              <w:right w:val="single" w:sz="4" w:space="0" w:color="auto"/>
            </w:tcBorders>
            <w:noWrap/>
            <w:vAlign w:val="center"/>
          </w:tcPr>
          <w:p w14:paraId="1883CB05" w14:textId="77777777" w:rsidR="002B40DC" w:rsidRDefault="002B40DC" w:rsidP="008738F2">
            <w:pPr>
              <w:spacing w:after="60"/>
              <w:jc w:val="right"/>
              <w:rPr>
                <w:rFonts w:ascii="Arial" w:hAnsi="Arial" w:cs="Arial"/>
                <w:sz w:val="20"/>
                <w:szCs w:val="20"/>
              </w:rPr>
            </w:pPr>
            <w:r>
              <w:rPr>
                <w:rFonts w:ascii="Arial" w:hAnsi="Arial" w:cs="Arial"/>
                <w:sz w:val="20"/>
                <w:szCs w:val="20"/>
              </w:rPr>
              <w:t>12.7</w:t>
            </w:r>
          </w:p>
        </w:tc>
        <w:tc>
          <w:tcPr>
            <w:tcW w:w="755" w:type="dxa"/>
            <w:tcBorders>
              <w:top w:val="nil"/>
              <w:left w:val="nil"/>
              <w:bottom w:val="single" w:sz="4" w:space="0" w:color="auto"/>
              <w:right w:val="single" w:sz="4" w:space="0" w:color="auto"/>
            </w:tcBorders>
            <w:noWrap/>
            <w:vAlign w:val="center"/>
          </w:tcPr>
          <w:p w14:paraId="1310343E" w14:textId="77777777" w:rsidR="002B40DC" w:rsidRDefault="002B40DC" w:rsidP="008738F2">
            <w:pPr>
              <w:spacing w:after="60"/>
              <w:jc w:val="right"/>
              <w:rPr>
                <w:rFonts w:ascii="Arial" w:hAnsi="Arial" w:cs="Arial"/>
                <w:i/>
                <w:iCs/>
                <w:sz w:val="20"/>
                <w:szCs w:val="20"/>
              </w:rPr>
            </w:pPr>
            <w:r>
              <w:rPr>
                <w:rFonts w:ascii="Arial" w:hAnsi="Arial" w:cs="Arial"/>
                <w:i/>
                <w:iCs/>
                <w:sz w:val="20"/>
                <w:szCs w:val="20"/>
              </w:rPr>
              <w:t>67.7</w:t>
            </w:r>
          </w:p>
        </w:tc>
      </w:tr>
      <w:tr w:rsidR="002B40DC" w14:paraId="47F3E59D" w14:textId="77777777" w:rsidTr="00915E78">
        <w:trPr>
          <w:trHeight w:val="255"/>
          <w:jc w:val="center"/>
        </w:trPr>
        <w:tc>
          <w:tcPr>
            <w:tcW w:w="3031" w:type="dxa"/>
            <w:tcBorders>
              <w:top w:val="nil"/>
              <w:left w:val="single" w:sz="4" w:space="0" w:color="auto"/>
              <w:bottom w:val="single" w:sz="4" w:space="0" w:color="auto"/>
              <w:right w:val="single" w:sz="4" w:space="0" w:color="auto"/>
            </w:tcBorders>
            <w:noWrap/>
            <w:vAlign w:val="center"/>
          </w:tcPr>
          <w:p w14:paraId="72C929EA" w14:textId="77777777" w:rsidR="002B40DC" w:rsidRDefault="002B40DC" w:rsidP="008738F2">
            <w:pPr>
              <w:spacing w:after="60"/>
              <w:rPr>
                <w:rFonts w:ascii="Arial" w:hAnsi="Arial" w:cs="Arial"/>
                <w:sz w:val="20"/>
                <w:szCs w:val="20"/>
              </w:rPr>
            </w:pPr>
            <w:proofErr w:type="gramStart"/>
            <w:smartTag w:uri="urn:schemas-microsoft-com:office:smarttags" w:element="place">
              <w:smartTag w:uri="urn:schemas-microsoft-com:office:smarttags" w:element="City">
                <w:r>
                  <w:rPr>
                    <w:rFonts w:ascii="Arial" w:hAnsi="Arial" w:cs="Arial"/>
                    <w:sz w:val="20"/>
                    <w:szCs w:val="20"/>
                  </w:rPr>
                  <w:t>GULKANA</w:t>
                </w:r>
              </w:smartTag>
              <w:r>
                <w:rPr>
                  <w:rFonts w:ascii="Arial" w:hAnsi="Arial" w:cs="Arial"/>
                  <w:sz w:val="20"/>
                  <w:szCs w:val="20"/>
                </w:rPr>
                <w:t>,</w:t>
              </w:r>
              <w:smartTag w:uri="urn:schemas-microsoft-com:office:smarttags" w:element="State">
                <w:r>
                  <w:rPr>
                    <w:rFonts w:ascii="Arial" w:hAnsi="Arial" w:cs="Arial"/>
                    <w:sz w:val="20"/>
                    <w:szCs w:val="20"/>
                  </w:rPr>
                  <w:t>AK</w:t>
                </w:r>
              </w:smartTag>
            </w:smartTag>
            <w:proofErr w:type="gramEnd"/>
          </w:p>
        </w:tc>
        <w:tc>
          <w:tcPr>
            <w:tcW w:w="629" w:type="dxa"/>
            <w:tcBorders>
              <w:top w:val="nil"/>
              <w:left w:val="nil"/>
              <w:bottom w:val="single" w:sz="4" w:space="0" w:color="auto"/>
              <w:right w:val="single" w:sz="4" w:space="0" w:color="auto"/>
            </w:tcBorders>
            <w:noWrap/>
            <w:vAlign w:val="center"/>
          </w:tcPr>
          <w:p w14:paraId="2A59F46A" w14:textId="77777777" w:rsidR="002B40DC" w:rsidRDefault="002B40DC" w:rsidP="008738F2">
            <w:pPr>
              <w:spacing w:after="60"/>
              <w:jc w:val="right"/>
              <w:rPr>
                <w:rFonts w:ascii="Arial" w:hAnsi="Arial" w:cs="Arial"/>
                <w:i/>
                <w:iCs/>
                <w:sz w:val="20"/>
                <w:szCs w:val="20"/>
              </w:rPr>
            </w:pPr>
            <w:r>
              <w:rPr>
                <w:rFonts w:ascii="Arial" w:hAnsi="Arial" w:cs="Arial"/>
                <w:i/>
                <w:iCs/>
                <w:sz w:val="20"/>
                <w:szCs w:val="20"/>
              </w:rPr>
              <w:t>56</w:t>
            </w:r>
          </w:p>
        </w:tc>
        <w:tc>
          <w:tcPr>
            <w:tcW w:w="597" w:type="dxa"/>
            <w:tcBorders>
              <w:top w:val="nil"/>
              <w:left w:val="nil"/>
              <w:bottom w:val="single" w:sz="4" w:space="0" w:color="auto"/>
              <w:right w:val="single" w:sz="4" w:space="0" w:color="auto"/>
            </w:tcBorders>
            <w:noWrap/>
            <w:vAlign w:val="center"/>
          </w:tcPr>
          <w:p w14:paraId="58024A77" w14:textId="77777777" w:rsidR="002B40DC" w:rsidRDefault="002B40DC" w:rsidP="008738F2">
            <w:pPr>
              <w:spacing w:after="60"/>
              <w:jc w:val="right"/>
              <w:rPr>
                <w:rFonts w:ascii="Arial" w:hAnsi="Arial" w:cs="Arial"/>
                <w:sz w:val="20"/>
                <w:szCs w:val="20"/>
              </w:rPr>
            </w:pPr>
            <w:r>
              <w:rPr>
                <w:rFonts w:ascii="Arial" w:hAnsi="Arial" w:cs="Arial"/>
                <w:sz w:val="20"/>
                <w:szCs w:val="20"/>
              </w:rPr>
              <w:t>7.5</w:t>
            </w:r>
          </w:p>
        </w:tc>
        <w:tc>
          <w:tcPr>
            <w:tcW w:w="597" w:type="dxa"/>
            <w:tcBorders>
              <w:top w:val="nil"/>
              <w:left w:val="nil"/>
              <w:bottom w:val="single" w:sz="4" w:space="0" w:color="auto"/>
              <w:right w:val="single" w:sz="4" w:space="0" w:color="auto"/>
            </w:tcBorders>
            <w:noWrap/>
            <w:vAlign w:val="center"/>
          </w:tcPr>
          <w:p w14:paraId="6AEFADC4" w14:textId="77777777" w:rsidR="002B40DC" w:rsidRDefault="002B40DC" w:rsidP="008738F2">
            <w:pPr>
              <w:spacing w:after="60"/>
              <w:jc w:val="right"/>
              <w:rPr>
                <w:rFonts w:ascii="Arial" w:hAnsi="Arial" w:cs="Arial"/>
                <w:sz w:val="20"/>
                <w:szCs w:val="20"/>
              </w:rPr>
            </w:pPr>
            <w:r>
              <w:rPr>
                <w:rFonts w:ascii="Arial" w:hAnsi="Arial" w:cs="Arial"/>
                <w:sz w:val="20"/>
                <w:szCs w:val="20"/>
              </w:rPr>
              <w:t>7.4</w:t>
            </w:r>
          </w:p>
        </w:tc>
        <w:tc>
          <w:tcPr>
            <w:tcW w:w="676" w:type="dxa"/>
            <w:tcBorders>
              <w:top w:val="nil"/>
              <w:left w:val="nil"/>
              <w:bottom w:val="single" w:sz="4" w:space="0" w:color="auto"/>
              <w:right w:val="single" w:sz="4" w:space="0" w:color="auto"/>
            </w:tcBorders>
            <w:noWrap/>
            <w:vAlign w:val="center"/>
          </w:tcPr>
          <w:p w14:paraId="07EA1FAF" w14:textId="77777777" w:rsidR="002B40DC" w:rsidRDefault="002B40DC" w:rsidP="008738F2">
            <w:pPr>
              <w:spacing w:after="60"/>
              <w:jc w:val="right"/>
              <w:rPr>
                <w:rFonts w:ascii="Arial" w:hAnsi="Arial" w:cs="Arial"/>
                <w:sz w:val="20"/>
                <w:szCs w:val="20"/>
              </w:rPr>
            </w:pPr>
            <w:r>
              <w:rPr>
                <w:rFonts w:ascii="Arial" w:hAnsi="Arial" w:cs="Arial"/>
                <w:sz w:val="20"/>
                <w:szCs w:val="20"/>
              </w:rPr>
              <w:t>5.4</w:t>
            </w:r>
          </w:p>
        </w:tc>
        <w:tc>
          <w:tcPr>
            <w:tcW w:w="629" w:type="dxa"/>
            <w:tcBorders>
              <w:top w:val="nil"/>
              <w:left w:val="nil"/>
              <w:bottom w:val="single" w:sz="4" w:space="0" w:color="auto"/>
              <w:right w:val="single" w:sz="4" w:space="0" w:color="auto"/>
            </w:tcBorders>
            <w:noWrap/>
            <w:vAlign w:val="center"/>
          </w:tcPr>
          <w:p w14:paraId="3BCE2A35" w14:textId="77777777" w:rsidR="002B40DC" w:rsidRDefault="002B40DC" w:rsidP="008738F2">
            <w:pPr>
              <w:spacing w:after="60"/>
              <w:jc w:val="right"/>
              <w:rPr>
                <w:rFonts w:ascii="Arial" w:hAnsi="Arial" w:cs="Arial"/>
                <w:sz w:val="20"/>
                <w:szCs w:val="20"/>
              </w:rPr>
            </w:pPr>
            <w:r>
              <w:rPr>
                <w:rFonts w:ascii="Arial" w:hAnsi="Arial" w:cs="Arial"/>
                <w:sz w:val="20"/>
                <w:szCs w:val="20"/>
              </w:rPr>
              <w:t>2.6</w:t>
            </w:r>
          </w:p>
        </w:tc>
        <w:tc>
          <w:tcPr>
            <w:tcW w:w="660" w:type="dxa"/>
            <w:tcBorders>
              <w:top w:val="nil"/>
              <w:left w:val="nil"/>
              <w:bottom w:val="single" w:sz="4" w:space="0" w:color="auto"/>
              <w:right w:val="single" w:sz="4" w:space="0" w:color="auto"/>
            </w:tcBorders>
            <w:noWrap/>
            <w:vAlign w:val="center"/>
          </w:tcPr>
          <w:p w14:paraId="6F35FE7B" w14:textId="77777777" w:rsidR="002B40DC" w:rsidRDefault="002B40DC" w:rsidP="008738F2">
            <w:pPr>
              <w:spacing w:after="60"/>
              <w:jc w:val="right"/>
              <w:rPr>
                <w:rFonts w:ascii="Arial" w:hAnsi="Arial" w:cs="Arial"/>
                <w:sz w:val="20"/>
                <w:szCs w:val="20"/>
              </w:rPr>
            </w:pPr>
            <w:r>
              <w:rPr>
                <w:rFonts w:ascii="Arial" w:hAnsi="Arial" w:cs="Arial"/>
                <w:sz w:val="20"/>
                <w:szCs w:val="20"/>
              </w:rPr>
              <w:t>0.6</w:t>
            </w:r>
          </w:p>
        </w:tc>
        <w:tc>
          <w:tcPr>
            <w:tcW w:w="596" w:type="dxa"/>
            <w:tcBorders>
              <w:top w:val="nil"/>
              <w:left w:val="nil"/>
              <w:bottom w:val="single" w:sz="4" w:space="0" w:color="auto"/>
              <w:right w:val="single" w:sz="4" w:space="0" w:color="auto"/>
            </w:tcBorders>
            <w:noWrap/>
            <w:vAlign w:val="center"/>
          </w:tcPr>
          <w:p w14:paraId="05709C9D" w14:textId="77777777" w:rsidR="002B40DC" w:rsidRDefault="002B40DC" w:rsidP="008738F2">
            <w:pPr>
              <w:spacing w:after="60"/>
              <w:jc w:val="right"/>
              <w:rPr>
                <w:rFonts w:ascii="Arial" w:hAnsi="Arial" w:cs="Arial"/>
                <w:sz w:val="20"/>
                <w:szCs w:val="20"/>
              </w:rPr>
            </w:pPr>
            <w:r>
              <w:rPr>
                <w:rFonts w:ascii="Arial" w:hAnsi="Arial" w:cs="Arial"/>
                <w:sz w:val="20"/>
                <w:szCs w:val="20"/>
              </w:rPr>
              <w:t>0</w:t>
            </w:r>
          </w:p>
        </w:tc>
        <w:tc>
          <w:tcPr>
            <w:tcW w:w="549" w:type="dxa"/>
            <w:tcBorders>
              <w:top w:val="nil"/>
              <w:left w:val="nil"/>
              <w:bottom w:val="single" w:sz="4" w:space="0" w:color="auto"/>
              <w:right w:val="single" w:sz="4" w:space="0" w:color="auto"/>
            </w:tcBorders>
            <w:noWrap/>
            <w:vAlign w:val="center"/>
          </w:tcPr>
          <w:p w14:paraId="4C34E41D" w14:textId="77777777" w:rsidR="002B40DC" w:rsidRDefault="002B40DC" w:rsidP="008738F2">
            <w:pPr>
              <w:spacing w:after="60"/>
              <w:jc w:val="right"/>
              <w:rPr>
                <w:rFonts w:ascii="Arial" w:hAnsi="Arial" w:cs="Arial"/>
                <w:sz w:val="20"/>
                <w:szCs w:val="20"/>
              </w:rPr>
            </w:pPr>
            <w:r>
              <w:rPr>
                <w:rFonts w:ascii="Arial" w:hAnsi="Arial" w:cs="Arial"/>
                <w:sz w:val="20"/>
                <w:szCs w:val="20"/>
              </w:rPr>
              <w:t>T</w:t>
            </w:r>
          </w:p>
        </w:tc>
        <w:tc>
          <w:tcPr>
            <w:tcW w:w="660" w:type="dxa"/>
            <w:tcBorders>
              <w:top w:val="nil"/>
              <w:left w:val="nil"/>
              <w:bottom w:val="single" w:sz="4" w:space="0" w:color="auto"/>
              <w:right w:val="single" w:sz="4" w:space="0" w:color="auto"/>
            </w:tcBorders>
            <w:noWrap/>
            <w:vAlign w:val="center"/>
          </w:tcPr>
          <w:p w14:paraId="24200567" w14:textId="77777777" w:rsidR="002B40DC" w:rsidRDefault="002B40DC" w:rsidP="008738F2">
            <w:pPr>
              <w:spacing w:after="60"/>
              <w:jc w:val="right"/>
              <w:rPr>
                <w:rFonts w:ascii="Arial" w:hAnsi="Arial" w:cs="Arial"/>
                <w:sz w:val="20"/>
                <w:szCs w:val="20"/>
              </w:rPr>
            </w:pPr>
            <w:r>
              <w:rPr>
                <w:rFonts w:ascii="Arial" w:hAnsi="Arial" w:cs="Arial"/>
                <w:sz w:val="20"/>
                <w:szCs w:val="20"/>
              </w:rPr>
              <w:t>0.1</w:t>
            </w:r>
          </w:p>
        </w:tc>
        <w:tc>
          <w:tcPr>
            <w:tcW w:w="613" w:type="dxa"/>
            <w:tcBorders>
              <w:top w:val="nil"/>
              <w:left w:val="nil"/>
              <w:bottom w:val="single" w:sz="4" w:space="0" w:color="auto"/>
              <w:right w:val="single" w:sz="4" w:space="0" w:color="auto"/>
            </w:tcBorders>
            <w:noWrap/>
            <w:vAlign w:val="center"/>
          </w:tcPr>
          <w:p w14:paraId="7B7C043A" w14:textId="77777777" w:rsidR="002B40DC" w:rsidRDefault="002B40DC" w:rsidP="008738F2">
            <w:pPr>
              <w:spacing w:after="60"/>
              <w:jc w:val="right"/>
              <w:rPr>
                <w:rFonts w:ascii="Arial" w:hAnsi="Arial" w:cs="Arial"/>
                <w:sz w:val="20"/>
                <w:szCs w:val="20"/>
              </w:rPr>
            </w:pPr>
            <w:r>
              <w:rPr>
                <w:rFonts w:ascii="Arial" w:hAnsi="Arial" w:cs="Arial"/>
                <w:sz w:val="20"/>
                <w:szCs w:val="20"/>
              </w:rPr>
              <w:t>1.1</w:t>
            </w:r>
          </w:p>
        </w:tc>
        <w:tc>
          <w:tcPr>
            <w:tcW w:w="644" w:type="dxa"/>
            <w:tcBorders>
              <w:top w:val="nil"/>
              <w:left w:val="nil"/>
              <w:bottom w:val="single" w:sz="4" w:space="0" w:color="auto"/>
              <w:right w:val="single" w:sz="4" w:space="0" w:color="auto"/>
            </w:tcBorders>
            <w:noWrap/>
            <w:vAlign w:val="center"/>
          </w:tcPr>
          <w:p w14:paraId="5FBB0DAB" w14:textId="77777777" w:rsidR="002B40DC" w:rsidRDefault="002B40DC" w:rsidP="008738F2">
            <w:pPr>
              <w:spacing w:after="60"/>
              <w:jc w:val="right"/>
              <w:rPr>
                <w:rFonts w:ascii="Arial" w:hAnsi="Arial" w:cs="Arial"/>
                <w:sz w:val="20"/>
                <w:szCs w:val="20"/>
              </w:rPr>
            </w:pPr>
            <w:r>
              <w:rPr>
                <w:rFonts w:ascii="Arial" w:hAnsi="Arial" w:cs="Arial"/>
                <w:sz w:val="20"/>
                <w:szCs w:val="20"/>
              </w:rPr>
              <w:t>8.3</w:t>
            </w:r>
          </w:p>
        </w:tc>
        <w:tc>
          <w:tcPr>
            <w:tcW w:w="660" w:type="dxa"/>
            <w:tcBorders>
              <w:top w:val="nil"/>
              <w:left w:val="nil"/>
              <w:bottom w:val="single" w:sz="4" w:space="0" w:color="auto"/>
              <w:right w:val="single" w:sz="4" w:space="0" w:color="auto"/>
            </w:tcBorders>
            <w:noWrap/>
            <w:vAlign w:val="center"/>
          </w:tcPr>
          <w:p w14:paraId="260848D7" w14:textId="77777777" w:rsidR="002B40DC" w:rsidRDefault="002B40DC" w:rsidP="008738F2">
            <w:pPr>
              <w:spacing w:after="60"/>
              <w:jc w:val="right"/>
              <w:rPr>
                <w:rFonts w:ascii="Arial" w:hAnsi="Arial" w:cs="Arial"/>
                <w:sz w:val="20"/>
                <w:szCs w:val="20"/>
              </w:rPr>
            </w:pPr>
            <w:r>
              <w:rPr>
                <w:rFonts w:ascii="Arial" w:hAnsi="Arial" w:cs="Arial"/>
                <w:sz w:val="20"/>
                <w:szCs w:val="20"/>
              </w:rPr>
              <w:t>8.9</w:t>
            </w:r>
          </w:p>
        </w:tc>
        <w:tc>
          <w:tcPr>
            <w:tcW w:w="644" w:type="dxa"/>
            <w:tcBorders>
              <w:top w:val="nil"/>
              <w:left w:val="nil"/>
              <w:bottom w:val="single" w:sz="4" w:space="0" w:color="auto"/>
              <w:right w:val="single" w:sz="4" w:space="0" w:color="auto"/>
            </w:tcBorders>
            <w:noWrap/>
            <w:vAlign w:val="center"/>
          </w:tcPr>
          <w:p w14:paraId="26DF3347" w14:textId="77777777" w:rsidR="002B40DC" w:rsidRDefault="002B40DC" w:rsidP="008738F2">
            <w:pPr>
              <w:spacing w:after="60"/>
              <w:jc w:val="right"/>
              <w:rPr>
                <w:rFonts w:ascii="Arial" w:hAnsi="Arial" w:cs="Arial"/>
                <w:sz w:val="20"/>
                <w:szCs w:val="20"/>
              </w:rPr>
            </w:pPr>
            <w:r>
              <w:rPr>
                <w:rFonts w:ascii="Arial" w:hAnsi="Arial" w:cs="Arial"/>
                <w:sz w:val="20"/>
                <w:szCs w:val="20"/>
              </w:rPr>
              <w:t>10.3</w:t>
            </w:r>
          </w:p>
        </w:tc>
        <w:tc>
          <w:tcPr>
            <w:tcW w:w="755" w:type="dxa"/>
            <w:tcBorders>
              <w:top w:val="nil"/>
              <w:left w:val="nil"/>
              <w:bottom w:val="single" w:sz="4" w:space="0" w:color="auto"/>
              <w:right w:val="single" w:sz="4" w:space="0" w:color="auto"/>
            </w:tcBorders>
            <w:noWrap/>
            <w:vAlign w:val="center"/>
          </w:tcPr>
          <w:p w14:paraId="5BBEF618" w14:textId="77777777" w:rsidR="002B40DC" w:rsidRDefault="002B40DC" w:rsidP="008738F2">
            <w:pPr>
              <w:spacing w:after="60"/>
              <w:jc w:val="right"/>
              <w:rPr>
                <w:rFonts w:ascii="Arial" w:hAnsi="Arial" w:cs="Arial"/>
                <w:i/>
                <w:iCs/>
                <w:sz w:val="20"/>
                <w:szCs w:val="20"/>
              </w:rPr>
            </w:pPr>
            <w:r>
              <w:rPr>
                <w:rFonts w:ascii="Arial" w:hAnsi="Arial" w:cs="Arial"/>
                <w:i/>
                <w:iCs/>
                <w:sz w:val="20"/>
                <w:szCs w:val="20"/>
              </w:rPr>
              <w:t>52.2</w:t>
            </w:r>
          </w:p>
        </w:tc>
      </w:tr>
      <w:tr w:rsidR="002B40DC" w14:paraId="54025283" w14:textId="77777777" w:rsidTr="00915E78">
        <w:trPr>
          <w:trHeight w:val="255"/>
          <w:jc w:val="center"/>
        </w:trPr>
        <w:tc>
          <w:tcPr>
            <w:tcW w:w="3031" w:type="dxa"/>
            <w:tcBorders>
              <w:top w:val="nil"/>
              <w:left w:val="single" w:sz="4" w:space="0" w:color="auto"/>
              <w:bottom w:val="single" w:sz="4" w:space="0" w:color="auto"/>
              <w:right w:val="single" w:sz="4" w:space="0" w:color="auto"/>
            </w:tcBorders>
            <w:noWrap/>
            <w:vAlign w:val="center"/>
          </w:tcPr>
          <w:p w14:paraId="72BC8B47" w14:textId="77777777" w:rsidR="002B40DC" w:rsidRDefault="002B40DC" w:rsidP="008738F2">
            <w:pPr>
              <w:spacing w:after="60"/>
              <w:rPr>
                <w:rFonts w:ascii="Arial" w:hAnsi="Arial" w:cs="Arial"/>
                <w:sz w:val="20"/>
                <w:szCs w:val="20"/>
              </w:rPr>
            </w:pPr>
            <w:r>
              <w:rPr>
                <w:rFonts w:ascii="Arial" w:hAnsi="Arial" w:cs="Arial"/>
                <w:sz w:val="20"/>
                <w:szCs w:val="20"/>
              </w:rPr>
              <w:t>HOMER, AK</w:t>
            </w:r>
          </w:p>
        </w:tc>
        <w:tc>
          <w:tcPr>
            <w:tcW w:w="629" w:type="dxa"/>
            <w:tcBorders>
              <w:top w:val="nil"/>
              <w:left w:val="nil"/>
              <w:bottom w:val="single" w:sz="4" w:space="0" w:color="auto"/>
              <w:right w:val="single" w:sz="4" w:space="0" w:color="auto"/>
            </w:tcBorders>
            <w:noWrap/>
            <w:vAlign w:val="center"/>
          </w:tcPr>
          <w:p w14:paraId="46381B6D" w14:textId="77777777" w:rsidR="002B40DC" w:rsidRDefault="002B40DC" w:rsidP="008738F2">
            <w:pPr>
              <w:spacing w:after="60"/>
              <w:jc w:val="right"/>
              <w:rPr>
                <w:rFonts w:ascii="Arial" w:hAnsi="Arial" w:cs="Arial"/>
                <w:i/>
                <w:iCs/>
                <w:sz w:val="20"/>
                <w:szCs w:val="20"/>
              </w:rPr>
            </w:pPr>
            <w:r>
              <w:rPr>
                <w:rFonts w:ascii="Arial" w:hAnsi="Arial" w:cs="Arial"/>
                <w:i/>
                <w:iCs/>
                <w:sz w:val="20"/>
                <w:szCs w:val="20"/>
              </w:rPr>
              <w:t>54</w:t>
            </w:r>
          </w:p>
        </w:tc>
        <w:tc>
          <w:tcPr>
            <w:tcW w:w="597" w:type="dxa"/>
            <w:tcBorders>
              <w:top w:val="nil"/>
              <w:left w:val="nil"/>
              <w:bottom w:val="single" w:sz="4" w:space="0" w:color="auto"/>
              <w:right w:val="single" w:sz="4" w:space="0" w:color="auto"/>
            </w:tcBorders>
            <w:noWrap/>
            <w:vAlign w:val="center"/>
          </w:tcPr>
          <w:p w14:paraId="71810F85" w14:textId="77777777" w:rsidR="002B40DC" w:rsidRDefault="002B40DC" w:rsidP="008738F2">
            <w:pPr>
              <w:spacing w:after="60"/>
              <w:jc w:val="right"/>
              <w:rPr>
                <w:rFonts w:ascii="Arial" w:hAnsi="Arial" w:cs="Arial"/>
                <w:sz w:val="20"/>
                <w:szCs w:val="20"/>
              </w:rPr>
            </w:pPr>
            <w:r>
              <w:rPr>
                <w:rFonts w:ascii="Arial" w:hAnsi="Arial" w:cs="Arial"/>
                <w:sz w:val="20"/>
                <w:szCs w:val="20"/>
              </w:rPr>
              <w:t>10.3</w:t>
            </w:r>
          </w:p>
        </w:tc>
        <w:tc>
          <w:tcPr>
            <w:tcW w:w="597" w:type="dxa"/>
            <w:tcBorders>
              <w:top w:val="nil"/>
              <w:left w:val="nil"/>
              <w:bottom w:val="single" w:sz="4" w:space="0" w:color="auto"/>
              <w:right w:val="single" w:sz="4" w:space="0" w:color="auto"/>
            </w:tcBorders>
            <w:noWrap/>
            <w:vAlign w:val="center"/>
          </w:tcPr>
          <w:p w14:paraId="7F3D42DF" w14:textId="77777777" w:rsidR="002B40DC" w:rsidRDefault="002B40DC" w:rsidP="008738F2">
            <w:pPr>
              <w:spacing w:after="60"/>
              <w:jc w:val="right"/>
              <w:rPr>
                <w:rFonts w:ascii="Arial" w:hAnsi="Arial" w:cs="Arial"/>
                <w:sz w:val="20"/>
                <w:szCs w:val="20"/>
              </w:rPr>
            </w:pPr>
            <w:r>
              <w:rPr>
                <w:rFonts w:ascii="Arial" w:hAnsi="Arial" w:cs="Arial"/>
                <w:sz w:val="20"/>
                <w:szCs w:val="20"/>
              </w:rPr>
              <w:t>12</w:t>
            </w:r>
          </w:p>
        </w:tc>
        <w:tc>
          <w:tcPr>
            <w:tcW w:w="676" w:type="dxa"/>
            <w:tcBorders>
              <w:top w:val="nil"/>
              <w:left w:val="nil"/>
              <w:bottom w:val="single" w:sz="4" w:space="0" w:color="auto"/>
              <w:right w:val="single" w:sz="4" w:space="0" w:color="auto"/>
            </w:tcBorders>
            <w:noWrap/>
            <w:vAlign w:val="center"/>
          </w:tcPr>
          <w:p w14:paraId="6C3B5208" w14:textId="77777777" w:rsidR="002B40DC" w:rsidRDefault="002B40DC" w:rsidP="008738F2">
            <w:pPr>
              <w:spacing w:after="60"/>
              <w:jc w:val="right"/>
              <w:rPr>
                <w:rFonts w:ascii="Arial" w:hAnsi="Arial" w:cs="Arial"/>
                <w:sz w:val="20"/>
                <w:szCs w:val="20"/>
              </w:rPr>
            </w:pPr>
            <w:r>
              <w:rPr>
                <w:rFonts w:ascii="Arial" w:hAnsi="Arial" w:cs="Arial"/>
                <w:sz w:val="20"/>
                <w:szCs w:val="20"/>
              </w:rPr>
              <w:t>9.4</w:t>
            </w:r>
          </w:p>
        </w:tc>
        <w:tc>
          <w:tcPr>
            <w:tcW w:w="629" w:type="dxa"/>
            <w:tcBorders>
              <w:top w:val="nil"/>
              <w:left w:val="nil"/>
              <w:bottom w:val="single" w:sz="4" w:space="0" w:color="auto"/>
              <w:right w:val="single" w:sz="4" w:space="0" w:color="auto"/>
            </w:tcBorders>
            <w:noWrap/>
            <w:vAlign w:val="center"/>
          </w:tcPr>
          <w:p w14:paraId="3AC6E1D6" w14:textId="77777777" w:rsidR="002B40DC" w:rsidRDefault="002B40DC" w:rsidP="008738F2">
            <w:pPr>
              <w:spacing w:after="60"/>
              <w:jc w:val="right"/>
              <w:rPr>
                <w:rFonts w:ascii="Arial" w:hAnsi="Arial" w:cs="Arial"/>
                <w:sz w:val="20"/>
                <w:szCs w:val="20"/>
              </w:rPr>
            </w:pPr>
            <w:r>
              <w:rPr>
                <w:rFonts w:ascii="Arial" w:hAnsi="Arial" w:cs="Arial"/>
                <w:sz w:val="20"/>
                <w:szCs w:val="20"/>
              </w:rPr>
              <w:t>3.1</w:t>
            </w:r>
          </w:p>
        </w:tc>
        <w:tc>
          <w:tcPr>
            <w:tcW w:w="660" w:type="dxa"/>
            <w:tcBorders>
              <w:top w:val="nil"/>
              <w:left w:val="nil"/>
              <w:bottom w:val="single" w:sz="4" w:space="0" w:color="auto"/>
              <w:right w:val="single" w:sz="4" w:space="0" w:color="auto"/>
            </w:tcBorders>
            <w:noWrap/>
            <w:vAlign w:val="center"/>
          </w:tcPr>
          <w:p w14:paraId="7AD29BFD" w14:textId="77777777" w:rsidR="002B40DC" w:rsidRDefault="002B40DC" w:rsidP="008738F2">
            <w:pPr>
              <w:spacing w:after="60"/>
              <w:jc w:val="right"/>
              <w:rPr>
                <w:rFonts w:ascii="Arial" w:hAnsi="Arial" w:cs="Arial"/>
                <w:sz w:val="20"/>
                <w:szCs w:val="20"/>
              </w:rPr>
            </w:pPr>
            <w:r>
              <w:rPr>
                <w:rFonts w:ascii="Arial" w:hAnsi="Arial" w:cs="Arial"/>
                <w:sz w:val="20"/>
                <w:szCs w:val="20"/>
              </w:rPr>
              <w:t>0.4</w:t>
            </w:r>
          </w:p>
        </w:tc>
        <w:tc>
          <w:tcPr>
            <w:tcW w:w="596" w:type="dxa"/>
            <w:tcBorders>
              <w:top w:val="nil"/>
              <w:left w:val="nil"/>
              <w:bottom w:val="single" w:sz="4" w:space="0" w:color="auto"/>
              <w:right w:val="single" w:sz="4" w:space="0" w:color="auto"/>
            </w:tcBorders>
            <w:noWrap/>
            <w:vAlign w:val="center"/>
          </w:tcPr>
          <w:p w14:paraId="7CB74386" w14:textId="77777777" w:rsidR="002B40DC" w:rsidRDefault="002B40DC" w:rsidP="008738F2">
            <w:pPr>
              <w:spacing w:after="60"/>
              <w:jc w:val="right"/>
              <w:rPr>
                <w:rFonts w:ascii="Arial" w:hAnsi="Arial" w:cs="Arial"/>
                <w:sz w:val="20"/>
                <w:szCs w:val="20"/>
              </w:rPr>
            </w:pPr>
            <w:r>
              <w:rPr>
                <w:rFonts w:ascii="Arial" w:hAnsi="Arial" w:cs="Arial"/>
                <w:sz w:val="20"/>
                <w:szCs w:val="20"/>
              </w:rPr>
              <w:t>T</w:t>
            </w:r>
          </w:p>
        </w:tc>
        <w:tc>
          <w:tcPr>
            <w:tcW w:w="549" w:type="dxa"/>
            <w:tcBorders>
              <w:top w:val="nil"/>
              <w:left w:val="nil"/>
              <w:bottom w:val="single" w:sz="4" w:space="0" w:color="auto"/>
              <w:right w:val="single" w:sz="4" w:space="0" w:color="auto"/>
            </w:tcBorders>
            <w:noWrap/>
            <w:vAlign w:val="center"/>
          </w:tcPr>
          <w:p w14:paraId="1DA66D62" w14:textId="77777777" w:rsidR="002B40DC" w:rsidRDefault="002B40DC" w:rsidP="008738F2">
            <w:pPr>
              <w:spacing w:after="60"/>
              <w:jc w:val="right"/>
              <w:rPr>
                <w:rFonts w:ascii="Arial" w:hAnsi="Arial" w:cs="Arial"/>
                <w:sz w:val="20"/>
                <w:szCs w:val="20"/>
              </w:rPr>
            </w:pPr>
            <w:r>
              <w:rPr>
                <w:rFonts w:ascii="Arial" w:hAnsi="Arial" w:cs="Arial"/>
                <w:sz w:val="20"/>
                <w:szCs w:val="20"/>
              </w:rPr>
              <w:t>0</w:t>
            </w:r>
          </w:p>
        </w:tc>
        <w:tc>
          <w:tcPr>
            <w:tcW w:w="660" w:type="dxa"/>
            <w:tcBorders>
              <w:top w:val="nil"/>
              <w:left w:val="nil"/>
              <w:bottom w:val="single" w:sz="4" w:space="0" w:color="auto"/>
              <w:right w:val="single" w:sz="4" w:space="0" w:color="auto"/>
            </w:tcBorders>
            <w:noWrap/>
            <w:vAlign w:val="center"/>
          </w:tcPr>
          <w:p w14:paraId="14BF0C44" w14:textId="77777777" w:rsidR="002B40DC" w:rsidRDefault="002B40DC" w:rsidP="008738F2">
            <w:pPr>
              <w:spacing w:after="60"/>
              <w:jc w:val="right"/>
              <w:rPr>
                <w:rFonts w:ascii="Arial" w:hAnsi="Arial" w:cs="Arial"/>
                <w:sz w:val="20"/>
                <w:szCs w:val="20"/>
              </w:rPr>
            </w:pPr>
            <w:r>
              <w:rPr>
                <w:rFonts w:ascii="Arial" w:hAnsi="Arial" w:cs="Arial"/>
                <w:sz w:val="20"/>
                <w:szCs w:val="20"/>
              </w:rPr>
              <w:t>0</w:t>
            </w:r>
          </w:p>
        </w:tc>
        <w:tc>
          <w:tcPr>
            <w:tcW w:w="613" w:type="dxa"/>
            <w:tcBorders>
              <w:top w:val="nil"/>
              <w:left w:val="nil"/>
              <w:bottom w:val="single" w:sz="4" w:space="0" w:color="auto"/>
              <w:right w:val="single" w:sz="4" w:space="0" w:color="auto"/>
            </w:tcBorders>
            <w:noWrap/>
            <w:vAlign w:val="center"/>
          </w:tcPr>
          <w:p w14:paraId="00464102" w14:textId="77777777" w:rsidR="002B40DC" w:rsidRDefault="002B40DC" w:rsidP="008738F2">
            <w:pPr>
              <w:spacing w:after="60"/>
              <w:jc w:val="right"/>
              <w:rPr>
                <w:rFonts w:ascii="Arial" w:hAnsi="Arial" w:cs="Arial"/>
                <w:sz w:val="20"/>
                <w:szCs w:val="20"/>
              </w:rPr>
            </w:pPr>
            <w:r>
              <w:rPr>
                <w:rFonts w:ascii="Arial" w:hAnsi="Arial" w:cs="Arial"/>
                <w:sz w:val="20"/>
                <w:szCs w:val="20"/>
              </w:rPr>
              <w:t>T</w:t>
            </w:r>
          </w:p>
        </w:tc>
        <w:tc>
          <w:tcPr>
            <w:tcW w:w="644" w:type="dxa"/>
            <w:tcBorders>
              <w:top w:val="nil"/>
              <w:left w:val="nil"/>
              <w:bottom w:val="single" w:sz="4" w:space="0" w:color="auto"/>
              <w:right w:val="single" w:sz="4" w:space="0" w:color="auto"/>
            </w:tcBorders>
            <w:noWrap/>
            <w:vAlign w:val="center"/>
          </w:tcPr>
          <w:p w14:paraId="223894F6" w14:textId="77777777" w:rsidR="002B40DC" w:rsidRDefault="002B40DC" w:rsidP="008738F2">
            <w:pPr>
              <w:spacing w:after="60"/>
              <w:jc w:val="right"/>
              <w:rPr>
                <w:rFonts w:ascii="Arial" w:hAnsi="Arial" w:cs="Arial"/>
                <w:sz w:val="20"/>
                <w:szCs w:val="20"/>
              </w:rPr>
            </w:pPr>
            <w:r>
              <w:rPr>
                <w:rFonts w:ascii="Arial" w:hAnsi="Arial" w:cs="Arial"/>
                <w:sz w:val="20"/>
                <w:szCs w:val="20"/>
              </w:rPr>
              <w:t>2.4</w:t>
            </w:r>
          </w:p>
        </w:tc>
        <w:tc>
          <w:tcPr>
            <w:tcW w:w="660" w:type="dxa"/>
            <w:tcBorders>
              <w:top w:val="nil"/>
              <w:left w:val="nil"/>
              <w:bottom w:val="single" w:sz="4" w:space="0" w:color="auto"/>
              <w:right w:val="single" w:sz="4" w:space="0" w:color="auto"/>
            </w:tcBorders>
            <w:noWrap/>
            <w:vAlign w:val="center"/>
          </w:tcPr>
          <w:p w14:paraId="6FB773CA" w14:textId="77777777" w:rsidR="002B40DC" w:rsidRDefault="002B40DC" w:rsidP="008738F2">
            <w:pPr>
              <w:spacing w:after="60"/>
              <w:jc w:val="right"/>
              <w:rPr>
                <w:rFonts w:ascii="Arial" w:hAnsi="Arial" w:cs="Arial"/>
                <w:sz w:val="20"/>
                <w:szCs w:val="20"/>
              </w:rPr>
            </w:pPr>
            <w:r>
              <w:rPr>
                <w:rFonts w:ascii="Arial" w:hAnsi="Arial" w:cs="Arial"/>
                <w:sz w:val="20"/>
                <w:szCs w:val="20"/>
              </w:rPr>
              <w:t>7.2</w:t>
            </w:r>
          </w:p>
        </w:tc>
        <w:tc>
          <w:tcPr>
            <w:tcW w:w="644" w:type="dxa"/>
            <w:tcBorders>
              <w:top w:val="nil"/>
              <w:left w:val="nil"/>
              <w:bottom w:val="single" w:sz="4" w:space="0" w:color="auto"/>
              <w:right w:val="single" w:sz="4" w:space="0" w:color="auto"/>
            </w:tcBorders>
            <w:noWrap/>
            <w:vAlign w:val="center"/>
          </w:tcPr>
          <w:p w14:paraId="6BE1ED1D" w14:textId="77777777" w:rsidR="002B40DC" w:rsidRDefault="002B40DC" w:rsidP="008738F2">
            <w:pPr>
              <w:spacing w:after="60"/>
              <w:jc w:val="right"/>
              <w:rPr>
                <w:rFonts w:ascii="Arial" w:hAnsi="Arial" w:cs="Arial"/>
                <w:sz w:val="20"/>
                <w:szCs w:val="20"/>
              </w:rPr>
            </w:pPr>
            <w:r>
              <w:rPr>
                <w:rFonts w:ascii="Arial" w:hAnsi="Arial" w:cs="Arial"/>
                <w:sz w:val="20"/>
                <w:szCs w:val="20"/>
              </w:rPr>
              <w:t>13</w:t>
            </w:r>
          </w:p>
        </w:tc>
        <w:tc>
          <w:tcPr>
            <w:tcW w:w="755" w:type="dxa"/>
            <w:tcBorders>
              <w:top w:val="nil"/>
              <w:left w:val="nil"/>
              <w:bottom w:val="single" w:sz="4" w:space="0" w:color="auto"/>
              <w:right w:val="single" w:sz="4" w:space="0" w:color="auto"/>
            </w:tcBorders>
            <w:noWrap/>
            <w:vAlign w:val="center"/>
          </w:tcPr>
          <w:p w14:paraId="55525E8E" w14:textId="77777777" w:rsidR="002B40DC" w:rsidRDefault="002B40DC" w:rsidP="008738F2">
            <w:pPr>
              <w:spacing w:after="60"/>
              <w:jc w:val="right"/>
              <w:rPr>
                <w:rFonts w:ascii="Arial" w:hAnsi="Arial" w:cs="Arial"/>
                <w:i/>
                <w:iCs/>
                <w:sz w:val="20"/>
                <w:szCs w:val="20"/>
              </w:rPr>
            </w:pPr>
            <w:r>
              <w:rPr>
                <w:rFonts w:ascii="Arial" w:hAnsi="Arial" w:cs="Arial"/>
                <w:i/>
                <w:iCs/>
                <w:sz w:val="20"/>
                <w:szCs w:val="20"/>
              </w:rPr>
              <w:t>57.8</w:t>
            </w:r>
          </w:p>
        </w:tc>
      </w:tr>
      <w:tr w:rsidR="002B40DC" w14:paraId="61ADFDA4" w14:textId="77777777" w:rsidTr="00915E78">
        <w:trPr>
          <w:trHeight w:val="255"/>
          <w:jc w:val="center"/>
        </w:trPr>
        <w:tc>
          <w:tcPr>
            <w:tcW w:w="3031" w:type="dxa"/>
            <w:tcBorders>
              <w:top w:val="nil"/>
              <w:left w:val="single" w:sz="4" w:space="0" w:color="auto"/>
              <w:bottom w:val="single" w:sz="4" w:space="0" w:color="auto"/>
              <w:right w:val="single" w:sz="4" w:space="0" w:color="auto"/>
            </w:tcBorders>
            <w:noWrap/>
            <w:vAlign w:val="center"/>
          </w:tcPr>
          <w:p w14:paraId="78245F20" w14:textId="77777777" w:rsidR="002B40DC" w:rsidRDefault="002B40DC" w:rsidP="008738F2">
            <w:pPr>
              <w:spacing w:after="60"/>
              <w:rPr>
                <w:rFonts w:ascii="Arial" w:hAnsi="Arial" w:cs="Arial"/>
                <w:sz w:val="20"/>
                <w:szCs w:val="20"/>
              </w:rPr>
            </w:pPr>
            <w:smartTag w:uri="urn:schemas-microsoft-com:office:smarttags" w:element="place">
              <w:smartTag w:uri="urn:schemas-microsoft-com:office:smarttags" w:element="City">
                <w:r>
                  <w:rPr>
                    <w:rFonts w:ascii="Arial" w:hAnsi="Arial" w:cs="Arial"/>
                    <w:sz w:val="20"/>
                    <w:szCs w:val="20"/>
                  </w:rPr>
                  <w:t>JUNEAU</w:t>
                </w:r>
              </w:smartTag>
              <w:r>
                <w:rPr>
                  <w:rFonts w:ascii="Arial" w:hAnsi="Arial" w:cs="Arial"/>
                  <w:sz w:val="20"/>
                  <w:szCs w:val="20"/>
                </w:rPr>
                <w:t xml:space="preserve">, </w:t>
              </w:r>
              <w:smartTag w:uri="urn:schemas-microsoft-com:office:smarttags" w:element="State">
                <w:r>
                  <w:rPr>
                    <w:rFonts w:ascii="Arial" w:hAnsi="Arial" w:cs="Arial"/>
                    <w:sz w:val="20"/>
                    <w:szCs w:val="20"/>
                  </w:rPr>
                  <w:t>AK</w:t>
                </w:r>
              </w:smartTag>
            </w:smartTag>
          </w:p>
        </w:tc>
        <w:tc>
          <w:tcPr>
            <w:tcW w:w="629" w:type="dxa"/>
            <w:tcBorders>
              <w:top w:val="nil"/>
              <w:left w:val="nil"/>
              <w:bottom w:val="single" w:sz="4" w:space="0" w:color="auto"/>
              <w:right w:val="single" w:sz="4" w:space="0" w:color="auto"/>
            </w:tcBorders>
            <w:noWrap/>
            <w:vAlign w:val="center"/>
          </w:tcPr>
          <w:p w14:paraId="26625247" w14:textId="77777777" w:rsidR="002B40DC" w:rsidRDefault="002B40DC" w:rsidP="008738F2">
            <w:pPr>
              <w:spacing w:after="60"/>
              <w:jc w:val="right"/>
              <w:rPr>
                <w:rFonts w:ascii="Arial" w:hAnsi="Arial" w:cs="Arial"/>
                <w:i/>
                <w:iCs/>
                <w:sz w:val="20"/>
                <w:szCs w:val="20"/>
              </w:rPr>
            </w:pPr>
            <w:r>
              <w:rPr>
                <w:rFonts w:ascii="Arial" w:hAnsi="Arial" w:cs="Arial"/>
                <w:i/>
                <w:iCs/>
                <w:sz w:val="20"/>
                <w:szCs w:val="20"/>
              </w:rPr>
              <w:t>60</w:t>
            </w:r>
          </w:p>
        </w:tc>
        <w:tc>
          <w:tcPr>
            <w:tcW w:w="597" w:type="dxa"/>
            <w:tcBorders>
              <w:top w:val="nil"/>
              <w:left w:val="nil"/>
              <w:bottom w:val="single" w:sz="4" w:space="0" w:color="auto"/>
              <w:right w:val="single" w:sz="4" w:space="0" w:color="auto"/>
            </w:tcBorders>
            <w:noWrap/>
            <w:vAlign w:val="center"/>
          </w:tcPr>
          <w:p w14:paraId="24FB26D1" w14:textId="77777777" w:rsidR="002B40DC" w:rsidRDefault="002B40DC" w:rsidP="008738F2">
            <w:pPr>
              <w:spacing w:after="60"/>
              <w:jc w:val="right"/>
              <w:rPr>
                <w:rFonts w:ascii="Arial" w:hAnsi="Arial" w:cs="Arial"/>
                <w:sz w:val="20"/>
                <w:szCs w:val="20"/>
              </w:rPr>
            </w:pPr>
            <w:r>
              <w:rPr>
                <w:rFonts w:ascii="Arial" w:hAnsi="Arial" w:cs="Arial"/>
                <w:sz w:val="20"/>
                <w:szCs w:val="20"/>
              </w:rPr>
              <w:t>25.5</w:t>
            </w:r>
          </w:p>
        </w:tc>
        <w:tc>
          <w:tcPr>
            <w:tcW w:w="597" w:type="dxa"/>
            <w:tcBorders>
              <w:top w:val="nil"/>
              <w:left w:val="nil"/>
              <w:bottom w:val="single" w:sz="4" w:space="0" w:color="auto"/>
              <w:right w:val="single" w:sz="4" w:space="0" w:color="auto"/>
            </w:tcBorders>
            <w:noWrap/>
            <w:vAlign w:val="center"/>
          </w:tcPr>
          <w:p w14:paraId="520CDC2B" w14:textId="77777777" w:rsidR="002B40DC" w:rsidRDefault="002B40DC" w:rsidP="008738F2">
            <w:pPr>
              <w:spacing w:after="60"/>
              <w:jc w:val="right"/>
              <w:rPr>
                <w:rFonts w:ascii="Arial" w:hAnsi="Arial" w:cs="Arial"/>
                <w:sz w:val="20"/>
                <w:szCs w:val="20"/>
              </w:rPr>
            </w:pPr>
            <w:r>
              <w:rPr>
                <w:rFonts w:ascii="Arial" w:hAnsi="Arial" w:cs="Arial"/>
                <w:sz w:val="20"/>
                <w:szCs w:val="20"/>
              </w:rPr>
              <w:t>18.6</w:t>
            </w:r>
          </w:p>
        </w:tc>
        <w:tc>
          <w:tcPr>
            <w:tcW w:w="676" w:type="dxa"/>
            <w:tcBorders>
              <w:top w:val="nil"/>
              <w:left w:val="nil"/>
              <w:bottom w:val="single" w:sz="4" w:space="0" w:color="auto"/>
              <w:right w:val="single" w:sz="4" w:space="0" w:color="auto"/>
            </w:tcBorders>
            <w:noWrap/>
            <w:vAlign w:val="center"/>
          </w:tcPr>
          <w:p w14:paraId="526738F5" w14:textId="77777777" w:rsidR="002B40DC" w:rsidRDefault="002B40DC" w:rsidP="008738F2">
            <w:pPr>
              <w:spacing w:after="60"/>
              <w:jc w:val="right"/>
              <w:rPr>
                <w:rFonts w:ascii="Arial" w:hAnsi="Arial" w:cs="Arial"/>
                <w:sz w:val="20"/>
                <w:szCs w:val="20"/>
              </w:rPr>
            </w:pPr>
            <w:r>
              <w:rPr>
                <w:rFonts w:ascii="Arial" w:hAnsi="Arial" w:cs="Arial"/>
                <w:sz w:val="20"/>
                <w:szCs w:val="20"/>
              </w:rPr>
              <w:t>14.8</w:t>
            </w:r>
          </w:p>
        </w:tc>
        <w:tc>
          <w:tcPr>
            <w:tcW w:w="629" w:type="dxa"/>
            <w:tcBorders>
              <w:top w:val="nil"/>
              <w:left w:val="nil"/>
              <w:bottom w:val="single" w:sz="4" w:space="0" w:color="auto"/>
              <w:right w:val="single" w:sz="4" w:space="0" w:color="auto"/>
            </w:tcBorders>
            <w:noWrap/>
            <w:vAlign w:val="center"/>
          </w:tcPr>
          <w:p w14:paraId="5D00F8F3" w14:textId="77777777" w:rsidR="002B40DC" w:rsidRDefault="002B40DC" w:rsidP="008738F2">
            <w:pPr>
              <w:spacing w:after="60"/>
              <w:jc w:val="right"/>
              <w:rPr>
                <w:rFonts w:ascii="Arial" w:hAnsi="Arial" w:cs="Arial"/>
                <w:sz w:val="20"/>
                <w:szCs w:val="20"/>
              </w:rPr>
            </w:pPr>
            <w:r>
              <w:rPr>
                <w:rFonts w:ascii="Arial" w:hAnsi="Arial" w:cs="Arial"/>
                <w:sz w:val="20"/>
                <w:szCs w:val="20"/>
              </w:rPr>
              <w:t>3.3</w:t>
            </w:r>
          </w:p>
        </w:tc>
        <w:tc>
          <w:tcPr>
            <w:tcW w:w="660" w:type="dxa"/>
            <w:tcBorders>
              <w:top w:val="nil"/>
              <w:left w:val="nil"/>
              <w:bottom w:val="single" w:sz="4" w:space="0" w:color="auto"/>
              <w:right w:val="single" w:sz="4" w:space="0" w:color="auto"/>
            </w:tcBorders>
            <w:noWrap/>
            <w:vAlign w:val="center"/>
          </w:tcPr>
          <w:p w14:paraId="095B7C57" w14:textId="77777777" w:rsidR="002B40DC" w:rsidRDefault="002B40DC" w:rsidP="008738F2">
            <w:pPr>
              <w:spacing w:after="60"/>
              <w:jc w:val="right"/>
              <w:rPr>
                <w:rFonts w:ascii="Arial" w:hAnsi="Arial" w:cs="Arial"/>
                <w:sz w:val="20"/>
                <w:szCs w:val="20"/>
              </w:rPr>
            </w:pPr>
            <w:r>
              <w:rPr>
                <w:rFonts w:ascii="Arial" w:hAnsi="Arial" w:cs="Arial"/>
                <w:sz w:val="20"/>
                <w:szCs w:val="20"/>
              </w:rPr>
              <w:t>T</w:t>
            </w:r>
          </w:p>
        </w:tc>
        <w:tc>
          <w:tcPr>
            <w:tcW w:w="596" w:type="dxa"/>
            <w:tcBorders>
              <w:top w:val="nil"/>
              <w:left w:val="nil"/>
              <w:bottom w:val="single" w:sz="4" w:space="0" w:color="auto"/>
              <w:right w:val="single" w:sz="4" w:space="0" w:color="auto"/>
            </w:tcBorders>
            <w:noWrap/>
            <w:vAlign w:val="center"/>
          </w:tcPr>
          <w:p w14:paraId="15BDC4F7" w14:textId="77777777" w:rsidR="002B40DC" w:rsidRDefault="002B40DC" w:rsidP="008738F2">
            <w:pPr>
              <w:spacing w:after="60"/>
              <w:jc w:val="right"/>
              <w:rPr>
                <w:rFonts w:ascii="Arial" w:hAnsi="Arial" w:cs="Arial"/>
                <w:sz w:val="20"/>
                <w:szCs w:val="20"/>
              </w:rPr>
            </w:pPr>
            <w:r>
              <w:rPr>
                <w:rFonts w:ascii="Arial" w:hAnsi="Arial" w:cs="Arial"/>
                <w:sz w:val="20"/>
                <w:szCs w:val="20"/>
              </w:rPr>
              <w:t>T</w:t>
            </w:r>
          </w:p>
        </w:tc>
        <w:tc>
          <w:tcPr>
            <w:tcW w:w="549" w:type="dxa"/>
            <w:tcBorders>
              <w:top w:val="nil"/>
              <w:left w:val="nil"/>
              <w:bottom w:val="single" w:sz="4" w:space="0" w:color="auto"/>
              <w:right w:val="single" w:sz="4" w:space="0" w:color="auto"/>
            </w:tcBorders>
            <w:noWrap/>
            <w:vAlign w:val="center"/>
          </w:tcPr>
          <w:p w14:paraId="2C39E36A" w14:textId="77777777" w:rsidR="002B40DC" w:rsidRDefault="002B40DC" w:rsidP="008738F2">
            <w:pPr>
              <w:spacing w:after="60"/>
              <w:jc w:val="right"/>
              <w:rPr>
                <w:rFonts w:ascii="Arial" w:hAnsi="Arial" w:cs="Arial"/>
                <w:sz w:val="20"/>
                <w:szCs w:val="20"/>
              </w:rPr>
            </w:pPr>
            <w:r>
              <w:rPr>
                <w:rFonts w:ascii="Arial" w:hAnsi="Arial" w:cs="Arial"/>
                <w:sz w:val="20"/>
                <w:szCs w:val="20"/>
              </w:rPr>
              <w:t>0</w:t>
            </w:r>
          </w:p>
        </w:tc>
        <w:tc>
          <w:tcPr>
            <w:tcW w:w="660" w:type="dxa"/>
            <w:tcBorders>
              <w:top w:val="nil"/>
              <w:left w:val="nil"/>
              <w:bottom w:val="single" w:sz="4" w:space="0" w:color="auto"/>
              <w:right w:val="single" w:sz="4" w:space="0" w:color="auto"/>
            </w:tcBorders>
            <w:noWrap/>
            <w:vAlign w:val="center"/>
          </w:tcPr>
          <w:p w14:paraId="43D62F60" w14:textId="77777777" w:rsidR="002B40DC" w:rsidRDefault="002B40DC" w:rsidP="008738F2">
            <w:pPr>
              <w:spacing w:after="60"/>
              <w:jc w:val="right"/>
              <w:rPr>
                <w:rFonts w:ascii="Arial" w:hAnsi="Arial" w:cs="Arial"/>
                <w:sz w:val="20"/>
                <w:szCs w:val="20"/>
              </w:rPr>
            </w:pPr>
            <w:r>
              <w:rPr>
                <w:rFonts w:ascii="Arial" w:hAnsi="Arial" w:cs="Arial"/>
                <w:sz w:val="20"/>
                <w:szCs w:val="20"/>
              </w:rPr>
              <w:t>0</w:t>
            </w:r>
          </w:p>
        </w:tc>
        <w:tc>
          <w:tcPr>
            <w:tcW w:w="613" w:type="dxa"/>
            <w:tcBorders>
              <w:top w:val="nil"/>
              <w:left w:val="nil"/>
              <w:bottom w:val="single" w:sz="4" w:space="0" w:color="auto"/>
              <w:right w:val="single" w:sz="4" w:space="0" w:color="auto"/>
            </w:tcBorders>
            <w:noWrap/>
            <w:vAlign w:val="center"/>
          </w:tcPr>
          <w:p w14:paraId="0AE455DD" w14:textId="77777777" w:rsidR="002B40DC" w:rsidRDefault="002B40DC" w:rsidP="008738F2">
            <w:pPr>
              <w:spacing w:after="60"/>
              <w:jc w:val="right"/>
              <w:rPr>
                <w:rFonts w:ascii="Arial" w:hAnsi="Arial" w:cs="Arial"/>
                <w:sz w:val="20"/>
                <w:szCs w:val="20"/>
              </w:rPr>
            </w:pPr>
            <w:r>
              <w:rPr>
                <w:rFonts w:ascii="Arial" w:hAnsi="Arial" w:cs="Arial"/>
                <w:sz w:val="20"/>
                <w:szCs w:val="20"/>
              </w:rPr>
              <w:t>T</w:t>
            </w:r>
          </w:p>
        </w:tc>
        <w:tc>
          <w:tcPr>
            <w:tcW w:w="644" w:type="dxa"/>
            <w:tcBorders>
              <w:top w:val="nil"/>
              <w:left w:val="nil"/>
              <w:bottom w:val="single" w:sz="4" w:space="0" w:color="auto"/>
              <w:right w:val="single" w:sz="4" w:space="0" w:color="auto"/>
            </w:tcBorders>
            <w:noWrap/>
            <w:vAlign w:val="center"/>
          </w:tcPr>
          <w:p w14:paraId="74BEA68B" w14:textId="77777777" w:rsidR="002B40DC" w:rsidRDefault="002B40DC" w:rsidP="008738F2">
            <w:pPr>
              <w:spacing w:after="60"/>
              <w:jc w:val="right"/>
              <w:rPr>
                <w:rFonts w:ascii="Arial" w:hAnsi="Arial" w:cs="Arial"/>
                <w:sz w:val="20"/>
                <w:szCs w:val="20"/>
              </w:rPr>
            </w:pPr>
            <w:r>
              <w:rPr>
                <w:rFonts w:ascii="Arial" w:hAnsi="Arial" w:cs="Arial"/>
                <w:sz w:val="20"/>
                <w:szCs w:val="20"/>
              </w:rPr>
              <w:t>1</w:t>
            </w:r>
          </w:p>
        </w:tc>
        <w:tc>
          <w:tcPr>
            <w:tcW w:w="660" w:type="dxa"/>
            <w:tcBorders>
              <w:top w:val="nil"/>
              <w:left w:val="nil"/>
              <w:bottom w:val="single" w:sz="4" w:space="0" w:color="auto"/>
              <w:right w:val="single" w:sz="4" w:space="0" w:color="auto"/>
            </w:tcBorders>
            <w:noWrap/>
            <w:vAlign w:val="center"/>
          </w:tcPr>
          <w:p w14:paraId="51082997" w14:textId="77777777" w:rsidR="002B40DC" w:rsidRDefault="002B40DC" w:rsidP="008738F2">
            <w:pPr>
              <w:spacing w:after="60"/>
              <w:jc w:val="right"/>
              <w:rPr>
                <w:rFonts w:ascii="Arial" w:hAnsi="Arial" w:cs="Arial"/>
                <w:sz w:val="20"/>
                <w:szCs w:val="20"/>
              </w:rPr>
            </w:pPr>
            <w:r>
              <w:rPr>
                <w:rFonts w:ascii="Arial" w:hAnsi="Arial" w:cs="Arial"/>
                <w:sz w:val="20"/>
                <w:szCs w:val="20"/>
              </w:rPr>
              <w:t>11.8</w:t>
            </w:r>
          </w:p>
        </w:tc>
        <w:tc>
          <w:tcPr>
            <w:tcW w:w="644" w:type="dxa"/>
            <w:tcBorders>
              <w:top w:val="nil"/>
              <w:left w:val="nil"/>
              <w:bottom w:val="single" w:sz="4" w:space="0" w:color="auto"/>
              <w:right w:val="single" w:sz="4" w:space="0" w:color="auto"/>
            </w:tcBorders>
            <w:noWrap/>
            <w:vAlign w:val="center"/>
          </w:tcPr>
          <w:p w14:paraId="413072E0" w14:textId="77777777" w:rsidR="002B40DC" w:rsidRDefault="002B40DC" w:rsidP="008738F2">
            <w:pPr>
              <w:spacing w:after="60"/>
              <w:jc w:val="right"/>
              <w:rPr>
                <w:rFonts w:ascii="Arial" w:hAnsi="Arial" w:cs="Arial"/>
                <w:sz w:val="20"/>
                <w:szCs w:val="20"/>
              </w:rPr>
            </w:pPr>
            <w:r>
              <w:rPr>
                <w:rFonts w:ascii="Arial" w:hAnsi="Arial" w:cs="Arial"/>
                <w:sz w:val="20"/>
                <w:szCs w:val="20"/>
              </w:rPr>
              <w:t>21.5</w:t>
            </w:r>
          </w:p>
        </w:tc>
        <w:tc>
          <w:tcPr>
            <w:tcW w:w="755" w:type="dxa"/>
            <w:tcBorders>
              <w:top w:val="nil"/>
              <w:left w:val="nil"/>
              <w:bottom w:val="single" w:sz="4" w:space="0" w:color="auto"/>
              <w:right w:val="single" w:sz="4" w:space="0" w:color="auto"/>
            </w:tcBorders>
            <w:noWrap/>
            <w:vAlign w:val="center"/>
          </w:tcPr>
          <w:p w14:paraId="7AB3E03A" w14:textId="77777777" w:rsidR="002B40DC" w:rsidRDefault="002B40DC" w:rsidP="008738F2">
            <w:pPr>
              <w:spacing w:after="60"/>
              <w:jc w:val="right"/>
              <w:rPr>
                <w:rFonts w:ascii="Arial" w:hAnsi="Arial" w:cs="Arial"/>
                <w:i/>
                <w:iCs/>
                <w:sz w:val="20"/>
                <w:szCs w:val="20"/>
              </w:rPr>
            </w:pPr>
            <w:r>
              <w:rPr>
                <w:rFonts w:ascii="Arial" w:hAnsi="Arial" w:cs="Arial"/>
                <w:i/>
                <w:iCs/>
                <w:sz w:val="20"/>
                <w:szCs w:val="20"/>
              </w:rPr>
              <w:t>96.5</w:t>
            </w:r>
          </w:p>
        </w:tc>
      </w:tr>
      <w:tr w:rsidR="002B40DC" w14:paraId="4ED04CA8" w14:textId="77777777" w:rsidTr="00915E78">
        <w:trPr>
          <w:trHeight w:val="255"/>
          <w:jc w:val="center"/>
        </w:trPr>
        <w:tc>
          <w:tcPr>
            <w:tcW w:w="3031" w:type="dxa"/>
            <w:tcBorders>
              <w:top w:val="nil"/>
              <w:left w:val="single" w:sz="4" w:space="0" w:color="auto"/>
              <w:bottom w:val="single" w:sz="4" w:space="0" w:color="auto"/>
              <w:right w:val="single" w:sz="4" w:space="0" w:color="auto"/>
            </w:tcBorders>
            <w:noWrap/>
            <w:vAlign w:val="center"/>
          </w:tcPr>
          <w:p w14:paraId="6AE85E0F" w14:textId="77777777" w:rsidR="002B40DC" w:rsidRDefault="002B40DC" w:rsidP="008738F2">
            <w:pPr>
              <w:spacing w:after="60"/>
              <w:rPr>
                <w:rFonts w:ascii="Arial" w:hAnsi="Arial" w:cs="Arial"/>
                <w:sz w:val="20"/>
                <w:szCs w:val="20"/>
              </w:rPr>
            </w:pPr>
            <w:r>
              <w:rPr>
                <w:rFonts w:ascii="Arial" w:hAnsi="Arial" w:cs="Arial"/>
                <w:sz w:val="20"/>
                <w:szCs w:val="20"/>
              </w:rPr>
              <w:t>KING SALMON, AK</w:t>
            </w:r>
          </w:p>
        </w:tc>
        <w:tc>
          <w:tcPr>
            <w:tcW w:w="629" w:type="dxa"/>
            <w:tcBorders>
              <w:top w:val="nil"/>
              <w:left w:val="nil"/>
              <w:bottom w:val="single" w:sz="4" w:space="0" w:color="auto"/>
              <w:right w:val="single" w:sz="4" w:space="0" w:color="auto"/>
            </w:tcBorders>
            <w:noWrap/>
            <w:vAlign w:val="center"/>
          </w:tcPr>
          <w:p w14:paraId="6F6D4B59" w14:textId="77777777" w:rsidR="002B40DC" w:rsidRDefault="002B40DC" w:rsidP="008738F2">
            <w:pPr>
              <w:spacing w:after="60"/>
              <w:jc w:val="right"/>
              <w:rPr>
                <w:rFonts w:ascii="Arial" w:hAnsi="Arial" w:cs="Arial"/>
                <w:i/>
                <w:iCs/>
                <w:sz w:val="20"/>
                <w:szCs w:val="20"/>
              </w:rPr>
            </w:pPr>
            <w:r>
              <w:rPr>
                <w:rFonts w:ascii="Arial" w:hAnsi="Arial" w:cs="Arial"/>
                <w:i/>
                <w:iCs/>
                <w:sz w:val="20"/>
                <w:szCs w:val="20"/>
              </w:rPr>
              <w:t>55</w:t>
            </w:r>
          </w:p>
        </w:tc>
        <w:tc>
          <w:tcPr>
            <w:tcW w:w="597" w:type="dxa"/>
            <w:tcBorders>
              <w:top w:val="nil"/>
              <w:left w:val="nil"/>
              <w:bottom w:val="single" w:sz="4" w:space="0" w:color="auto"/>
              <w:right w:val="single" w:sz="4" w:space="0" w:color="auto"/>
            </w:tcBorders>
            <w:noWrap/>
            <w:vAlign w:val="center"/>
          </w:tcPr>
          <w:p w14:paraId="4EF096BC" w14:textId="77777777" w:rsidR="002B40DC" w:rsidRDefault="002B40DC" w:rsidP="008738F2">
            <w:pPr>
              <w:spacing w:after="60"/>
              <w:jc w:val="right"/>
              <w:rPr>
                <w:rFonts w:ascii="Arial" w:hAnsi="Arial" w:cs="Arial"/>
                <w:sz w:val="20"/>
                <w:szCs w:val="20"/>
              </w:rPr>
            </w:pPr>
            <w:r>
              <w:rPr>
                <w:rFonts w:ascii="Arial" w:hAnsi="Arial" w:cs="Arial"/>
                <w:sz w:val="20"/>
                <w:szCs w:val="20"/>
              </w:rPr>
              <w:t>8.6</w:t>
            </w:r>
          </w:p>
        </w:tc>
        <w:tc>
          <w:tcPr>
            <w:tcW w:w="597" w:type="dxa"/>
            <w:tcBorders>
              <w:top w:val="nil"/>
              <w:left w:val="nil"/>
              <w:bottom w:val="single" w:sz="4" w:space="0" w:color="auto"/>
              <w:right w:val="single" w:sz="4" w:space="0" w:color="auto"/>
            </w:tcBorders>
            <w:noWrap/>
            <w:vAlign w:val="center"/>
          </w:tcPr>
          <w:p w14:paraId="7ED37872" w14:textId="77777777" w:rsidR="002B40DC" w:rsidRDefault="002B40DC" w:rsidP="008738F2">
            <w:pPr>
              <w:spacing w:after="60"/>
              <w:jc w:val="right"/>
              <w:rPr>
                <w:rFonts w:ascii="Arial" w:hAnsi="Arial" w:cs="Arial"/>
                <w:sz w:val="20"/>
                <w:szCs w:val="20"/>
              </w:rPr>
            </w:pPr>
            <w:r>
              <w:rPr>
                <w:rFonts w:ascii="Arial" w:hAnsi="Arial" w:cs="Arial"/>
                <w:sz w:val="20"/>
                <w:szCs w:val="20"/>
              </w:rPr>
              <w:t>6.7</w:t>
            </w:r>
          </w:p>
        </w:tc>
        <w:tc>
          <w:tcPr>
            <w:tcW w:w="676" w:type="dxa"/>
            <w:tcBorders>
              <w:top w:val="nil"/>
              <w:left w:val="nil"/>
              <w:bottom w:val="single" w:sz="4" w:space="0" w:color="auto"/>
              <w:right w:val="single" w:sz="4" w:space="0" w:color="auto"/>
            </w:tcBorders>
            <w:noWrap/>
            <w:vAlign w:val="center"/>
          </w:tcPr>
          <w:p w14:paraId="11C09891" w14:textId="77777777" w:rsidR="002B40DC" w:rsidRDefault="002B40DC" w:rsidP="008738F2">
            <w:pPr>
              <w:spacing w:after="60"/>
              <w:jc w:val="right"/>
              <w:rPr>
                <w:rFonts w:ascii="Arial" w:hAnsi="Arial" w:cs="Arial"/>
                <w:sz w:val="20"/>
                <w:szCs w:val="20"/>
              </w:rPr>
            </w:pPr>
            <w:r>
              <w:rPr>
                <w:rFonts w:ascii="Arial" w:hAnsi="Arial" w:cs="Arial"/>
                <w:sz w:val="20"/>
                <w:szCs w:val="20"/>
              </w:rPr>
              <w:t>6.7</w:t>
            </w:r>
          </w:p>
        </w:tc>
        <w:tc>
          <w:tcPr>
            <w:tcW w:w="629" w:type="dxa"/>
            <w:tcBorders>
              <w:top w:val="nil"/>
              <w:left w:val="nil"/>
              <w:bottom w:val="single" w:sz="4" w:space="0" w:color="auto"/>
              <w:right w:val="single" w:sz="4" w:space="0" w:color="auto"/>
            </w:tcBorders>
            <w:noWrap/>
            <w:vAlign w:val="center"/>
          </w:tcPr>
          <w:p w14:paraId="24A99C90" w14:textId="77777777" w:rsidR="002B40DC" w:rsidRDefault="002B40DC" w:rsidP="008738F2">
            <w:pPr>
              <w:spacing w:after="60"/>
              <w:jc w:val="right"/>
              <w:rPr>
                <w:rFonts w:ascii="Arial" w:hAnsi="Arial" w:cs="Arial"/>
                <w:sz w:val="20"/>
                <w:szCs w:val="20"/>
              </w:rPr>
            </w:pPr>
            <w:r>
              <w:rPr>
                <w:rFonts w:ascii="Arial" w:hAnsi="Arial" w:cs="Arial"/>
                <w:sz w:val="20"/>
                <w:szCs w:val="20"/>
              </w:rPr>
              <w:t>4.4</w:t>
            </w:r>
          </w:p>
        </w:tc>
        <w:tc>
          <w:tcPr>
            <w:tcW w:w="660" w:type="dxa"/>
            <w:tcBorders>
              <w:top w:val="nil"/>
              <w:left w:val="nil"/>
              <w:bottom w:val="single" w:sz="4" w:space="0" w:color="auto"/>
              <w:right w:val="single" w:sz="4" w:space="0" w:color="auto"/>
            </w:tcBorders>
            <w:noWrap/>
            <w:vAlign w:val="center"/>
          </w:tcPr>
          <w:p w14:paraId="19E80865" w14:textId="77777777" w:rsidR="002B40DC" w:rsidRDefault="002B40DC" w:rsidP="008738F2">
            <w:pPr>
              <w:spacing w:after="60"/>
              <w:jc w:val="right"/>
              <w:rPr>
                <w:rFonts w:ascii="Arial" w:hAnsi="Arial" w:cs="Arial"/>
                <w:sz w:val="20"/>
                <w:szCs w:val="20"/>
              </w:rPr>
            </w:pPr>
            <w:r>
              <w:rPr>
                <w:rFonts w:ascii="Arial" w:hAnsi="Arial" w:cs="Arial"/>
                <w:sz w:val="20"/>
                <w:szCs w:val="20"/>
              </w:rPr>
              <w:t>1</w:t>
            </w:r>
          </w:p>
        </w:tc>
        <w:tc>
          <w:tcPr>
            <w:tcW w:w="596" w:type="dxa"/>
            <w:tcBorders>
              <w:top w:val="nil"/>
              <w:left w:val="nil"/>
              <w:bottom w:val="single" w:sz="4" w:space="0" w:color="auto"/>
              <w:right w:val="single" w:sz="4" w:space="0" w:color="auto"/>
            </w:tcBorders>
            <w:noWrap/>
            <w:vAlign w:val="center"/>
          </w:tcPr>
          <w:p w14:paraId="7596DA7D" w14:textId="77777777" w:rsidR="002B40DC" w:rsidRDefault="002B40DC" w:rsidP="008738F2">
            <w:pPr>
              <w:spacing w:after="60"/>
              <w:jc w:val="right"/>
              <w:rPr>
                <w:rFonts w:ascii="Arial" w:hAnsi="Arial" w:cs="Arial"/>
                <w:sz w:val="20"/>
                <w:szCs w:val="20"/>
              </w:rPr>
            </w:pPr>
            <w:r>
              <w:rPr>
                <w:rFonts w:ascii="Arial" w:hAnsi="Arial" w:cs="Arial"/>
                <w:sz w:val="20"/>
                <w:szCs w:val="20"/>
              </w:rPr>
              <w:t>T</w:t>
            </w:r>
          </w:p>
        </w:tc>
        <w:tc>
          <w:tcPr>
            <w:tcW w:w="549" w:type="dxa"/>
            <w:tcBorders>
              <w:top w:val="nil"/>
              <w:left w:val="nil"/>
              <w:bottom w:val="single" w:sz="4" w:space="0" w:color="auto"/>
              <w:right w:val="single" w:sz="4" w:space="0" w:color="auto"/>
            </w:tcBorders>
            <w:noWrap/>
            <w:vAlign w:val="center"/>
          </w:tcPr>
          <w:p w14:paraId="3748D869" w14:textId="77777777" w:rsidR="002B40DC" w:rsidRDefault="002B40DC" w:rsidP="008738F2">
            <w:pPr>
              <w:spacing w:after="60"/>
              <w:jc w:val="right"/>
              <w:rPr>
                <w:rFonts w:ascii="Arial" w:hAnsi="Arial" w:cs="Arial"/>
                <w:sz w:val="20"/>
                <w:szCs w:val="20"/>
              </w:rPr>
            </w:pPr>
            <w:r>
              <w:rPr>
                <w:rFonts w:ascii="Arial" w:hAnsi="Arial" w:cs="Arial"/>
                <w:sz w:val="20"/>
                <w:szCs w:val="20"/>
              </w:rPr>
              <w:t>0</w:t>
            </w:r>
          </w:p>
        </w:tc>
        <w:tc>
          <w:tcPr>
            <w:tcW w:w="660" w:type="dxa"/>
            <w:tcBorders>
              <w:top w:val="nil"/>
              <w:left w:val="nil"/>
              <w:bottom w:val="single" w:sz="4" w:space="0" w:color="auto"/>
              <w:right w:val="single" w:sz="4" w:space="0" w:color="auto"/>
            </w:tcBorders>
            <w:noWrap/>
            <w:vAlign w:val="center"/>
          </w:tcPr>
          <w:p w14:paraId="00A2F64F" w14:textId="77777777" w:rsidR="002B40DC" w:rsidRDefault="002B40DC" w:rsidP="008738F2">
            <w:pPr>
              <w:spacing w:after="60"/>
              <w:jc w:val="right"/>
              <w:rPr>
                <w:rFonts w:ascii="Arial" w:hAnsi="Arial" w:cs="Arial"/>
                <w:sz w:val="20"/>
                <w:szCs w:val="20"/>
              </w:rPr>
            </w:pPr>
            <w:r>
              <w:rPr>
                <w:rFonts w:ascii="Arial" w:hAnsi="Arial" w:cs="Arial"/>
                <w:sz w:val="20"/>
                <w:szCs w:val="20"/>
              </w:rPr>
              <w:t>T</w:t>
            </w:r>
          </w:p>
        </w:tc>
        <w:tc>
          <w:tcPr>
            <w:tcW w:w="613" w:type="dxa"/>
            <w:tcBorders>
              <w:top w:val="nil"/>
              <w:left w:val="nil"/>
              <w:bottom w:val="single" w:sz="4" w:space="0" w:color="auto"/>
              <w:right w:val="single" w:sz="4" w:space="0" w:color="auto"/>
            </w:tcBorders>
            <w:noWrap/>
            <w:vAlign w:val="center"/>
          </w:tcPr>
          <w:p w14:paraId="06CFF717" w14:textId="77777777" w:rsidR="002B40DC" w:rsidRDefault="002B40DC" w:rsidP="008738F2">
            <w:pPr>
              <w:spacing w:after="60"/>
              <w:jc w:val="right"/>
              <w:rPr>
                <w:rFonts w:ascii="Arial" w:hAnsi="Arial" w:cs="Arial"/>
                <w:sz w:val="20"/>
                <w:szCs w:val="20"/>
              </w:rPr>
            </w:pPr>
            <w:r>
              <w:rPr>
                <w:rFonts w:ascii="Arial" w:hAnsi="Arial" w:cs="Arial"/>
                <w:sz w:val="20"/>
                <w:szCs w:val="20"/>
              </w:rPr>
              <w:t>T</w:t>
            </w:r>
          </w:p>
        </w:tc>
        <w:tc>
          <w:tcPr>
            <w:tcW w:w="644" w:type="dxa"/>
            <w:tcBorders>
              <w:top w:val="nil"/>
              <w:left w:val="nil"/>
              <w:bottom w:val="single" w:sz="4" w:space="0" w:color="auto"/>
              <w:right w:val="single" w:sz="4" w:space="0" w:color="auto"/>
            </w:tcBorders>
            <w:noWrap/>
            <w:vAlign w:val="center"/>
          </w:tcPr>
          <w:p w14:paraId="7346DE48" w14:textId="77777777" w:rsidR="002B40DC" w:rsidRDefault="002B40DC" w:rsidP="008738F2">
            <w:pPr>
              <w:spacing w:after="60"/>
              <w:jc w:val="right"/>
              <w:rPr>
                <w:rFonts w:ascii="Arial" w:hAnsi="Arial" w:cs="Arial"/>
                <w:sz w:val="20"/>
                <w:szCs w:val="20"/>
              </w:rPr>
            </w:pPr>
            <w:r>
              <w:rPr>
                <w:rFonts w:ascii="Arial" w:hAnsi="Arial" w:cs="Arial"/>
                <w:sz w:val="20"/>
                <w:szCs w:val="20"/>
              </w:rPr>
              <w:t>3.1</w:t>
            </w:r>
          </w:p>
        </w:tc>
        <w:tc>
          <w:tcPr>
            <w:tcW w:w="660" w:type="dxa"/>
            <w:tcBorders>
              <w:top w:val="nil"/>
              <w:left w:val="nil"/>
              <w:bottom w:val="single" w:sz="4" w:space="0" w:color="auto"/>
              <w:right w:val="single" w:sz="4" w:space="0" w:color="auto"/>
            </w:tcBorders>
            <w:noWrap/>
            <w:vAlign w:val="center"/>
          </w:tcPr>
          <w:p w14:paraId="00CA6CF4" w14:textId="77777777" w:rsidR="002B40DC" w:rsidRDefault="002B40DC" w:rsidP="008738F2">
            <w:pPr>
              <w:spacing w:after="60"/>
              <w:jc w:val="right"/>
              <w:rPr>
                <w:rFonts w:ascii="Arial" w:hAnsi="Arial" w:cs="Arial"/>
                <w:sz w:val="20"/>
                <w:szCs w:val="20"/>
              </w:rPr>
            </w:pPr>
            <w:r>
              <w:rPr>
                <w:rFonts w:ascii="Arial" w:hAnsi="Arial" w:cs="Arial"/>
                <w:sz w:val="20"/>
                <w:szCs w:val="20"/>
              </w:rPr>
              <w:t>6.3</w:t>
            </w:r>
          </w:p>
        </w:tc>
        <w:tc>
          <w:tcPr>
            <w:tcW w:w="644" w:type="dxa"/>
            <w:tcBorders>
              <w:top w:val="nil"/>
              <w:left w:val="nil"/>
              <w:bottom w:val="single" w:sz="4" w:space="0" w:color="auto"/>
              <w:right w:val="single" w:sz="4" w:space="0" w:color="auto"/>
            </w:tcBorders>
            <w:noWrap/>
            <w:vAlign w:val="center"/>
          </w:tcPr>
          <w:p w14:paraId="70C28103" w14:textId="77777777" w:rsidR="002B40DC" w:rsidRDefault="002B40DC" w:rsidP="008738F2">
            <w:pPr>
              <w:spacing w:after="60"/>
              <w:jc w:val="right"/>
              <w:rPr>
                <w:rFonts w:ascii="Arial" w:hAnsi="Arial" w:cs="Arial"/>
                <w:sz w:val="20"/>
                <w:szCs w:val="20"/>
              </w:rPr>
            </w:pPr>
            <w:r>
              <w:rPr>
                <w:rFonts w:ascii="Arial" w:hAnsi="Arial" w:cs="Arial"/>
                <w:sz w:val="20"/>
                <w:szCs w:val="20"/>
              </w:rPr>
              <w:t>9.3</w:t>
            </w:r>
          </w:p>
        </w:tc>
        <w:tc>
          <w:tcPr>
            <w:tcW w:w="755" w:type="dxa"/>
            <w:tcBorders>
              <w:top w:val="nil"/>
              <w:left w:val="nil"/>
              <w:bottom w:val="single" w:sz="4" w:space="0" w:color="auto"/>
              <w:right w:val="single" w:sz="4" w:space="0" w:color="auto"/>
            </w:tcBorders>
            <w:noWrap/>
            <w:vAlign w:val="center"/>
          </w:tcPr>
          <w:p w14:paraId="70DC4F04" w14:textId="77777777" w:rsidR="002B40DC" w:rsidRDefault="002B40DC" w:rsidP="008738F2">
            <w:pPr>
              <w:spacing w:after="60"/>
              <w:jc w:val="right"/>
              <w:rPr>
                <w:rFonts w:ascii="Arial" w:hAnsi="Arial" w:cs="Arial"/>
                <w:i/>
                <w:iCs/>
                <w:sz w:val="20"/>
                <w:szCs w:val="20"/>
              </w:rPr>
            </w:pPr>
            <w:r>
              <w:rPr>
                <w:rFonts w:ascii="Arial" w:hAnsi="Arial" w:cs="Arial"/>
                <w:i/>
                <w:iCs/>
                <w:sz w:val="20"/>
                <w:szCs w:val="20"/>
              </w:rPr>
              <w:t>46.1</w:t>
            </w:r>
          </w:p>
        </w:tc>
      </w:tr>
      <w:tr w:rsidR="002B40DC" w14:paraId="02458C56" w14:textId="77777777" w:rsidTr="00915E78">
        <w:trPr>
          <w:trHeight w:val="255"/>
          <w:jc w:val="center"/>
        </w:trPr>
        <w:tc>
          <w:tcPr>
            <w:tcW w:w="3031" w:type="dxa"/>
            <w:tcBorders>
              <w:top w:val="nil"/>
              <w:left w:val="single" w:sz="4" w:space="0" w:color="auto"/>
              <w:bottom w:val="single" w:sz="4" w:space="0" w:color="auto"/>
              <w:right w:val="single" w:sz="4" w:space="0" w:color="auto"/>
            </w:tcBorders>
            <w:noWrap/>
            <w:vAlign w:val="center"/>
          </w:tcPr>
          <w:p w14:paraId="28199AC8" w14:textId="77777777" w:rsidR="002B40DC" w:rsidRDefault="002B40DC" w:rsidP="008738F2">
            <w:pPr>
              <w:spacing w:after="60"/>
              <w:rPr>
                <w:rFonts w:ascii="Arial" w:hAnsi="Arial" w:cs="Arial"/>
                <w:sz w:val="20"/>
                <w:szCs w:val="20"/>
              </w:rPr>
            </w:pPr>
            <w:smartTag w:uri="urn:schemas-microsoft-com:office:smarttags" w:element="place">
              <w:smartTag w:uri="urn:schemas-microsoft-com:office:smarttags" w:element="City">
                <w:r>
                  <w:rPr>
                    <w:rFonts w:ascii="Arial" w:hAnsi="Arial" w:cs="Arial"/>
                    <w:sz w:val="20"/>
                    <w:szCs w:val="20"/>
                  </w:rPr>
                  <w:t>KODIAK</w:t>
                </w:r>
              </w:smartTag>
              <w:r>
                <w:rPr>
                  <w:rFonts w:ascii="Arial" w:hAnsi="Arial" w:cs="Arial"/>
                  <w:sz w:val="20"/>
                  <w:szCs w:val="20"/>
                </w:rPr>
                <w:t xml:space="preserve">, </w:t>
              </w:r>
              <w:smartTag w:uri="urn:schemas-microsoft-com:office:smarttags" w:element="State">
                <w:r>
                  <w:rPr>
                    <w:rFonts w:ascii="Arial" w:hAnsi="Arial" w:cs="Arial"/>
                    <w:sz w:val="20"/>
                    <w:szCs w:val="20"/>
                  </w:rPr>
                  <w:t>AK</w:t>
                </w:r>
              </w:smartTag>
            </w:smartTag>
          </w:p>
        </w:tc>
        <w:tc>
          <w:tcPr>
            <w:tcW w:w="629" w:type="dxa"/>
            <w:tcBorders>
              <w:top w:val="nil"/>
              <w:left w:val="nil"/>
              <w:bottom w:val="single" w:sz="4" w:space="0" w:color="auto"/>
              <w:right w:val="single" w:sz="4" w:space="0" w:color="auto"/>
            </w:tcBorders>
            <w:noWrap/>
            <w:vAlign w:val="center"/>
          </w:tcPr>
          <w:p w14:paraId="7953A4A6" w14:textId="77777777" w:rsidR="002B40DC" w:rsidRDefault="002B40DC" w:rsidP="008738F2">
            <w:pPr>
              <w:spacing w:after="60"/>
              <w:jc w:val="right"/>
              <w:rPr>
                <w:rFonts w:ascii="Arial" w:hAnsi="Arial" w:cs="Arial"/>
                <w:i/>
                <w:iCs/>
                <w:sz w:val="20"/>
                <w:szCs w:val="20"/>
              </w:rPr>
            </w:pPr>
            <w:r>
              <w:rPr>
                <w:rFonts w:ascii="Arial" w:hAnsi="Arial" w:cs="Arial"/>
                <w:i/>
                <w:iCs/>
                <w:sz w:val="20"/>
                <w:szCs w:val="20"/>
              </w:rPr>
              <w:t>42</w:t>
            </w:r>
          </w:p>
        </w:tc>
        <w:tc>
          <w:tcPr>
            <w:tcW w:w="597" w:type="dxa"/>
            <w:tcBorders>
              <w:top w:val="nil"/>
              <w:left w:val="nil"/>
              <w:bottom w:val="single" w:sz="4" w:space="0" w:color="auto"/>
              <w:right w:val="single" w:sz="4" w:space="0" w:color="auto"/>
            </w:tcBorders>
            <w:noWrap/>
            <w:vAlign w:val="center"/>
          </w:tcPr>
          <w:p w14:paraId="18E064C6" w14:textId="77777777" w:rsidR="002B40DC" w:rsidRDefault="002B40DC" w:rsidP="008738F2">
            <w:pPr>
              <w:spacing w:after="60"/>
              <w:jc w:val="right"/>
              <w:rPr>
                <w:rFonts w:ascii="Arial" w:hAnsi="Arial" w:cs="Arial"/>
                <w:sz w:val="20"/>
                <w:szCs w:val="20"/>
              </w:rPr>
            </w:pPr>
            <w:r>
              <w:rPr>
                <w:rFonts w:ascii="Arial" w:hAnsi="Arial" w:cs="Arial"/>
                <w:sz w:val="20"/>
                <w:szCs w:val="20"/>
              </w:rPr>
              <w:t>15.6</w:t>
            </w:r>
          </w:p>
        </w:tc>
        <w:tc>
          <w:tcPr>
            <w:tcW w:w="597" w:type="dxa"/>
            <w:tcBorders>
              <w:top w:val="nil"/>
              <w:left w:val="nil"/>
              <w:bottom w:val="single" w:sz="4" w:space="0" w:color="auto"/>
              <w:right w:val="single" w:sz="4" w:space="0" w:color="auto"/>
            </w:tcBorders>
            <w:noWrap/>
            <w:vAlign w:val="center"/>
          </w:tcPr>
          <w:p w14:paraId="7386CC21" w14:textId="77777777" w:rsidR="002B40DC" w:rsidRDefault="002B40DC" w:rsidP="008738F2">
            <w:pPr>
              <w:spacing w:after="60"/>
              <w:jc w:val="right"/>
              <w:rPr>
                <w:rFonts w:ascii="Arial" w:hAnsi="Arial" w:cs="Arial"/>
                <w:sz w:val="20"/>
                <w:szCs w:val="20"/>
              </w:rPr>
            </w:pPr>
            <w:r>
              <w:rPr>
                <w:rFonts w:ascii="Arial" w:hAnsi="Arial" w:cs="Arial"/>
                <w:sz w:val="20"/>
                <w:szCs w:val="20"/>
              </w:rPr>
              <w:t>17.2</w:t>
            </w:r>
          </w:p>
        </w:tc>
        <w:tc>
          <w:tcPr>
            <w:tcW w:w="676" w:type="dxa"/>
            <w:tcBorders>
              <w:top w:val="nil"/>
              <w:left w:val="nil"/>
              <w:bottom w:val="single" w:sz="4" w:space="0" w:color="auto"/>
              <w:right w:val="single" w:sz="4" w:space="0" w:color="auto"/>
            </w:tcBorders>
            <w:noWrap/>
            <w:vAlign w:val="center"/>
          </w:tcPr>
          <w:p w14:paraId="155203C7" w14:textId="77777777" w:rsidR="002B40DC" w:rsidRDefault="002B40DC" w:rsidP="008738F2">
            <w:pPr>
              <w:spacing w:after="60"/>
              <w:jc w:val="right"/>
              <w:rPr>
                <w:rFonts w:ascii="Arial" w:hAnsi="Arial" w:cs="Arial"/>
                <w:sz w:val="20"/>
                <w:szCs w:val="20"/>
              </w:rPr>
            </w:pPr>
            <w:r>
              <w:rPr>
                <w:rFonts w:ascii="Arial" w:hAnsi="Arial" w:cs="Arial"/>
                <w:sz w:val="20"/>
                <w:szCs w:val="20"/>
              </w:rPr>
              <w:t>13.3</w:t>
            </w:r>
          </w:p>
        </w:tc>
        <w:tc>
          <w:tcPr>
            <w:tcW w:w="629" w:type="dxa"/>
            <w:tcBorders>
              <w:top w:val="nil"/>
              <w:left w:val="nil"/>
              <w:bottom w:val="single" w:sz="4" w:space="0" w:color="auto"/>
              <w:right w:val="single" w:sz="4" w:space="0" w:color="auto"/>
            </w:tcBorders>
            <w:noWrap/>
            <w:vAlign w:val="center"/>
          </w:tcPr>
          <w:p w14:paraId="0667B174" w14:textId="77777777" w:rsidR="002B40DC" w:rsidRDefault="002B40DC" w:rsidP="008738F2">
            <w:pPr>
              <w:spacing w:after="60"/>
              <w:jc w:val="right"/>
              <w:rPr>
                <w:rFonts w:ascii="Arial" w:hAnsi="Arial" w:cs="Arial"/>
                <w:sz w:val="20"/>
                <w:szCs w:val="20"/>
              </w:rPr>
            </w:pPr>
            <w:r>
              <w:rPr>
                <w:rFonts w:ascii="Arial" w:hAnsi="Arial" w:cs="Arial"/>
                <w:sz w:val="20"/>
                <w:szCs w:val="20"/>
              </w:rPr>
              <w:t>7.6</w:t>
            </w:r>
          </w:p>
        </w:tc>
        <w:tc>
          <w:tcPr>
            <w:tcW w:w="660" w:type="dxa"/>
            <w:tcBorders>
              <w:top w:val="nil"/>
              <w:left w:val="nil"/>
              <w:bottom w:val="single" w:sz="4" w:space="0" w:color="auto"/>
              <w:right w:val="single" w:sz="4" w:space="0" w:color="auto"/>
            </w:tcBorders>
            <w:noWrap/>
            <w:vAlign w:val="center"/>
          </w:tcPr>
          <w:p w14:paraId="530F5F8B" w14:textId="77777777" w:rsidR="002B40DC" w:rsidRDefault="002B40DC" w:rsidP="008738F2">
            <w:pPr>
              <w:spacing w:after="60"/>
              <w:jc w:val="right"/>
              <w:rPr>
                <w:rFonts w:ascii="Arial" w:hAnsi="Arial" w:cs="Arial"/>
                <w:sz w:val="20"/>
                <w:szCs w:val="20"/>
              </w:rPr>
            </w:pPr>
            <w:r>
              <w:rPr>
                <w:rFonts w:ascii="Arial" w:hAnsi="Arial" w:cs="Arial"/>
                <w:sz w:val="20"/>
                <w:szCs w:val="20"/>
              </w:rPr>
              <w:t>0.7</w:t>
            </w:r>
          </w:p>
        </w:tc>
        <w:tc>
          <w:tcPr>
            <w:tcW w:w="596" w:type="dxa"/>
            <w:tcBorders>
              <w:top w:val="nil"/>
              <w:left w:val="nil"/>
              <w:bottom w:val="single" w:sz="4" w:space="0" w:color="auto"/>
              <w:right w:val="single" w:sz="4" w:space="0" w:color="auto"/>
            </w:tcBorders>
            <w:noWrap/>
            <w:vAlign w:val="center"/>
          </w:tcPr>
          <w:p w14:paraId="0FD13E60" w14:textId="77777777" w:rsidR="002B40DC" w:rsidRDefault="002B40DC" w:rsidP="008738F2">
            <w:pPr>
              <w:spacing w:after="60"/>
              <w:jc w:val="right"/>
              <w:rPr>
                <w:rFonts w:ascii="Arial" w:hAnsi="Arial" w:cs="Arial"/>
                <w:sz w:val="20"/>
                <w:szCs w:val="20"/>
              </w:rPr>
            </w:pPr>
            <w:r>
              <w:rPr>
                <w:rFonts w:ascii="Arial" w:hAnsi="Arial" w:cs="Arial"/>
                <w:sz w:val="20"/>
                <w:szCs w:val="20"/>
              </w:rPr>
              <w:t>T</w:t>
            </w:r>
          </w:p>
        </w:tc>
        <w:tc>
          <w:tcPr>
            <w:tcW w:w="549" w:type="dxa"/>
            <w:tcBorders>
              <w:top w:val="nil"/>
              <w:left w:val="nil"/>
              <w:bottom w:val="single" w:sz="4" w:space="0" w:color="auto"/>
              <w:right w:val="single" w:sz="4" w:space="0" w:color="auto"/>
            </w:tcBorders>
            <w:noWrap/>
            <w:vAlign w:val="center"/>
          </w:tcPr>
          <w:p w14:paraId="6952AB69" w14:textId="77777777" w:rsidR="002B40DC" w:rsidRDefault="002B40DC" w:rsidP="008738F2">
            <w:pPr>
              <w:spacing w:after="60"/>
              <w:jc w:val="right"/>
              <w:rPr>
                <w:rFonts w:ascii="Arial" w:hAnsi="Arial" w:cs="Arial"/>
                <w:sz w:val="20"/>
                <w:szCs w:val="20"/>
              </w:rPr>
            </w:pPr>
            <w:r>
              <w:rPr>
                <w:rFonts w:ascii="Arial" w:hAnsi="Arial" w:cs="Arial"/>
                <w:sz w:val="20"/>
                <w:szCs w:val="20"/>
              </w:rPr>
              <w:t>0</w:t>
            </w:r>
          </w:p>
        </w:tc>
        <w:tc>
          <w:tcPr>
            <w:tcW w:w="660" w:type="dxa"/>
            <w:tcBorders>
              <w:top w:val="nil"/>
              <w:left w:val="nil"/>
              <w:bottom w:val="single" w:sz="4" w:space="0" w:color="auto"/>
              <w:right w:val="single" w:sz="4" w:space="0" w:color="auto"/>
            </w:tcBorders>
            <w:noWrap/>
            <w:vAlign w:val="center"/>
          </w:tcPr>
          <w:p w14:paraId="2386C060" w14:textId="77777777" w:rsidR="002B40DC" w:rsidRDefault="002B40DC" w:rsidP="008738F2">
            <w:pPr>
              <w:spacing w:after="60"/>
              <w:jc w:val="right"/>
              <w:rPr>
                <w:rFonts w:ascii="Arial" w:hAnsi="Arial" w:cs="Arial"/>
                <w:sz w:val="20"/>
                <w:szCs w:val="20"/>
              </w:rPr>
            </w:pPr>
            <w:r>
              <w:rPr>
                <w:rFonts w:ascii="Arial" w:hAnsi="Arial" w:cs="Arial"/>
                <w:sz w:val="20"/>
                <w:szCs w:val="20"/>
              </w:rPr>
              <w:t>T</w:t>
            </w:r>
          </w:p>
        </w:tc>
        <w:tc>
          <w:tcPr>
            <w:tcW w:w="613" w:type="dxa"/>
            <w:tcBorders>
              <w:top w:val="nil"/>
              <w:left w:val="nil"/>
              <w:bottom w:val="single" w:sz="4" w:space="0" w:color="auto"/>
              <w:right w:val="single" w:sz="4" w:space="0" w:color="auto"/>
            </w:tcBorders>
            <w:noWrap/>
            <w:vAlign w:val="center"/>
          </w:tcPr>
          <w:p w14:paraId="038EE591" w14:textId="77777777" w:rsidR="002B40DC" w:rsidRDefault="002B40DC" w:rsidP="008738F2">
            <w:pPr>
              <w:spacing w:after="60"/>
              <w:jc w:val="right"/>
              <w:rPr>
                <w:rFonts w:ascii="Arial" w:hAnsi="Arial" w:cs="Arial"/>
                <w:sz w:val="20"/>
                <w:szCs w:val="20"/>
              </w:rPr>
            </w:pPr>
            <w:r>
              <w:rPr>
                <w:rFonts w:ascii="Arial" w:hAnsi="Arial" w:cs="Arial"/>
                <w:sz w:val="20"/>
                <w:szCs w:val="20"/>
              </w:rPr>
              <w:t>T</w:t>
            </w:r>
          </w:p>
        </w:tc>
        <w:tc>
          <w:tcPr>
            <w:tcW w:w="644" w:type="dxa"/>
            <w:tcBorders>
              <w:top w:val="nil"/>
              <w:left w:val="nil"/>
              <w:bottom w:val="single" w:sz="4" w:space="0" w:color="auto"/>
              <w:right w:val="single" w:sz="4" w:space="0" w:color="auto"/>
            </w:tcBorders>
            <w:noWrap/>
            <w:vAlign w:val="center"/>
          </w:tcPr>
          <w:p w14:paraId="1C09921E" w14:textId="77777777" w:rsidR="002B40DC" w:rsidRDefault="002B40DC" w:rsidP="008738F2">
            <w:pPr>
              <w:spacing w:after="60"/>
              <w:jc w:val="right"/>
              <w:rPr>
                <w:rFonts w:ascii="Arial" w:hAnsi="Arial" w:cs="Arial"/>
                <w:sz w:val="20"/>
                <w:szCs w:val="20"/>
              </w:rPr>
            </w:pPr>
            <w:r>
              <w:rPr>
                <w:rFonts w:ascii="Arial" w:hAnsi="Arial" w:cs="Arial"/>
                <w:sz w:val="20"/>
                <w:szCs w:val="20"/>
              </w:rPr>
              <w:t>2.1</w:t>
            </w:r>
          </w:p>
        </w:tc>
        <w:tc>
          <w:tcPr>
            <w:tcW w:w="660" w:type="dxa"/>
            <w:tcBorders>
              <w:top w:val="nil"/>
              <w:left w:val="nil"/>
              <w:bottom w:val="single" w:sz="4" w:space="0" w:color="auto"/>
              <w:right w:val="single" w:sz="4" w:space="0" w:color="auto"/>
            </w:tcBorders>
            <w:noWrap/>
            <w:vAlign w:val="center"/>
          </w:tcPr>
          <w:p w14:paraId="36374358" w14:textId="77777777" w:rsidR="002B40DC" w:rsidRDefault="002B40DC" w:rsidP="008738F2">
            <w:pPr>
              <w:spacing w:after="60"/>
              <w:jc w:val="right"/>
              <w:rPr>
                <w:rFonts w:ascii="Arial" w:hAnsi="Arial" w:cs="Arial"/>
                <w:sz w:val="20"/>
                <w:szCs w:val="20"/>
              </w:rPr>
            </w:pPr>
            <w:r>
              <w:rPr>
                <w:rFonts w:ascii="Arial" w:hAnsi="Arial" w:cs="Arial"/>
                <w:sz w:val="20"/>
                <w:szCs w:val="20"/>
              </w:rPr>
              <w:t>6.9</w:t>
            </w:r>
          </w:p>
        </w:tc>
        <w:tc>
          <w:tcPr>
            <w:tcW w:w="644" w:type="dxa"/>
            <w:tcBorders>
              <w:top w:val="nil"/>
              <w:left w:val="nil"/>
              <w:bottom w:val="single" w:sz="4" w:space="0" w:color="auto"/>
              <w:right w:val="single" w:sz="4" w:space="0" w:color="auto"/>
            </w:tcBorders>
            <w:noWrap/>
            <w:vAlign w:val="center"/>
          </w:tcPr>
          <w:p w14:paraId="011F5486" w14:textId="77777777" w:rsidR="002B40DC" w:rsidRDefault="002B40DC" w:rsidP="008738F2">
            <w:pPr>
              <w:spacing w:after="60"/>
              <w:jc w:val="right"/>
              <w:rPr>
                <w:rFonts w:ascii="Arial" w:hAnsi="Arial" w:cs="Arial"/>
                <w:sz w:val="20"/>
                <w:szCs w:val="20"/>
              </w:rPr>
            </w:pPr>
            <w:r>
              <w:rPr>
                <w:rFonts w:ascii="Arial" w:hAnsi="Arial" w:cs="Arial"/>
                <w:sz w:val="20"/>
                <w:szCs w:val="20"/>
              </w:rPr>
              <w:t>14.8</w:t>
            </w:r>
          </w:p>
        </w:tc>
        <w:tc>
          <w:tcPr>
            <w:tcW w:w="755" w:type="dxa"/>
            <w:tcBorders>
              <w:top w:val="nil"/>
              <w:left w:val="nil"/>
              <w:bottom w:val="single" w:sz="4" w:space="0" w:color="auto"/>
              <w:right w:val="single" w:sz="4" w:space="0" w:color="auto"/>
            </w:tcBorders>
            <w:noWrap/>
            <w:vAlign w:val="center"/>
          </w:tcPr>
          <w:p w14:paraId="29FA4C15" w14:textId="77777777" w:rsidR="002B40DC" w:rsidRDefault="002B40DC" w:rsidP="008738F2">
            <w:pPr>
              <w:spacing w:after="60"/>
              <w:jc w:val="right"/>
              <w:rPr>
                <w:rFonts w:ascii="Arial" w:hAnsi="Arial" w:cs="Arial"/>
                <w:i/>
                <w:iCs/>
                <w:sz w:val="20"/>
                <w:szCs w:val="20"/>
              </w:rPr>
            </w:pPr>
            <w:r>
              <w:rPr>
                <w:rFonts w:ascii="Arial" w:hAnsi="Arial" w:cs="Arial"/>
                <w:i/>
                <w:iCs/>
                <w:sz w:val="20"/>
                <w:szCs w:val="20"/>
              </w:rPr>
              <w:t>78.2</w:t>
            </w:r>
          </w:p>
        </w:tc>
      </w:tr>
      <w:tr w:rsidR="002B40DC" w14:paraId="109CA43A" w14:textId="77777777" w:rsidTr="00915E78">
        <w:trPr>
          <w:trHeight w:val="255"/>
          <w:jc w:val="center"/>
        </w:trPr>
        <w:tc>
          <w:tcPr>
            <w:tcW w:w="3031" w:type="dxa"/>
            <w:tcBorders>
              <w:top w:val="nil"/>
              <w:left w:val="single" w:sz="4" w:space="0" w:color="auto"/>
              <w:bottom w:val="single" w:sz="4" w:space="0" w:color="auto"/>
              <w:right w:val="single" w:sz="4" w:space="0" w:color="auto"/>
            </w:tcBorders>
            <w:noWrap/>
            <w:vAlign w:val="center"/>
          </w:tcPr>
          <w:p w14:paraId="412581E4" w14:textId="77777777" w:rsidR="002B40DC" w:rsidRDefault="002B40DC" w:rsidP="008738F2">
            <w:pPr>
              <w:spacing w:after="60"/>
              <w:rPr>
                <w:rFonts w:ascii="Arial" w:hAnsi="Arial" w:cs="Arial"/>
                <w:sz w:val="20"/>
                <w:szCs w:val="20"/>
              </w:rPr>
            </w:pPr>
            <w:smartTag w:uri="urn:schemas-microsoft-com:office:smarttags" w:element="place">
              <w:smartTag w:uri="urn:schemas-microsoft-com:office:smarttags" w:element="City">
                <w:r>
                  <w:rPr>
                    <w:rFonts w:ascii="Arial" w:hAnsi="Arial" w:cs="Arial"/>
                    <w:sz w:val="20"/>
                    <w:szCs w:val="20"/>
                  </w:rPr>
                  <w:t>KOTZEBUE</w:t>
                </w:r>
              </w:smartTag>
              <w:r>
                <w:rPr>
                  <w:rFonts w:ascii="Arial" w:hAnsi="Arial" w:cs="Arial"/>
                  <w:sz w:val="20"/>
                  <w:szCs w:val="20"/>
                </w:rPr>
                <w:t xml:space="preserve">, </w:t>
              </w:r>
              <w:smartTag w:uri="urn:schemas-microsoft-com:office:smarttags" w:element="State">
                <w:r>
                  <w:rPr>
                    <w:rFonts w:ascii="Arial" w:hAnsi="Arial" w:cs="Arial"/>
                    <w:sz w:val="20"/>
                    <w:szCs w:val="20"/>
                  </w:rPr>
                  <w:t>AK</w:t>
                </w:r>
              </w:smartTag>
            </w:smartTag>
          </w:p>
        </w:tc>
        <w:tc>
          <w:tcPr>
            <w:tcW w:w="629" w:type="dxa"/>
            <w:tcBorders>
              <w:top w:val="nil"/>
              <w:left w:val="nil"/>
              <w:bottom w:val="single" w:sz="4" w:space="0" w:color="auto"/>
              <w:right w:val="single" w:sz="4" w:space="0" w:color="auto"/>
            </w:tcBorders>
            <w:noWrap/>
            <w:vAlign w:val="center"/>
          </w:tcPr>
          <w:p w14:paraId="56F4E454" w14:textId="77777777" w:rsidR="002B40DC" w:rsidRDefault="002B40DC" w:rsidP="008738F2">
            <w:pPr>
              <w:spacing w:after="60"/>
              <w:jc w:val="right"/>
              <w:rPr>
                <w:rFonts w:ascii="Arial" w:hAnsi="Arial" w:cs="Arial"/>
                <w:i/>
                <w:iCs/>
                <w:sz w:val="20"/>
                <w:szCs w:val="20"/>
              </w:rPr>
            </w:pPr>
            <w:r>
              <w:rPr>
                <w:rFonts w:ascii="Arial" w:hAnsi="Arial" w:cs="Arial"/>
                <w:i/>
                <w:iCs/>
                <w:sz w:val="20"/>
                <w:szCs w:val="20"/>
              </w:rPr>
              <w:t>61</w:t>
            </w:r>
          </w:p>
        </w:tc>
        <w:tc>
          <w:tcPr>
            <w:tcW w:w="597" w:type="dxa"/>
            <w:tcBorders>
              <w:top w:val="nil"/>
              <w:left w:val="nil"/>
              <w:bottom w:val="single" w:sz="4" w:space="0" w:color="auto"/>
              <w:right w:val="single" w:sz="4" w:space="0" w:color="auto"/>
            </w:tcBorders>
            <w:noWrap/>
            <w:vAlign w:val="center"/>
          </w:tcPr>
          <w:p w14:paraId="0BE8512C" w14:textId="77777777" w:rsidR="002B40DC" w:rsidRDefault="002B40DC" w:rsidP="008738F2">
            <w:pPr>
              <w:spacing w:after="60"/>
              <w:jc w:val="right"/>
              <w:rPr>
                <w:rFonts w:ascii="Arial" w:hAnsi="Arial" w:cs="Arial"/>
                <w:sz w:val="20"/>
                <w:szCs w:val="20"/>
              </w:rPr>
            </w:pPr>
            <w:r>
              <w:rPr>
                <w:rFonts w:ascii="Arial" w:hAnsi="Arial" w:cs="Arial"/>
                <w:sz w:val="20"/>
                <w:szCs w:val="20"/>
              </w:rPr>
              <w:t>7</w:t>
            </w:r>
          </w:p>
        </w:tc>
        <w:tc>
          <w:tcPr>
            <w:tcW w:w="597" w:type="dxa"/>
            <w:tcBorders>
              <w:top w:val="nil"/>
              <w:left w:val="nil"/>
              <w:bottom w:val="single" w:sz="4" w:space="0" w:color="auto"/>
              <w:right w:val="single" w:sz="4" w:space="0" w:color="auto"/>
            </w:tcBorders>
            <w:noWrap/>
            <w:vAlign w:val="center"/>
          </w:tcPr>
          <w:p w14:paraId="6A7EB29D" w14:textId="77777777" w:rsidR="002B40DC" w:rsidRDefault="002B40DC" w:rsidP="008738F2">
            <w:pPr>
              <w:spacing w:after="60"/>
              <w:jc w:val="right"/>
              <w:rPr>
                <w:rFonts w:ascii="Arial" w:hAnsi="Arial" w:cs="Arial"/>
                <w:sz w:val="20"/>
                <w:szCs w:val="20"/>
              </w:rPr>
            </w:pPr>
            <w:r>
              <w:rPr>
                <w:rFonts w:ascii="Arial" w:hAnsi="Arial" w:cs="Arial"/>
                <w:sz w:val="20"/>
                <w:szCs w:val="20"/>
              </w:rPr>
              <w:t>6</w:t>
            </w:r>
          </w:p>
        </w:tc>
        <w:tc>
          <w:tcPr>
            <w:tcW w:w="676" w:type="dxa"/>
            <w:tcBorders>
              <w:top w:val="nil"/>
              <w:left w:val="nil"/>
              <w:bottom w:val="single" w:sz="4" w:space="0" w:color="auto"/>
              <w:right w:val="single" w:sz="4" w:space="0" w:color="auto"/>
            </w:tcBorders>
            <w:noWrap/>
            <w:vAlign w:val="center"/>
          </w:tcPr>
          <w:p w14:paraId="199722A1" w14:textId="77777777" w:rsidR="002B40DC" w:rsidRDefault="002B40DC" w:rsidP="008738F2">
            <w:pPr>
              <w:spacing w:after="60"/>
              <w:jc w:val="right"/>
              <w:rPr>
                <w:rFonts w:ascii="Arial" w:hAnsi="Arial" w:cs="Arial"/>
                <w:sz w:val="20"/>
                <w:szCs w:val="20"/>
              </w:rPr>
            </w:pPr>
            <w:r>
              <w:rPr>
                <w:rFonts w:ascii="Arial" w:hAnsi="Arial" w:cs="Arial"/>
                <w:sz w:val="20"/>
                <w:szCs w:val="20"/>
              </w:rPr>
              <w:t>5.4</w:t>
            </w:r>
          </w:p>
        </w:tc>
        <w:tc>
          <w:tcPr>
            <w:tcW w:w="629" w:type="dxa"/>
            <w:tcBorders>
              <w:top w:val="nil"/>
              <w:left w:val="nil"/>
              <w:bottom w:val="single" w:sz="4" w:space="0" w:color="auto"/>
              <w:right w:val="single" w:sz="4" w:space="0" w:color="auto"/>
            </w:tcBorders>
            <w:noWrap/>
            <w:vAlign w:val="center"/>
          </w:tcPr>
          <w:p w14:paraId="56183C0D" w14:textId="77777777" w:rsidR="002B40DC" w:rsidRDefault="002B40DC" w:rsidP="008738F2">
            <w:pPr>
              <w:spacing w:after="60"/>
              <w:jc w:val="right"/>
              <w:rPr>
                <w:rFonts w:ascii="Arial" w:hAnsi="Arial" w:cs="Arial"/>
                <w:sz w:val="20"/>
                <w:szCs w:val="20"/>
              </w:rPr>
            </w:pPr>
            <w:r>
              <w:rPr>
                <w:rFonts w:ascii="Arial" w:hAnsi="Arial" w:cs="Arial"/>
                <w:sz w:val="20"/>
                <w:szCs w:val="20"/>
              </w:rPr>
              <w:t>5.4</w:t>
            </w:r>
          </w:p>
        </w:tc>
        <w:tc>
          <w:tcPr>
            <w:tcW w:w="660" w:type="dxa"/>
            <w:tcBorders>
              <w:top w:val="nil"/>
              <w:left w:val="nil"/>
              <w:bottom w:val="single" w:sz="4" w:space="0" w:color="auto"/>
              <w:right w:val="single" w:sz="4" w:space="0" w:color="auto"/>
            </w:tcBorders>
            <w:noWrap/>
            <w:vAlign w:val="center"/>
          </w:tcPr>
          <w:p w14:paraId="7AC49616" w14:textId="77777777" w:rsidR="002B40DC" w:rsidRDefault="002B40DC" w:rsidP="008738F2">
            <w:pPr>
              <w:spacing w:after="60"/>
              <w:jc w:val="right"/>
              <w:rPr>
                <w:rFonts w:ascii="Arial" w:hAnsi="Arial" w:cs="Arial"/>
                <w:sz w:val="20"/>
                <w:szCs w:val="20"/>
              </w:rPr>
            </w:pPr>
            <w:r>
              <w:rPr>
                <w:rFonts w:ascii="Arial" w:hAnsi="Arial" w:cs="Arial"/>
                <w:sz w:val="20"/>
                <w:szCs w:val="20"/>
              </w:rPr>
              <w:t>1.6</w:t>
            </w:r>
          </w:p>
        </w:tc>
        <w:tc>
          <w:tcPr>
            <w:tcW w:w="596" w:type="dxa"/>
            <w:tcBorders>
              <w:top w:val="nil"/>
              <w:left w:val="nil"/>
              <w:bottom w:val="single" w:sz="4" w:space="0" w:color="auto"/>
              <w:right w:val="single" w:sz="4" w:space="0" w:color="auto"/>
            </w:tcBorders>
            <w:noWrap/>
            <w:vAlign w:val="center"/>
          </w:tcPr>
          <w:p w14:paraId="62BEC240" w14:textId="77777777" w:rsidR="002B40DC" w:rsidRDefault="002B40DC" w:rsidP="008738F2">
            <w:pPr>
              <w:spacing w:after="60"/>
              <w:jc w:val="right"/>
              <w:rPr>
                <w:rFonts w:ascii="Arial" w:hAnsi="Arial" w:cs="Arial"/>
                <w:sz w:val="20"/>
                <w:szCs w:val="20"/>
              </w:rPr>
            </w:pPr>
            <w:r>
              <w:rPr>
                <w:rFonts w:ascii="Arial" w:hAnsi="Arial" w:cs="Arial"/>
                <w:sz w:val="20"/>
                <w:szCs w:val="20"/>
              </w:rPr>
              <w:t>0.1</w:t>
            </w:r>
          </w:p>
        </w:tc>
        <w:tc>
          <w:tcPr>
            <w:tcW w:w="549" w:type="dxa"/>
            <w:tcBorders>
              <w:top w:val="nil"/>
              <w:left w:val="nil"/>
              <w:bottom w:val="single" w:sz="4" w:space="0" w:color="auto"/>
              <w:right w:val="single" w:sz="4" w:space="0" w:color="auto"/>
            </w:tcBorders>
            <w:noWrap/>
            <w:vAlign w:val="center"/>
          </w:tcPr>
          <w:p w14:paraId="4B2EFF9E" w14:textId="77777777" w:rsidR="002B40DC" w:rsidRDefault="002B40DC" w:rsidP="008738F2">
            <w:pPr>
              <w:spacing w:after="60"/>
              <w:jc w:val="right"/>
              <w:rPr>
                <w:rFonts w:ascii="Arial" w:hAnsi="Arial" w:cs="Arial"/>
                <w:sz w:val="20"/>
                <w:szCs w:val="20"/>
              </w:rPr>
            </w:pPr>
            <w:r>
              <w:rPr>
                <w:rFonts w:ascii="Arial" w:hAnsi="Arial" w:cs="Arial"/>
                <w:sz w:val="20"/>
                <w:szCs w:val="20"/>
              </w:rPr>
              <w:t>T</w:t>
            </w:r>
          </w:p>
        </w:tc>
        <w:tc>
          <w:tcPr>
            <w:tcW w:w="660" w:type="dxa"/>
            <w:tcBorders>
              <w:top w:val="nil"/>
              <w:left w:val="nil"/>
              <w:bottom w:val="single" w:sz="4" w:space="0" w:color="auto"/>
              <w:right w:val="single" w:sz="4" w:space="0" w:color="auto"/>
            </w:tcBorders>
            <w:noWrap/>
            <w:vAlign w:val="center"/>
          </w:tcPr>
          <w:p w14:paraId="65113F97" w14:textId="77777777" w:rsidR="002B40DC" w:rsidRDefault="002B40DC" w:rsidP="008738F2">
            <w:pPr>
              <w:spacing w:after="60"/>
              <w:jc w:val="right"/>
              <w:rPr>
                <w:rFonts w:ascii="Arial" w:hAnsi="Arial" w:cs="Arial"/>
                <w:sz w:val="20"/>
                <w:szCs w:val="20"/>
              </w:rPr>
            </w:pPr>
            <w:r>
              <w:rPr>
                <w:rFonts w:ascii="Arial" w:hAnsi="Arial" w:cs="Arial"/>
                <w:sz w:val="20"/>
                <w:szCs w:val="20"/>
              </w:rPr>
              <w:t>0</w:t>
            </w:r>
          </w:p>
        </w:tc>
        <w:tc>
          <w:tcPr>
            <w:tcW w:w="613" w:type="dxa"/>
            <w:tcBorders>
              <w:top w:val="nil"/>
              <w:left w:val="nil"/>
              <w:bottom w:val="single" w:sz="4" w:space="0" w:color="auto"/>
              <w:right w:val="single" w:sz="4" w:space="0" w:color="auto"/>
            </w:tcBorders>
            <w:noWrap/>
            <w:vAlign w:val="center"/>
          </w:tcPr>
          <w:p w14:paraId="61C172F9" w14:textId="77777777" w:rsidR="002B40DC" w:rsidRDefault="002B40DC" w:rsidP="008738F2">
            <w:pPr>
              <w:spacing w:after="60"/>
              <w:jc w:val="right"/>
              <w:rPr>
                <w:rFonts w:ascii="Arial" w:hAnsi="Arial" w:cs="Arial"/>
                <w:sz w:val="20"/>
                <w:szCs w:val="20"/>
              </w:rPr>
            </w:pPr>
            <w:r>
              <w:rPr>
                <w:rFonts w:ascii="Arial" w:hAnsi="Arial" w:cs="Arial"/>
                <w:sz w:val="20"/>
                <w:szCs w:val="20"/>
              </w:rPr>
              <w:t>1.2</w:t>
            </w:r>
          </w:p>
        </w:tc>
        <w:tc>
          <w:tcPr>
            <w:tcW w:w="644" w:type="dxa"/>
            <w:tcBorders>
              <w:top w:val="nil"/>
              <w:left w:val="nil"/>
              <w:bottom w:val="single" w:sz="4" w:space="0" w:color="auto"/>
              <w:right w:val="single" w:sz="4" w:space="0" w:color="auto"/>
            </w:tcBorders>
            <w:noWrap/>
            <w:vAlign w:val="center"/>
          </w:tcPr>
          <w:p w14:paraId="5564A29B" w14:textId="77777777" w:rsidR="002B40DC" w:rsidRDefault="002B40DC" w:rsidP="008738F2">
            <w:pPr>
              <w:spacing w:after="60"/>
              <w:jc w:val="right"/>
              <w:rPr>
                <w:rFonts w:ascii="Arial" w:hAnsi="Arial" w:cs="Arial"/>
                <w:sz w:val="20"/>
                <w:szCs w:val="20"/>
              </w:rPr>
            </w:pPr>
            <w:r>
              <w:rPr>
                <w:rFonts w:ascii="Arial" w:hAnsi="Arial" w:cs="Arial"/>
                <w:sz w:val="20"/>
                <w:szCs w:val="20"/>
              </w:rPr>
              <w:t>6.4</w:t>
            </w:r>
          </w:p>
        </w:tc>
        <w:tc>
          <w:tcPr>
            <w:tcW w:w="660" w:type="dxa"/>
            <w:tcBorders>
              <w:top w:val="nil"/>
              <w:left w:val="nil"/>
              <w:bottom w:val="single" w:sz="4" w:space="0" w:color="auto"/>
              <w:right w:val="single" w:sz="4" w:space="0" w:color="auto"/>
            </w:tcBorders>
            <w:noWrap/>
            <w:vAlign w:val="center"/>
          </w:tcPr>
          <w:p w14:paraId="10BF0095" w14:textId="77777777" w:rsidR="002B40DC" w:rsidRDefault="002B40DC" w:rsidP="008738F2">
            <w:pPr>
              <w:spacing w:after="60"/>
              <w:jc w:val="right"/>
              <w:rPr>
                <w:rFonts w:ascii="Arial" w:hAnsi="Arial" w:cs="Arial"/>
                <w:sz w:val="20"/>
                <w:szCs w:val="20"/>
              </w:rPr>
            </w:pPr>
            <w:r>
              <w:rPr>
                <w:rFonts w:ascii="Arial" w:hAnsi="Arial" w:cs="Arial"/>
                <w:sz w:val="20"/>
                <w:szCs w:val="20"/>
              </w:rPr>
              <w:t>9.2</w:t>
            </w:r>
          </w:p>
        </w:tc>
        <w:tc>
          <w:tcPr>
            <w:tcW w:w="644" w:type="dxa"/>
            <w:tcBorders>
              <w:top w:val="nil"/>
              <w:left w:val="nil"/>
              <w:bottom w:val="single" w:sz="4" w:space="0" w:color="auto"/>
              <w:right w:val="single" w:sz="4" w:space="0" w:color="auto"/>
            </w:tcBorders>
            <w:noWrap/>
            <w:vAlign w:val="center"/>
          </w:tcPr>
          <w:p w14:paraId="0A8619AA" w14:textId="77777777" w:rsidR="002B40DC" w:rsidRDefault="002B40DC" w:rsidP="008738F2">
            <w:pPr>
              <w:spacing w:after="60"/>
              <w:jc w:val="right"/>
              <w:rPr>
                <w:rFonts w:ascii="Arial" w:hAnsi="Arial" w:cs="Arial"/>
                <w:sz w:val="20"/>
                <w:szCs w:val="20"/>
              </w:rPr>
            </w:pPr>
            <w:r>
              <w:rPr>
                <w:rFonts w:ascii="Arial" w:hAnsi="Arial" w:cs="Arial"/>
                <w:sz w:val="20"/>
                <w:szCs w:val="20"/>
              </w:rPr>
              <w:t>8.5</w:t>
            </w:r>
          </w:p>
        </w:tc>
        <w:tc>
          <w:tcPr>
            <w:tcW w:w="755" w:type="dxa"/>
            <w:tcBorders>
              <w:top w:val="nil"/>
              <w:left w:val="nil"/>
              <w:bottom w:val="single" w:sz="4" w:space="0" w:color="auto"/>
              <w:right w:val="single" w:sz="4" w:space="0" w:color="auto"/>
            </w:tcBorders>
            <w:noWrap/>
            <w:vAlign w:val="center"/>
          </w:tcPr>
          <w:p w14:paraId="559357D0" w14:textId="77777777" w:rsidR="002B40DC" w:rsidRDefault="002B40DC" w:rsidP="008738F2">
            <w:pPr>
              <w:spacing w:after="60"/>
              <w:jc w:val="right"/>
              <w:rPr>
                <w:rFonts w:ascii="Arial" w:hAnsi="Arial" w:cs="Arial"/>
                <w:i/>
                <w:iCs/>
                <w:sz w:val="20"/>
                <w:szCs w:val="20"/>
              </w:rPr>
            </w:pPr>
            <w:r>
              <w:rPr>
                <w:rFonts w:ascii="Arial" w:hAnsi="Arial" w:cs="Arial"/>
                <w:i/>
                <w:iCs/>
                <w:sz w:val="20"/>
                <w:szCs w:val="20"/>
              </w:rPr>
              <w:t>50.8</w:t>
            </w:r>
          </w:p>
        </w:tc>
      </w:tr>
      <w:tr w:rsidR="002B40DC" w14:paraId="12E5B4F0" w14:textId="77777777" w:rsidTr="00915E78">
        <w:trPr>
          <w:trHeight w:val="255"/>
          <w:jc w:val="center"/>
        </w:trPr>
        <w:tc>
          <w:tcPr>
            <w:tcW w:w="3031" w:type="dxa"/>
            <w:tcBorders>
              <w:top w:val="nil"/>
              <w:left w:val="single" w:sz="4" w:space="0" w:color="auto"/>
              <w:bottom w:val="single" w:sz="4" w:space="0" w:color="auto"/>
              <w:right w:val="single" w:sz="4" w:space="0" w:color="auto"/>
            </w:tcBorders>
            <w:noWrap/>
            <w:vAlign w:val="center"/>
          </w:tcPr>
          <w:p w14:paraId="6454FA7E" w14:textId="77777777" w:rsidR="002B40DC" w:rsidRDefault="002B40DC" w:rsidP="008738F2">
            <w:pPr>
              <w:spacing w:after="60"/>
              <w:rPr>
                <w:rFonts w:ascii="Arial" w:hAnsi="Arial" w:cs="Arial"/>
                <w:sz w:val="20"/>
                <w:szCs w:val="20"/>
              </w:rPr>
            </w:pPr>
            <w:smartTag w:uri="urn:schemas-microsoft-com:office:smarttags" w:element="place">
              <w:smartTag w:uri="urn:schemas-microsoft-com:office:smarttags" w:element="City">
                <w:r>
                  <w:rPr>
                    <w:rFonts w:ascii="Arial" w:hAnsi="Arial" w:cs="Arial"/>
                    <w:sz w:val="20"/>
                    <w:szCs w:val="20"/>
                  </w:rPr>
                  <w:t>MCGRATH</w:t>
                </w:r>
              </w:smartTag>
              <w:r>
                <w:rPr>
                  <w:rFonts w:ascii="Arial" w:hAnsi="Arial" w:cs="Arial"/>
                  <w:sz w:val="20"/>
                  <w:szCs w:val="20"/>
                </w:rPr>
                <w:t xml:space="preserve">, </w:t>
              </w:r>
              <w:smartTag w:uri="urn:schemas-microsoft-com:office:smarttags" w:element="State">
                <w:r>
                  <w:rPr>
                    <w:rFonts w:ascii="Arial" w:hAnsi="Arial" w:cs="Arial"/>
                    <w:sz w:val="20"/>
                    <w:szCs w:val="20"/>
                  </w:rPr>
                  <w:t>AK</w:t>
                </w:r>
              </w:smartTag>
            </w:smartTag>
          </w:p>
        </w:tc>
        <w:tc>
          <w:tcPr>
            <w:tcW w:w="629" w:type="dxa"/>
            <w:tcBorders>
              <w:top w:val="nil"/>
              <w:left w:val="nil"/>
              <w:bottom w:val="single" w:sz="4" w:space="0" w:color="auto"/>
              <w:right w:val="single" w:sz="4" w:space="0" w:color="auto"/>
            </w:tcBorders>
            <w:noWrap/>
            <w:vAlign w:val="center"/>
          </w:tcPr>
          <w:p w14:paraId="2B1AA12C" w14:textId="77777777" w:rsidR="002B40DC" w:rsidRDefault="002B40DC" w:rsidP="008738F2">
            <w:pPr>
              <w:spacing w:after="60"/>
              <w:jc w:val="right"/>
              <w:rPr>
                <w:rFonts w:ascii="Arial" w:hAnsi="Arial" w:cs="Arial"/>
                <w:i/>
                <w:iCs/>
                <w:sz w:val="20"/>
                <w:szCs w:val="20"/>
              </w:rPr>
            </w:pPr>
            <w:r>
              <w:rPr>
                <w:rFonts w:ascii="Arial" w:hAnsi="Arial" w:cs="Arial"/>
                <w:i/>
                <w:iCs/>
                <w:sz w:val="20"/>
                <w:szCs w:val="20"/>
              </w:rPr>
              <w:t>61</w:t>
            </w:r>
          </w:p>
        </w:tc>
        <w:tc>
          <w:tcPr>
            <w:tcW w:w="597" w:type="dxa"/>
            <w:tcBorders>
              <w:top w:val="nil"/>
              <w:left w:val="nil"/>
              <w:bottom w:val="single" w:sz="4" w:space="0" w:color="auto"/>
              <w:right w:val="single" w:sz="4" w:space="0" w:color="auto"/>
            </w:tcBorders>
            <w:noWrap/>
            <w:vAlign w:val="center"/>
          </w:tcPr>
          <w:p w14:paraId="37A5CFF4" w14:textId="77777777" w:rsidR="002B40DC" w:rsidRDefault="002B40DC" w:rsidP="008738F2">
            <w:pPr>
              <w:spacing w:after="60"/>
              <w:jc w:val="right"/>
              <w:rPr>
                <w:rFonts w:ascii="Arial" w:hAnsi="Arial" w:cs="Arial"/>
                <w:sz w:val="20"/>
                <w:szCs w:val="20"/>
              </w:rPr>
            </w:pPr>
            <w:r>
              <w:rPr>
                <w:rFonts w:ascii="Arial" w:hAnsi="Arial" w:cs="Arial"/>
                <w:sz w:val="20"/>
                <w:szCs w:val="20"/>
              </w:rPr>
              <w:t>14.7</w:t>
            </w:r>
          </w:p>
        </w:tc>
        <w:tc>
          <w:tcPr>
            <w:tcW w:w="597" w:type="dxa"/>
            <w:tcBorders>
              <w:top w:val="nil"/>
              <w:left w:val="nil"/>
              <w:bottom w:val="single" w:sz="4" w:space="0" w:color="auto"/>
              <w:right w:val="single" w:sz="4" w:space="0" w:color="auto"/>
            </w:tcBorders>
            <w:noWrap/>
            <w:vAlign w:val="center"/>
          </w:tcPr>
          <w:p w14:paraId="6F279B9B" w14:textId="77777777" w:rsidR="002B40DC" w:rsidRDefault="002B40DC" w:rsidP="008738F2">
            <w:pPr>
              <w:spacing w:after="60"/>
              <w:jc w:val="right"/>
              <w:rPr>
                <w:rFonts w:ascii="Arial" w:hAnsi="Arial" w:cs="Arial"/>
                <w:sz w:val="20"/>
                <w:szCs w:val="20"/>
              </w:rPr>
            </w:pPr>
            <w:r>
              <w:rPr>
                <w:rFonts w:ascii="Arial" w:hAnsi="Arial" w:cs="Arial"/>
                <w:sz w:val="20"/>
                <w:szCs w:val="20"/>
              </w:rPr>
              <w:t>12.5</w:t>
            </w:r>
          </w:p>
        </w:tc>
        <w:tc>
          <w:tcPr>
            <w:tcW w:w="676" w:type="dxa"/>
            <w:tcBorders>
              <w:top w:val="nil"/>
              <w:left w:val="nil"/>
              <w:bottom w:val="single" w:sz="4" w:space="0" w:color="auto"/>
              <w:right w:val="single" w:sz="4" w:space="0" w:color="auto"/>
            </w:tcBorders>
            <w:noWrap/>
            <w:vAlign w:val="center"/>
          </w:tcPr>
          <w:p w14:paraId="5D896C96" w14:textId="77777777" w:rsidR="002B40DC" w:rsidRDefault="002B40DC" w:rsidP="008738F2">
            <w:pPr>
              <w:spacing w:after="60"/>
              <w:jc w:val="right"/>
              <w:rPr>
                <w:rFonts w:ascii="Arial" w:hAnsi="Arial" w:cs="Arial"/>
                <w:sz w:val="20"/>
                <w:szCs w:val="20"/>
              </w:rPr>
            </w:pPr>
            <w:r>
              <w:rPr>
                <w:rFonts w:ascii="Arial" w:hAnsi="Arial" w:cs="Arial"/>
                <w:sz w:val="20"/>
                <w:szCs w:val="20"/>
              </w:rPr>
              <w:t>11.3</w:t>
            </w:r>
          </w:p>
        </w:tc>
        <w:tc>
          <w:tcPr>
            <w:tcW w:w="629" w:type="dxa"/>
            <w:tcBorders>
              <w:top w:val="nil"/>
              <w:left w:val="nil"/>
              <w:bottom w:val="single" w:sz="4" w:space="0" w:color="auto"/>
              <w:right w:val="single" w:sz="4" w:space="0" w:color="auto"/>
            </w:tcBorders>
            <w:noWrap/>
            <w:vAlign w:val="center"/>
          </w:tcPr>
          <w:p w14:paraId="7C17AA41" w14:textId="77777777" w:rsidR="002B40DC" w:rsidRDefault="002B40DC" w:rsidP="008738F2">
            <w:pPr>
              <w:spacing w:after="60"/>
              <w:jc w:val="right"/>
              <w:rPr>
                <w:rFonts w:ascii="Arial" w:hAnsi="Arial" w:cs="Arial"/>
                <w:sz w:val="20"/>
                <w:szCs w:val="20"/>
              </w:rPr>
            </w:pPr>
            <w:r>
              <w:rPr>
                <w:rFonts w:ascii="Arial" w:hAnsi="Arial" w:cs="Arial"/>
                <w:sz w:val="20"/>
                <w:szCs w:val="20"/>
              </w:rPr>
              <w:t>6.8</w:t>
            </w:r>
          </w:p>
        </w:tc>
        <w:tc>
          <w:tcPr>
            <w:tcW w:w="660" w:type="dxa"/>
            <w:tcBorders>
              <w:top w:val="nil"/>
              <w:left w:val="nil"/>
              <w:bottom w:val="single" w:sz="4" w:space="0" w:color="auto"/>
              <w:right w:val="single" w:sz="4" w:space="0" w:color="auto"/>
            </w:tcBorders>
            <w:noWrap/>
            <w:vAlign w:val="center"/>
          </w:tcPr>
          <w:p w14:paraId="32EB71CE" w14:textId="77777777" w:rsidR="002B40DC" w:rsidRDefault="002B40DC" w:rsidP="008738F2">
            <w:pPr>
              <w:spacing w:after="60"/>
              <w:jc w:val="right"/>
              <w:rPr>
                <w:rFonts w:ascii="Arial" w:hAnsi="Arial" w:cs="Arial"/>
                <w:sz w:val="20"/>
                <w:szCs w:val="20"/>
              </w:rPr>
            </w:pPr>
            <w:r>
              <w:rPr>
                <w:rFonts w:ascii="Arial" w:hAnsi="Arial" w:cs="Arial"/>
                <w:sz w:val="20"/>
                <w:szCs w:val="20"/>
              </w:rPr>
              <w:t>0.9</w:t>
            </w:r>
          </w:p>
        </w:tc>
        <w:tc>
          <w:tcPr>
            <w:tcW w:w="596" w:type="dxa"/>
            <w:tcBorders>
              <w:top w:val="nil"/>
              <w:left w:val="nil"/>
              <w:bottom w:val="single" w:sz="4" w:space="0" w:color="auto"/>
              <w:right w:val="single" w:sz="4" w:space="0" w:color="auto"/>
            </w:tcBorders>
            <w:noWrap/>
            <w:vAlign w:val="center"/>
          </w:tcPr>
          <w:p w14:paraId="0D79BEC9" w14:textId="77777777" w:rsidR="002B40DC" w:rsidRDefault="002B40DC" w:rsidP="008738F2">
            <w:pPr>
              <w:spacing w:after="60"/>
              <w:jc w:val="right"/>
              <w:rPr>
                <w:rFonts w:ascii="Arial" w:hAnsi="Arial" w:cs="Arial"/>
                <w:sz w:val="20"/>
                <w:szCs w:val="20"/>
              </w:rPr>
            </w:pPr>
            <w:r>
              <w:rPr>
                <w:rFonts w:ascii="Arial" w:hAnsi="Arial" w:cs="Arial"/>
                <w:sz w:val="20"/>
                <w:szCs w:val="20"/>
              </w:rPr>
              <w:t>T</w:t>
            </w:r>
          </w:p>
        </w:tc>
        <w:tc>
          <w:tcPr>
            <w:tcW w:w="549" w:type="dxa"/>
            <w:tcBorders>
              <w:top w:val="nil"/>
              <w:left w:val="nil"/>
              <w:bottom w:val="single" w:sz="4" w:space="0" w:color="auto"/>
              <w:right w:val="single" w:sz="4" w:space="0" w:color="auto"/>
            </w:tcBorders>
            <w:noWrap/>
            <w:vAlign w:val="center"/>
          </w:tcPr>
          <w:p w14:paraId="1298DB6C" w14:textId="77777777" w:rsidR="002B40DC" w:rsidRDefault="002B40DC" w:rsidP="008738F2">
            <w:pPr>
              <w:spacing w:after="60"/>
              <w:jc w:val="right"/>
              <w:rPr>
                <w:rFonts w:ascii="Arial" w:hAnsi="Arial" w:cs="Arial"/>
                <w:sz w:val="20"/>
                <w:szCs w:val="20"/>
              </w:rPr>
            </w:pPr>
            <w:r>
              <w:rPr>
                <w:rFonts w:ascii="Arial" w:hAnsi="Arial" w:cs="Arial"/>
                <w:sz w:val="20"/>
                <w:szCs w:val="20"/>
              </w:rPr>
              <w:t>T</w:t>
            </w:r>
          </w:p>
        </w:tc>
        <w:tc>
          <w:tcPr>
            <w:tcW w:w="660" w:type="dxa"/>
            <w:tcBorders>
              <w:top w:val="nil"/>
              <w:left w:val="nil"/>
              <w:bottom w:val="single" w:sz="4" w:space="0" w:color="auto"/>
              <w:right w:val="single" w:sz="4" w:space="0" w:color="auto"/>
            </w:tcBorders>
            <w:noWrap/>
            <w:vAlign w:val="center"/>
          </w:tcPr>
          <w:p w14:paraId="0D266CC5" w14:textId="77777777" w:rsidR="002B40DC" w:rsidRDefault="002B40DC" w:rsidP="008738F2">
            <w:pPr>
              <w:spacing w:after="60"/>
              <w:jc w:val="right"/>
              <w:rPr>
                <w:rFonts w:ascii="Arial" w:hAnsi="Arial" w:cs="Arial"/>
                <w:sz w:val="20"/>
                <w:szCs w:val="20"/>
              </w:rPr>
            </w:pPr>
            <w:r>
              <w:rPr>
                <w:rFonts w:ascii="Arial" w:hAnsi="Arial" w:cs="Arial"/>
                <w:sz w:val="20"/>
                <w:szCs w:val="20"/>
              </w:rPr>
              <w:t>T</w:t>
            </w:r>
          </w:p>
        </w:tc>
        <w:tc>
          <w:tcPr>
            <w:tcW w:w="613" w:type="dxa"/>
            <w:tcBorders>
              <w:top w:val="nil"/>
              <w:left w:val="nil"/>
              <w:bottom w:val="single" w:sz="4" w:space="0" w:color="auto"/>
              <w:right w:val="single" w:sz="4" w:space="0" w:color="auto"/>
            </w:tcBorders>
            <w:noWrap/>
            <w:vAlign w:val="center"/>
          </w:tcPr>
          <w:p w14:paraId="16276D54" w14:textId="77777777" w:rsidR="002B40DC" w:rsidRDefault="002B40DC" w:rsidP="008738F2">
            <w:pPr>
              <w:spacing w:after="60"/>
              <w:jc w:val="right"/>
              <w:rPr>
                <w:rFonts w:ascii="Arial" w:hAnsi="Arial" w:cs="Arial"/>
                <w:sz w:val="20"/>
                <w:szCs w:val="20"/>
              </w:rPr>
            </w:pPr>
            <w:r>
              <w:rPr>
                <w:rFonts w:ascii="Arial" w:hAnsi="Arial" w:cs="Arial"/>
                <w:sz w:val="20"/>
                <w:szCs w:val="20"/>
              </w:rPr>
              <w:t>1.2</w:t>
            </w:r>
          </w:p>
        </w:tc>
        <w:tc>
          <w:tcPr>
            <w:tcW w:w="644" w:type="dxa"/>
            <w:tcBorders>
              <w:top w:val="nil"/>
              <w:left w:val="nil"/>
              <w:bottom w:val="single" w:sz="4" w:space="0" w:color="auto"/>
              <w:right w:val="single" w:sz="4" w:space="0" w:color="auto"/>
            </w:tcBorders>
            <w:noWrap/>
            <w:vAlign w:val="center"/>
          </w:tcPr>
          <w:p w14:paraId="0199E5FE" w14:textId="77777777" w:rsidR="002B40DC" w:rsidRDefault="002B40DC" w:rsidP="008738F2">
            <w:pPr>
              <w:spacing w:after="60"/>
              <w:jc w:val="right"/>
              <w:rPr>
                <w:rFonts w:ascii="Arial" w:hAnsi="Arial" w:cs="Arial"/>
                <w:sz w:val="20"/>
                <w:szCs w:val="20"/>
              </w:rPr>
            </w:pPr>
            <w:r>
              <w:rPr>
                <w:rFonts w:ascii="Arial" w:hAnsi="Arial" w:cs="Arial"/>
                <w:sz w:val="20"/>
                <w:szCs w:val="20"/>
              </w:rPr>
              <w:t>10.1</w:t>
            </w:r>
          </w:p>
        </w:tc>
        <w:tc>
          <w:tcPr>
            <w:tcW w:w="660" w:type="dxa"/>
            <w:tcBorders>
              <w:top w:val="nil"/>
              <w:left w:val="nil"/>
              <w:bottom w:val="single" w:sz="4" w:space="0" w:color="auto"/>
              <w:right w:val="single" w:sz="4" w:space="0" w:color="auto"/>
            </w:tcBorders>
            <w:noWrap/>
            <w:vAlign w:val="center"/>
          </w:tcPr>
          <w:p w14:paraId="0818F6C7" w14:textId="77777777" w:rsidR="002B40DC" w:rsidRDefault="002B40DC" w:rsidP="008738F2">
            <w:pPr>
              <w:spacing w:after="60"/>
              <w:jc w:val="right"/>
              <w:rPr>
                <w:rFonts w:ascii="Arial" w:hAnsi="Arial" w:cs="Arial"/>
                <w:sz w:val="20"/>
                <w:szCs w:val="20"/>
              </w:rPr>
            </w:pPr>
            <w:r>
              <w:rPr>
                <w:rFonts w:ascii="Arial" w:hAnsi="Arial" w:cs="Arial"/>
                <w:sz w:val="20"/>
                <w:szCs w:val="20"/>
              </w:rPr>
              <w:t>16.9</w:t>
            </w:r>
          </w:p>
        </w:tc>
        <w:tc>
          <w:tcPr>
            <w:tcW w:w="644" w:type="dxa"/>
            <w:tcBorders>
              <w:top w:val="nil"/>
              <w:left w:val="nil"/>
              <w:bottom w:val="single" w:sz="4" w:space="0" w:color="auto"/>
              <w:right w:val="single" w:sz="4" w:space="0" w:color="auto"/>
            </w:tcBorders>
            <w:noWrap/>
            <w:vAlign w:val="center"/>
          </w:tcPr>
          <w:p w14:paraId="40BFD7EE" w14:textId="77777777" w:rsidR="002B40DC" w:rsidRDefault="002B40DC" w:rsidP="008738F2">
            <w:pPr>
              <w:spacing w:after="60"/>
              <w:jc w:val="right"/>
              <w:rPr>
                <w:rFonts w:ascii="Arial" w:hAnsi="Arial" w:cs="Arial"/>
                <w:sz w:val="20"/>
                <w:szCs w:val="20"/>
              </w:rPr>
            </w:pPr>
            <w:r>
              <w:rPr>
                <w:rFonts w:ascii="Arial" w:hAnsi="Arial" w:cs="Arial"/>
                <w:sz w:val="20"/>
                <w:szCs w:val="20"/>
              </w:rPr>
              <w:t>18.5</w:t>
            </w:r>
          </w:p>
        </w:tc>
        <w:tc>
          <w:tcPr>
            <w:tcW w:w="755" w:type="dxa"/>
            <w:tcBorders>
              <w:top w:val="nil"/>
              <w:left w:val="nil"/>
              <w:bottom w:val="single" w:sz="4" w:space="0" w:color="auto"/>
              <w:right w:val="single" w:sz="4" w:space="0" w:color="auto"/>
            </w:tcBorders>
            <w:noWrap/>
            <w:vAlign w:val="center"/>
          </w:tcPr>
          <w:p w14:paraId="1ACBAE2D" w14:textId="77777777" w:rsidR="002B40DC" w:rsidRDefault="002B40DC" w:rsidP="008738F2">
            <w:pPr>
              <w:spacing w:after="60"/>
              <w:jc w:val="right"/>
              <w:rPr>
                <w:rFonts w:ascii="Arial" w:hAnsi="Arial" w:cs="Arial"/>
                <w:i/>
                <w:iCs/>
                <w:sz w:val="20"/>
                <w:szCs w:val="20"/>
              </w:rPr>
            </w:pPr>
            <w:r>
              <w:rPr>
                <w:rFonts w:ascii="Arial" w:hAnsi="Arial" w:cs="Arial"/>
                <w:i/>
                <w:iCs/>
                <w:sz w:val="20"/>
                <w:szCs w:val="20"/>
              </w:rPr>
              <w:t>92.9</w:t>
            </w:r>
          </w:p>
        </w:tc>
      </w:tr>
      <w:tr w:rsidR="002B40DC" w14:paraId="0C4E1B72" w14:textId="77777777" w:rsidTr="00915E78">
        <w:trPr>
          <w:trHeight w:val="255"/>
          <w:jc w:val="center"/>
        </w:trPr>
        <w:tc>
          <w:tcPr>
            <w:tcW w:w="3031" w:type="dxa"/>
            <w:tcBorders>
              <w:top w:val="nil"/>
              <w:left w:val="single" w:sz="4" w:space="0" w:color="auto"/>
              <w:bottom w:val="single" w:sz="4" w:space="0" w:color="auto"/>
              <w:right w:val="single" w:sz="4" w:space="0" w:color="auto"/>
            </w:tcBorders>
            <w:noWrap/>
            <w:vAlign w:val="center"/>
          </w:tcPr>
          <w:p w14:paraId="115B24B2" w14:textId="77777777" w:rsidR="002B40DC" w:rsidRDefault="002B40DC" w:rsidP="008738F2">
            <w:pPr>
              <w:spacing w:after="60"/>
              <w:rPr>
                <w:rFonts w:ascii="Arial" w:hAnsi="Arial" w:cs="Arial"/>
                <w:sz w:val="20"/>
                <w:szCs w:val="20"/>
              </w:rPr>
            </w:pPr>
            <w:smartTag w:uri="urn:schemas-microsoft-com:office:smarttags" w:element="place">
              <w:smartTag w:uri="urn:schemas-microsoft-com:office:smarttags" w:element="City">
                <w:r>
                  <w:rPr>
                    <w:rFonts w:ascii="Arial" w:hAnsi="Arial" w:cs="Arial"/>
                    <w:sz w:val="20"/>
                    <w:szCs w:val="20"/>
                  </w:rPr>
                  <w:t>NOME</w:t>
                </w:r>
              </w:smartTag>
              <w:r>
                <w:rPr>
                  <w:rFonts w:ascii="Arial" w:hAnsi="Arial" w:cs="Arial"/>
                  <w:sz w:val="20"/>
                  <w:szCs w:val="20"/>
                </w:rPr>
                <w:t xml:space="preserve">, </w:t>
              </w:r>
              <w:smartTag w:uri="urn:schemas-microsoft-com:office:smarttags" w:element="State">
                <w:r>
                  <w:rPr>
                    <w:rFonts w:ascii="Arial" w:hAnsi="Arial" w:cs="Arial"/>
                    <w:sz w:val="20"/>
                    <w:szCs w:val="20"/>
                  </w:rPr>
                  <w:t>AK</w:t>
                </w:r>
              </w:smartTag>
            </w:smartTag>
          </w:p>
        </w:tc>
        <w:tc>
          <w:tcPr>
            <w:tcW w:w="629" w:type="dxa"/>
            <w:tcBorders>
              <w:top w:val="nil"/>
              <w:left w:val="nil"/>
              <w:bottom w:val="single" w:sz="4" w:space="0" w:color="auto"/>
              <w:right w:val="single" w:sz="4" w:space="0" w:color="auto"/>
            </w:tcBorders>
            <w:noWrap/>
            <w:vAlign w:val="center"/>
          </w:tcPr>
          <w:p w14:paraId="709B7B68" w14:textId="77777777" w:rsidR="002B40DC" w:rsidRDefault="002B40DC" w:rsidP="008738F2">
            <w:pPr>
              <w:spacing w:after="60"/>
              <w:jc w:val="right"/>
              <w:rPr>
                <w:rFonts w:ascii="Arial" w:hAnsi="Arial" w:cs="Arial"/>
                <w:i/>
                <w:iCs/>
                <w:sz w:val="20"/>
                <w:szCs w:val="20"/>
              </w:rPr>
            </w:pPr>
            <w:r>
              <w:rPr>
                <w:rFonts w:ascii="Arial" w:hAnsi="Arial" w:cs="Arial"/>
                <w:i/>
                <w:iCs/>
                <w:sz w:val="20"/>
                <w:szCs w:val="20"/>
              </w:rPr>
              <w:t>58</w:t>
            </w:r>
          </w:p>
        </w:tc>
        <w:tc>
          <w:tcPr>
            <w:tcW w:w="597" w:type="dxa"/>
            <w:tcBorders>
              <w:top w:val="nil"/>
              <w:left w:val="nil"/>
              <w:bottom w:val="single" w:sz="4" w:space="0" w:color="auto"/>
              <w:right w:val="single" w:sz="4" w:space="0" w:color="auto"/>
            </w:tcBorders>
            <w:noWrap/>
            <w:vAlign w:val="center"/>
          </w:tcPr>
          <w:p w14:paraId="17DA2E35" w14:textId="77777777" w:rsidR="002B40DC" w:rsidRDefault="002B40DC" w:rsidP="008738F2">
            <w:pPr>
              <w:spacing w:after="60"/>
              <w:jc w:val="right"/>
              <w:rPr>
                <w:rFonts w:ascii="Arial" w:hAnsi="Arial" w:cs="Arial"/>
                <w:sz w:val="20"/>
                <w:szCs w:val="20"/>
              </w:rPr>
            </w:pPr>
            <w:r>
              <w:rPr>
                <w:rFonts w:ascii="Arial" w:hAnsi="Arial" w:cs="Arial"/>
                <w:sz w:val="20"/>
                <w:szCs w:val="20"/>
              </w:rPr>
              <w:t>10.7</w:t>
            </w:r>
          </w:p>
        </w:tc>
        <w:tc>
          <w:tcPr>
            <w:tcW w:w="597" w:type="dxa"/>
            <w:tcBorders>
              <w:top w:val="nil"/>
              <w:left w:val="nil"/>
              <w:bottom w:val="single" w:sz="4" w:space="0" w:color="auto"/>
              <w:right w:val="single" w:sz="4" w:space="0" w:color="auto"/>
            </w:tcBorders>
            <w:noWrap/>
            <w:vAlign w:val="center"/>
          </w:tcPr>
          <w:p w14:paraId="282B709C" w14:textId="77777777" w:rsidR="002B40DC" w:rsidRDefault="002B40DC" w:rsidP="008738F2">
            <w:pPr>
              <w:spacing w:after="60"/>
              <w:jc w:val="right"/>
              <w:rPr>
                <w:rFonts w:ascii="Arial" w:hAnsi="Arial" w:cs="Arial"/>
                <w:sz w:val="20"/>
                <w:szCs w:val="20"/>
              </w:rPr>
            </w:pPr>
            <w:r>
              <w:rPr>
                <w:rFonts w:ascii="Arial" w:hAnsi="Arial" w:cs="Arial"/>
                <w:sz w:val="20"/>
                <w:szCs w:val="20"/>
              </w:rPr>
              <w:t>8.2</w:t>
            </w:r>
          </w:p>
        </w:tc>
        <w:tc>
          <w:tcPr>
            <w:tcW w:w="676" w:type="dxa"/>
            <w:tcBorders>
              <w:top w:val="nil"/>
              <w:left w:val="nil"/>
              <w:bottom w:val="single" w:sz="4" w:space="0" w:color="auto"/>
              <w:right w:val="single" w:sz="4" w:space="0" w:color="auto"/>
            </w:tcBorders>
            <w:noWrap/>
            <w:vAlign w:val="center"/>
          </w:tcPr>
          <w:p w14:paraId="258BE3D8" w14:textId="77777777" w:rsidR="002B40DC" w:rsidRDefault="002B40DC" w:rsidP="008738F2">
            <w:pPr>
              <w:spacing w:after="60"/>
              <w:jc w:val="right"/>
              <w:rPr>
                <w:rFonts w:ascii="Arial" w:hAnsi="Arial" w:cs="Arial"/>
                <w:sz w:val="20"/>
                <w:szCs w:val="20"/>
              </w:rPr>
            </w:pPr>
            <w:r>
              <w:rPr>
                <w:rFonts w:ascii="Arial" w:hAnsi="Arial" w:cs="Arial"/>
                <w:sz w:val="20"/>
                <w:szCs w:val="20"/>
              </w:rPr>
              <w:t>7.4</w:t>
            </w:r>
          </w:p>
        </w:tc>
        <w:tc>
          <w:tcPr>
            <w:tcW w:w="629" w:type="dxa"/>
            <w:tcBorders>
              <w:top w:val="nil"/>
              <w:left w:val="nil"/>
              <w:bottom w:val="single" w:sz="4" w:space="0" w:color="auto"/>
              <w:right w:val="single" w:sz="4" w:space="0" w:color="auto"/>
            </w:tcBorders>
            <w:noWrap/>
            <w:vAlign w:val="center"/>
          </w:tcPr>
          <w:p w14:paraId="02B0A0C7" w14:textId="77777777" w:rsidR="002B40DC" w:rsidRDefault="002B40DC" w:rsidP="008738F2">
            <w:pPr>
              <w:spacing w:after="60"/>
              <w:jc w:val="right"/>
              <w:rPr>
                <w:rFonts w:ascii="Arial" w:hAnsi="Arial" w:cs="Arial"/>
                <w:sz w:val="20"/>
                <w:szCs w:val="20"/>
              </w:rPr>
            </w:pPr>
            <w:r>
              <w:rPr>
                <w:rFonts w:ascii="Arial" w:hAnsi="Arial" w:cs="Arial"/>
                <w:sz w:val="20"/>
                <w:szCs w:val="20"/>
              </w:rPr>
              <w:t>7.1</w:t>
            </w:r>
          </w:p>
        </w:tc>
        <w:tc>
          <w:tcPr>
            <w:tcW w:w="660" w:type="dxa"/>
            <w:tcBorders>
              <w:top w:val="nil"/>
              <w:left w:val="nil"/>
              <w:bottom w:val="single" w:sz="4" w:space="0" w:color="auto"/>
              <w:right w:val="single" w:sz="4" w:space="0" w:color="auto"/>
            </w:tcBorders>
            <w:noWrap/>
            <w:vAlign w:val="center"/>
          </w:tcPr>
          <w:p w14:paraId="4D149476" w14:textId="77777777" w:rsidR="002B40DC" w:rsidRDefault="002B40DC" w:rsidP="008738F2">
            <w:pPr>
              <w:spacing w:after="60"/>
              <w:jc w:val="right"/>
              <w:rPr>
                <w:rFonts w:ascii="Arial" w:hAnsi="Arial" w:cs="Arial"/>
                <w:sz w:val="20"/>
                <w:szCs w:val="20"/>
              </w:rPr>
            </w:pPr>
            <w:r>
              <w:rPr>
                <w:rFonts w:ascii="Arial" w:hAnsi="Arial" w:cs="Arial"/>
                <w:sz w:val="20"/>
                <w:szCs w:val="20"/>
              </w:rPr>
              <w:t>2.3</w:t>
            </w:r>
          </w:p>
        </w:tc>
        <w:tc>
          <w:tcPr>
            <w:tcW w:w="596" w:type="dxa"/>
            <w:tcBorders>
              <w:top w:val="nil"/>
              <w:left w:val="nil"/>
              <w:bottom w:val="single" w:sz="4" w:space="0" w:color="auto"/>
              <w:right w:val="single" w:sz="4" w:space="0" w:color="auto"/>
            </w:tcBorders>
            <w:noWrap/>
            <w:vAlign w:val="center"/>
          </w:tcPr>
          <w:p w14:paraId="2990461E" w14:textId="77777777" w:rsidR="002B40DC" w:rsidRDefault="002B40DC" w:rsidP="008738F2">
            <w:pPr>
              <w:spacing w:after="60"/>
              <w:jc w:val="right"/>
              <w:rPr>
                <w:rFonts w:ascii="Arial" w:hAnsi="Arial" w:cs="Arial"/>
                <w:sz w:val="20"/>
                <w:szCs w:val="20"/>
              </w:rPr>
            </w:pPr>
            <w:r>
              <w:rPr>
                <w:rFonts w:ascii="Arial" w:hAnsi="Arial" w:cs="Arial"/>
                <w:sz w:val="20"/>
                <w:szCs w:val="20"/>
              </w:rPr>
              <w:t>0.1</w:t>
            </w:r>
          </w:p>
        </w:tc>
        <w:tc>
          <w:tcPr>
            <w:tcW w:w="549" w:type="dxa"/>
            <w:tcBorders>
              <w:top w:val="nil"/>
              <w:left w:val="nil"/>
              <w:bottom w:val="single" w:sz="4" w:space="0" w:color="auto"/>
              <w:right w:val="single" w:sz="4" w:space="0" w:color="auto"/>
            </w:tcBorders>
            <w:noWrap/>
            <w:vAlign w:val="center"/>
          </w:tcPr>
          <w:p w14:paraId="1EDEAFD0" w14:textId="77777777" w:rsidR="002B40DC" w:rsidRDefault="002B40DC" w:rsidP="008738F2">
            <w:pPr>
              <w:spacing w:after="60"/>
              <w:jc w:val="right"/>
              <w:rPr>
                <w:rFonts w:ascii="Arial" w:hAnsi="Arial" w:cs="Arial"/>
                <w:sz w:val="20"/>
                <w:szCs w:val="20"/>
              </w:rPr>
            </w:pPr>
            <w:r>
              <w:rPr>
                <w:rFonts w:ascii="Arial" w:hAnsi="Arial" w:cs="Arial"/>
                <w:sz w:val="20"/>
                <w:szCs w:val="20"/>
              </w:rPr>
              <w:t>0</w:t>
            </w:r>
          </w:p>
        </w:tc>
        <w:tc>
          <w:tcPr>
            <w:tcW w:w="660" w:type="dxa"/>
            <w:tcBorders>
              <w:top w:val="nil"/>
              <w:left w:val="nil"/>
              <w:bottom w:val="single" w:sz="4" w:space="0" w:color="auto"/>
              <w:right w:val="single" w:sz="4" w:space="0" w:color="auto"/>
            </w:tcBorders>
            <w:noWrap/>
            <w:vAlign w:val="center"/>
          </w:tcPr>
          <w:p w14:paraId="600B79E7" w14:textId="77777777" w:rsidR="002B40DC" w:rsidRDefault="002B40DC" w:rsidP="008738F2">
            <w:pPr>
              <w:spacing w:after="60"/>
              <w:jc w:val="right"/>
              <w:rPr>
                <w:rFonts w:ascii="Arial" w:hAnsi="Arial" w:cs="Arial"/>
                <w:sz w:val="20"/>
                <w:szCs w:val="20"/>
              </w:rPr>
            </w:pPr>
            <w:r>
              <w:rPr>
                <w:rFonts w:ascii="Arial" w:hAnsi="Arial" w:cs="Arial"/>
                <w:sz w:val="20"/>
                <w:szCs w:val="20"/>
              </w:rPr>
              <w:t>0</w:t>
            </w:r>
          </w:p>
        </w:tc>
        <w:tc>
          <w:tcPr>
            <w:tcW w:w="613" w:type="dxa"/>
            <w:tcBorders>
              <w:top w:val="nil"/>
              <w:left w:val="nil"/>
              <w:bottom w:val="single" w:sz="4" w:space="0" w:color="auto"/>
              <w:right w:val="single" w:sz="4" w:space="0" w:color="auto"/>
            </w:tcBorders>
            <w:noWrap/>
            <w:vAlign w:val="center"/>
          </w:tcPr>
          <w:p w14:paraId="33508DBA" w14:textId="77777777" w:rsidR="002B40DC" w:rsidRDefault="002B40DC" w:rsidP="008738F2">
            <w:pPr>
              <w:spacing w:after="60"/>
              <w:jc w:val="right"/>
              <w:rPr>
                <w:rFonts w:ascii="Arial" w:hAnsi="Arial" w:cs="Arial"/>
                <w:sz w:val="20"/>
                <w:szCs w:val="20"/>
              </w:rPr>
            </w:pPr>
            <w:r>
              <w:rPr>
                <w:rFonts w:ascii="Arial" w:hAnsi="Arial" w:cs="Arial"/>
                <w:sz w:val="20"/>
                <w:szCs w:val="20"/>
              </w:rPr>
              <w:t>0.5</w:t>
            </w:r>
          </w:p>
        </w:tc>
        <w:tc>
          <w:tcPr>
            <w:tcW w:w="644" w:type="dxa"/>
            <w:tcBorders>
              <w:top w:val="nil"/>
              <w:left w:val="nil"/>
              <w:bottom w:val="single" w:sz="4" w:space="0" w:color="auto"/>
              <w:right w:val="single" w:sz="4" w:space="0" w:color="auto"/>
            </w:tcBorders>
            <w:noWrap/>
            <w:vAlign w:val="center"/>
          </w:tcPr>
          <w:p w14:paraId="3459E73F" w14:textId="77777777" w:rsidR="002B40DC" w:rsidRDefault="002B40DC" w:rsidP="008738F2">
            <w:pPr>
              <w:spacing w:after="60"/>
              <w:jc w:val="right"/>
              <w:rPr>
                <w:rFonts w:ascii="Arial" w:hAnsi="Arial" w:cs="Arial"/>
                <w:sz w:val="20"/>
                <w:szCs w:val="20"/>
              </w:rPr>
            </w:pPr>
            <w:r>
              <w:rPr>
                <w:rFonts w:ascii="Arial" w:hAnsi="Arial" w:cs="Arial"/>
                <w:sz w:val="20"/>
                <w:szCs w:val="20"/>
              </w:rPr>
              <w:t>4.8</w:t>
            </w:r>
          </w:p>
        </w:tc>
        <w:tc>
          <w:tcPr>
            <w:tcW w:w="660" w:type="dxa"/>
            <w:tcBorders>
              <w:top w:val="nil"/>
              <w:left w:val="nil"/>
              <w:bottom w:val="single" w:sz="4" w:space="0" w:color="auto"/>
              <w:right w:val="single" w:sz="4" w:space="0" w:color="auto"/>
            </w:tcBorders>
            <w:noWrap/>
            <w:vAlign w:val="center"/>
          </w:tcPr>
          <w:p w14:paraId="78092B15" w14:textId="77777777" w:rsidR="002B40DC" w:rsidRDefault="002B40DC" w:rsidP="008738F2">
            <w:pPr>
              <w:spacing w:after="60"/>
              <w:jc w:val="right"/>
              <w:rPr>
                <w:rFonts w:ascii="Arial" w:hAnsi="Arial" w:cs="Arial"/>
                <w:sz w:val="20"/>
                <w:szCs w:val="20"/>
              </w:rPr>
            </w:pPr>
            <w:r>
              <w:rPr>
                <w:rFonts w:ascii="Arial" w:hAnsi="Arial" w:cs="Arial"/>
                <w:sz w:val="20"/>
                <w:szCs w:val="20"/>
              </w:rPr>
              <w:t>11.3</w:t>
            </w:r>
          </w:p>
        </w:tc>
        <w:tc>
          <w:tcPr>
            <w:tcW w:w="644" w:type="dxa"/>
            <w:tcBorders>
              <w:top w:val="nil"/>
              <w:left w:val="nil"/>
              <w:bottom w:val="single" w:sz="4" w:space="0" w:color="auto"/>
              <w:right w:val="single" w:sz="4" w:space="0" w:color="auto"/>
            </w:tcBorders>
            <w:noWrap/>
            <w:vAlign w:val="center"/>
          </w:tcPr>
          <w:p w14:paraId="12C6C49C" w14:textId="77777777" w:rsidR="002B40DC" w:rsidRDefault="002B40DC" w:rsidP="008738F2">
            <w:pPr>
              <w:spacing w:after="60"/>
              <w:jc w:val="right"/>
              <w:rPr>
                <w:rFonts w:ascii="Arial" w:hAnsi="Arial" w:cs="Arial"/>
                <w:sz w:val="20"/>
                <w:szCs w:val="20"/>
              </w:rPr>
            </w:pPr>
            <w:r>
              <w:rPr>
                <w:rFonts w:ascii="Arial" w:hAnsi="Arial" w:cs="Arial"/>
                <w:sz w:val="20"/>
                <w:szCs w:val="20"/>
              </w:rPr>
              <w:t>10.6</w:t>
            </w:r>
          </w:p>
        </w:tc>
        <w:tc>
          <w:tcPr>
            <w:tcW w:w="755" w:type="dxa"/>
            <w:tcBorders>
              <w:top w:val="nil"/>
              <w:left w:val="nil"/>
              <w:bottom w:val="single" w:sz="4" w:space="0" w:color="auto"/>
              <w:right w:val="single" w:sz="4" w:space="0" w:color="auto"/>
            </w:tcBorders>
            <w:noWrap/>
            <w:vAlign w:val="center"/>
          </w:tcPr>
          <w:p w14:paraId="6E715170" w14:textId="77777777" w:rsidR="002B40DC" w:rsidRDefault="002B40DC" w:rsidP="008738F2">
            <w:pPr>
              <w:spacing w:after="60"/>
              <w:jc w:val="right"/>
              <w:rPr>
                <w:rFonts w:ascii="Arial" w:hAnsi="Arial" w:cs="Arial"/>
                <w:i/>
                <w:iCs/>
                <w:sz w:val="20"/>
                <w:szCs w:val="20"/>
              </w:rPr>
            </w:pPr>
            <w:r>
              <w:rPr>
                <w:rFonts w:ascii="Arial" w:hAnsi="Arial" w:cs="Arial"/>
                <w:i/>
                <w:iCs/>
                <w:sz w:val="20"/>
                <w:szCs w:val="20"/>
              </w:rPr>
              <w:t>63</w:t>
            </w:r>
          </w:p>
        </w:tc>
      </w:tr>
      <w:tr w:rsidR="002B40DC" w14:paraId="202FF20B" w14:textId="77777777" w:rsidTr="00915E78">
        <w:trPr>
          <w:trHeight w:val="255"/>
          <w:jc w:val="center"/>
        </w:trPr>
        <w:tc>
          <w:tcPr>
            <w:tcW w:w="3031" w:type="dxa"/>
            <w:tcBorders>
              <w:top w:val="nil"/>
              <w:left w:val="single" w:sz="4" w:space="0" w:color="auto"/>
              <w:bottom w:val="single" w:sz="4" w:space="0" w:color="auto"/>
              <w:right w:val="single" w:sz="4" w:space="0" w:color="auto"/>
            </w:tcBorders>
            <w:noWrap/>
            <w:vAlign w:val="center"/>
          </w:tcPr>
          <w:p w14:paraId="2B7F8B4E" w14:textId="77777777" w:rsidR="002B40DC" w:rsidRDefault="002B40DC" w:rsidP="008738F2">
            <w:pPr>
              <w:spacing w:after="60"/>
              <w:rPr>
                <w:rFonts w:ascii="Arial" w:hAnsi="Arial" w:cs="Arial"/>
                <w:sz w:val="20"/>
                <w:szCs w:val="20"/>
              </w:rPr>
            </w:pPr>
            <w:smartTag w:uri="urn:schemas-microsoft-com:office:smarttags" w:element="place">
              <w:smartTag w:uri="urn:schemas-microsoft-com:office:smarttags" w:element="City">
                <w:r>
                  <w:rPr>
                    <w:rFonts w:ascii="Arial" w:hAnsi="Arial" w:cs="Arial"/>
                    <w:sz w:val="20"/>
                    <w:szCs w:val="20"/>
                  </w:rPr>
                  <w:t>ST. PAUL ISLAND</w:t>
                </w:r>
              </w:smartTag>
              <w:r>
                <w:rPr>
                  <w:rFonts w:ascii="Arial" w:hAnsi="Arial" w:cs="Arial"/>
                  <w:sz w:val="20"/>
                  <w:szCs w:val="20"/>
                </w:rPr>
                <w:t xml:space="preserve">, </w:t>
              </w:r>
              <w:smartTag w:uri="urn:schemas-microsoft-com:office:smarttags" w:element="State">
                <w:r>
                  <w:rPr>
                    <w:rFonts w:ascii="Arial" w:hAnsi="Arial" w:cs="Arial"/>
                    <w:sz w:val="20"/>
                    <w:szCs w:val="20"/>
                  </w:rPr>
                  <w:t>AK</w:t>
                </w:r>
              </w:smartTag>
            </w:smartTag>
          </w:p>
        </w:tc>
        <w:tc>
          <w:tcPr>
            <w:tcW w:w="629" w:type="dxa"/>
            <w:tcBorders>
              <w:top w:val="nil"/>
              <w:left w:val="nil"/>
              <w:bottom w:val="single" w:sz="4" w:space="0" w:color="auto"/>
              <w:right w:val="single" w:sz="4" w:space="0" w:color="auto"/>
            </w:tcBorders>
            <w:noWrap/>
            <w:vAlign w:val="center"/>
          </w:tcPr>
          <w:p w14:paraId="570FED3A" w14:textId="77777777" w:rsidR="002B40DC" w:rsidRDefault="002B40DC" w:rsidP="008738F2">
            <w:pPr>
              <w:spacing w:after="60"/>
              <w:jc w:val="right"/>
              <w:rPr>
                <w:rFonts w:ascii="Arial" w:hAnsi="Arial" w:cs="Arial"/>
                <w:i/>
                <w:iCs/>
                <w:sz w:val="20"/>
                <w:szCs w:val="20"/>
              </w:rPr>
            </w:pPr>
            <w:r>
              <w:rPr>
                <w:rFonts w:ascii="Arial" w:hAnsi="Arial" w:cs="Arial"/>
                <w:i/>
                <w:iCs/>
                <w:sz w:val="20"/>
                <w:szCs w:val="20"/>
              </w:rPr>
              <w:t>79</w:t>
            </w:r>
          </w:p>
        </w:tc>
        <w:tc>
          <w:tcPr>
            <w:tcW w:w="597" w:type="dxa"/>
            <w:tcBorders>
              <w:top w:val="nil"/>
              <w:left w:val="nil"/>
              <w:bottom w:val="single" w:sz="4" w:space="0" w:color="auto"/>
              <w:right w:val="single" w:sz="4" w:space="0" w:color="auto"/>
            </w:tcBorders>
            <w:noWrap/>
            <w:vAlign w:val="center"/>
          </w:tcPr>
          <w:p w14:paraId="190CA543" w14:textId="77777777" w:rsidR="002B40DC" w:rsidRDefault="002B40DC" w:rsidP="008738F2">
            <w:pPr>
              <w:spacing w:after="60"/>
              <w:jc w:val="right"/>
              <w:rPr>
                <w:rFonts w:ascii="Arial" w:hAnsi="Arial" w:cs="Arial"/>
                <w:sz w:val="20"/>
                <w:szCs w:val="20"/>
              </w:rPr>
            </w:pPr>
            <w:r>
              <w:rPr>
                <w:rFonts w:ascii="Arial" w:hAnsi="Arial" w:cs="Arial"/>
                <w:sz w:val="20"/>
                <w:szCs w:val="20"/>
              </w:rPr>
              <w:t>12.3</w:t>
            </w:r>
          </w:p>
        </w:tc>
        <w:tc>
          <w:tcPr>
            <w:tcW w:w="597" w:type="dxa"/>
            <w:tcBorders>
              <w:top w:val="nil"/>
              <w:left w:val="nil"/>
              <w:bottom w:val="single" w:sz="4" w:space="0" w:color="auto"/>
              <w:right w:val="single" w:sz="4" w:space="0" w:color="auto"/>
            </w:tcBorders>
            <w:noWrap/>
            <w:vAlign w:val="center"/>
          </w:tcPr>
          <w:p w14:paraId="152CB0FE" w14:textId="77777777" w:rsidR="002B40DC" w:rsidRDefault="002B40DC" w:rsidP="008738F2">
            <w:pPr>
              <w:spacing w:after="60"/>
              <w:jc w:val="right"/>
              <w:rPr>
                <w:rFonts w:ascii="Arial" w:hAnsi="Arial" w:cs="Arial"/>
                <w:sz w:val="20"/>
                <w:szCs w:val="20"/>
              </w:rPr>
            </w:pPr>
            <w:r>
              <w:rPr>
                <w:rFonts w:ascii="Arial" w:hAnsi="Arial" w:cs="Arial"/>
                <w:sz w:val="20"/>
                <w:szCs w:val="20"/>
              </w:rPr>
              <w:t>10.1</w:t>
            </w:r>
          </w:p>
        </w:tc>
        <w:tc>
          <w:tcPr>
            <w:tcW w:w="676" w:type="dxa"/>
            <w:tcBorders>
              <w:top w:val="nil"/>
              <w:left w:val="nil"/>
              <w:bottom w:val="single" w:sz="4" w:space="0" w:color="auto"/>
              <w:right w:val="single" w:sz="4" w:space="0" w:color="auto"/>
            </w:tcBorders>
            <w:noWrap/>
            <w:vAlign w:val="center"/>
          </w:tcPr>
          <w:p w14:paraId="6E8EB5D8" w14:textId="77777777" w:rsidR="002B40DC" w:rsidRDefault="002B40DC" w:rsidP="008738F2">
            <w:pPr>
              <w:spacing w:after="60"/>
              <w:jc w:val="right"/>
              <w:rPr>
                <w:rFonts w:ascii="Arial" w:hAnsi="Arial" w:cs="Arial"/>
                <w:sz w:val="20"/>
                <w:szCs w:val="20"/>
              </w:rPr>
            </w:pPr>
            <w:r>
              <w:rPr>
                <w:rFonts w:ascii="Arial" w:hAnsi="Arial" w:cs="Arial"/>
                <w:sz w:val="20"/>
                <w:szCs w:val="20"/>
              </w:rPr>
              <w:t>9.1</w:t>
            </w:r>
          </w:p>
        </w:tc>
        <w:tc>
          <w:tcPr>
            <w:tcW w:w="629" w:type="dxa"/>
            <w:tcBorders>
              <w:top w:val="nil"/>
              <w:left w:val="nil"/>
              <w:bottom w:val="single" w:sz="4" w:space="0" w:color="auto"/>
              <w:right w:val="single" w:sz="4" w:space="0" w:color="auto"/>
            </w:tcBorders>
            <w:noWrap/>
            <w:vAlign w:val="center"/>
          </w:tcPr>
          <w:p w14:paraId="73E31ACC" w14:textId="77777777" w:rsidR="002B40DC" w:rsidRDefault="002B40DC" w:rsidP="008738F2">
            <w:pPr>
              <w:spacing w:after="60"/>
              <w:jc w:val="right"/>
              <w:rPr>
                <w:rFonts w:ascii="Arial" w:hAnsi="Arial" w:cs="Arial"/>
                <w:sz w:val="20"/>
                <w:szCs w:val="20"/>
              </w:rPr>
            </w:pPr>
            <w:r>
              <w:rPr>
                <w:rFonts w:ascii="Arial" w:hAnsi="Arial" w:cs="Arial"/>
                <w:sz w:val="20"/>
                <w:szCs w:val="20"/>
              </w:rPr>
              <w:t>5.7</w:t>
            </w:r>
          </w:p>
        </w:tc>
        <w:tc>
          <w:tcPr>
            <w:tcW w:w="660" w:type="dxa"/>
            <w:tcBorders>
              <w:top w:val="nil"/>
              <w:left w:val="nil"/>
              <w:bottom w:val="single" w:sz="4" w:space="0" w:color="auto"/>
              <w:right w:val="single" w:sz="4" w:space="0" w:color="auto"/>
            </w:tcBorders>
            <w:noWrap/>
            <w:vAlign w:val="center"/>
          </w:tcPr>
          <w:p w14:paraId="6A8803B6" w14:textId="77777777" w:rsidR="002B40DC" w:rsidRDefault="002B40DC" w:rsidP="008738F2">
            <w:pPr>
              <w:spacing w:after="60"/>
              <w:jc w:val="right"/>
              <w:rPr>
                <w:rFonts w:ascii="Arial" w:hAnsi="Arial" w:cs="Arial"/>
                <w:sz w:val="20"/>
                <w:szCs w:val="20"/>
              </w:rPr>
            </w:pPr>
            <w:r>
              <w:rPr>
                <w:rFonts w:ascii="Arial" w:hAnsi="Arial" w:cs="Arial"/>
                <w:sz w:val="20"/>
                <w:szCs w:val="20"/>
              </w:rPr>
              <w:t>2.1</w:t>
            </w:r>
          </w:p>
        </w:tc>
        <w:tc>
          <w:tcPr>
            <w:tcW w:w="596" w:type="dxa"/>
            <w:tcBorders>
              <w:top w:val="nil"/>
              <w:left w:val="nil"/>
              <w:bottom w:val="single" w:sz="4" w:space="0" w:color="auto"/>
              <w:right w:val="single" w:sz="4" w:space="0" w:color="auto"/>
            </w:tcBorders>
            <w:noWrap/>
            <w:vAlign w:val="center"/>
          </w:tcPr>
          <w:p w14:paraId="7F0343D7" w14:textId="77777777" w:rsidR="002B40DC" w:rsidRDefault="002B40DC" w:rsidP="008738F2">
            <w:pPr>
              <w:spacing w:after="60"/>
              <w:jc w:val="right"/>
              <w:rPr>
                <w:rFonts w:ascii="Arial" w:hAnsi="Arial" w:cs="Arial"/>
                <w:sz w:val="20"/>
                <w:szCs w:val="20"/>
              </w:rPr>
            </w:pPr>
            <w:r>
              <w:rPr>
                <w:rFonts w:ascii="Arial" w:hAnsi="Arial" w:cs="Arial"/>
                <w:sz w:val="20"/>
                <w:szCs w:val="20"/>
              </w:rPr>
              <w:t>0.1</w:t>
            </w:r>
          </w:p>
        </w:tc>
        <w:tc>
          <w:tcPr>
            <w:tcW w:w="549" w:type="dxa"/>
            <w:tcBorders>
              <w:top w:val="nil"/>
              <w:left w:val="nil"/>
              <w:bottom w:val="single" w:sz="4" w:space="0" w:color="auto"/>
              <w:right w:val="single" w:sz="4" w:space="0" w:color="auto"/>
            </w:tcBorders>
            <w:noWrap/>
            <w:vAlign w:val="center"/>
          </w:tcPr>
          <w:p w14:paraId="3B4E906F" w14:textId="77777777" w:rsidR="002B40DC" w:rsidRDefault="002B40DC" w:rsidP="008738F2">
            <w:pPr>
              <w:spacing w:after="60"/>
              <w:jc w:val="right"/>
              <w:rPr>
                <w:rFonts w:ascii="Arial" w:hAnsi="Arial" w:cs="Arial"/>
                <w:sz w:val="20"/>
                <w:szCs w:val="20"/>
              </w:rPr>
            </w:pPr>
            <w:r>
              <w:rPr>
                <w:rFonts w:ascii="Arial" w:hAnsi="Arial" w:cs="Arial"/>
                <w:sz w:val="20"/>
                <w:szCs w:val="20"/>
              </w:rPr>
              <w:t>0</w:t>
            </w:r>
          </w:p>
        </w:tc>
        <w:tc>
          <w:tcPr>
            <w:tcW w:w="660" w:type="dxa"/>
            <w:tcBorders>
              <w:top w:val="nil"/>
              <w:left w:val="nil"/>
              <w:bottom w:val="single" w:sz="4" w:space="0" w:color="auto"/>
              <w:right w:val="single" w:sz="4" w:space="0" w:color="auto"/>
            </w:tcBorders>
            <w:noWrap/>
            <w:vAlign w:val="center"/>
          </w:tcPr>
          <w:p w14:paraId="5007B995" w14:textId="77777777" w:rsidR="002B40DC" w:rsidRDefault="002B40DC" w:rsidP="008738F2">
            <w:pPr>
              <w:spacing w:after="60"/>
              <w:jc w:val="right"/>
              <w:rPr>
                <w:rFonts w:ascii="Arial" w:hAnsi="Arial" w:cs="Arial"/>
                <w:sz w:val="20"/>
                <w:szCs w:val="20"/>
              </w:rPr>
            </w:pPr>
            <w:r>
              <w:rPr>
                <w:rFonts w:ascii="Arial" w:hAnsi="Arial" w:cs="Arial"/>
                <w:sz w:val="20"/>
                <w:szCs w:val="20"/>
              </w:rPr>
              <w:t>0</w:t>
            </w:r>
          </w:p>
        </w:tc>
        <w:tc>
          <w:tcPr>
            <w:tcW w:w="613" w:type="dxa"/>
            <w:tcBorders>
              <w:top w:val="nil"/>
              <w:left w:val="nil"/>
              <w:bottom w:val="single" w:sz="4" w:space="0" w:color="auto"/>
              <w:right w:val="single" w:sz="4" w:space="0" w:color="auto"/>
            </w:tcBorders>
            <w:noWrap/>
            <w:vAlign w:val="center"/>
          </w:tcPr>
          <w:p w14:paraId="53675900" w14:textId="77777777" w:rsidR="002B40DC" w:rsidRDefault="002B40DC" w:rsidP="008738F2">
            <w:pPr>
              <w:spacing w:after="60"/>
              <w:jc w:val="right"/>
              <w:rPr>
                <w:rFonts w:ascii="Arial" w:hAnsi="Arial" w:cs="Arial"/>
                <w:sz w:val="20"/>
                <w:szCs w:val="20"/>
              </w:rPr>
            </w:pPr>
            <w:r>
              <w:rPr>
                <w:rFonts w:ascii="Arial" w:hAnsi="Arial" w:cs="Arial"/>
                <w:sz w:val="20"/>
                <w:szCs w:val="20"/>
              </w:rPr>
              <w:t>0.1</w:t>
            </w:r>
          </w:p>
        </w:tc>
        <w:tc>
          <w:tcPr>
            <w:tcW w:w="644" w:type="dxa"/>
            <w:tcBorders>
              <w:top w:val="nil"/>
              <w:left w:val="nil"/>
              <w:bottom w:val="single" w:sz="4" w:space="0" w:color="auto"/>
              <w:right w:val="single" w:sz="4" w:space="0" w:color="auto"/>
            </w:tcBorders>
            <w:noWrap/>
            <w:vAlign w:val="center"/>
          </w:tcPr>
          <w:p w14:paraId="3ECE46F7" w14:textId="77777777" w:rsidR="002B40DC" w:rsidRDefault="002B40DC" w:rsidP="008738F2">
            <w:pPr>
              <w:spacing w:after="60"/>
              <w:jc w:val="right"/>
              <w:rPr>
                <w:rFonts w:ascii="Arial" w:hAnsi="Arial" w:cs="Arial"/>
                <w:sz w:val="20"/>
                <w:szCs w:val="20"/>
              </w:rPr>
            </w:pPr>
            <w:r>
              <w:rPr>
                <w:rFonts w:ascii="Arial" w:hAnsi="Arial" w:cs="Arial"/>
                <w:sz w:val="20"/>
                <w:szCs w:val="20"/>
              </w:rPr>
              <w:t>2.6</w:t>
            </w:r>
          </w:p>
        </w:tc>
        <w:tc>
          <w:tcPr>
            <w:tcW w:w="660" w:type="dxa"/>
            <w:tcBorders>
              <w:top w:val="nil"/>
              <w:left w:val="nil"/>
              <w:bottom w:val="single" w:sz="4" w:space="0" w:color="auto"/>
              <w:right w:val="single" w:sz="4" w:space="0" w:color="auto"/>
            </w:tcBorders>
            <w:noWrap/>
            <w:vAlign w:val="center"/>
          </w:tcPr>
          <w:p w14:paraId="0A855623" w14:textId="77777777" w:rsidR="002B40DC" w:rsidRDefault="002B40DC" w:rsidP="008738F2">
            <w:pPr>
              <w:spacing w:after="60"/>
              <w:jc w:val="right"/>
              <w:rPr>
                <w:rFonts w:ascii="Arial" w:hAnsi="Arial" w:cs="Arial"/>
                <w:sz w:val="20"/>
                <w:szCs w:val="20"/>
              </w:rPr>
            </w:pPr>
            <w:r>
              <w:rPr>
                <w:rFonts w:ascii="Arial" w:hAnsi="Arial" w:cs="Arial"/>
                <w:sz w:val="20"/>
                <w:szCs w:val="20"/>
              </w:rPr>
              <w:t>6.7</w:t>
            </w:r>
          </w:p>
        </w:tc>
        <w:tc>
          <w:tcPr>
            <w:tcW w:w="644" w:type="dxa"/>
            <w:tcBorders>
              <w:top w:val="nil"/>
              <w:left w:val="nil"/>
              <w:bottom w:val="single" w:sz="4" w:space="0" w:color="auto"/>
              <w:right w:val="single" w:sz="4" w:space="0" w:color="auto"/>
            </w:tcBorders>
            <w:noWrap/>
            <w:vAlign w:val="center"/>
          </w:tcPr>
          <w:p w14:paraId="38463F7A" w14:textId="77777777" w:rsidR="002B40DC" w:rsidRDefault="002B40DC" w:rsidP="008738F2">
            <w:pPr>
              <w:spacing w:after="60"/>
              <w:jc w:val="right"/>
              <w:rPr>
                <w:rFonts w:ascii="Arial" w:hAnsi="Arial" w:cs="Arial"/>
                <w:sz w:val="20"/>
                <w:szCs w:val="20"/>
              </w:rPr>
            </w:pPr>
            <w:r>
              <w:rPr>
                <w:rFonts w:ascii="Arial" w:hAnsi="Arial" w:cs="Arial"/>
                <w:sz w:val="20"/>
                <w:szCs w:val="20"/>
              </w:rPr>
              <w:t>9.9</w:t>
            </w:r>
          </w:p>
        </w:tc>
        <w:tc>
          <w:tcPr>
            <w:tcW w:w="755" w:type="dxa"/>
            <w:tcBorders>
              <w:top w:val="nil"/>
              <w:left w:val="nil"/>
              <w:bottom w:val="single" w:sz="4" w:space="0" w:color="auto"/>
              <w:right w:val="single" w:sz="4" w:space="0" w:color="auto"/>
            </w:tcBorders>
            <w:noWrap/>
            <w:vAlign w:val="center"/>
          </w:tcPr>
          <w:p w14:paraId="79FDFF16" w14:textId="77777777" w:rsidR="002B40DC" w:rsidRDefault="002B40DC" w:rsidP="008738F2">
            <w:pPr>
              <w:spacing w:after="60"/>
              <w:jc w:val="right"/>
              <w:rPr>
                <w:rFonts w:ascii="Arial" w:hAnsi="Arial" w:cs="Arial"/>
                <w:i/>
                <w:iCs/>
                <w:sz w:val="20"/>
                <w:szCs w:val="20"/>
              </w:rPr>
            </w:pPr>
            <w:r>
              <w:rPr>
                <w:rFonts w:ascii="Arial" w:hAnsi="Arial" w:cs="Arial"/>
                <w:i/>
                <w:iCs/>
                <w:sz w:val="20"/>
                <w:szCs w:val="20"/>
              </w:rPr>
              <w:t>58.7</w:t>
            </w:r>
          </w:p>
        </w:tc>
      </w:tr>
      <w:tr w:rsidR="002B40DC" w14:paraId="5D81B1B7" w14:textId="77777777" w:rsidTr="00915E78">
        <w:trPr>
          <w:trHeight w:val="255"/>
          <w:jc w:val="center"/>
        </w:trPr>
        <w:tc>
          <w:tcPr>
            <w:tcW w:w="3031" w:type="dxa"/>
            <w:tcBorders>
              <w:top w:val="nil"/>
              <w:left w:val="single" w:sz="4" w:space="0" w:color="auto"/>
              <w:bottom w:val="single" w:sz="4" w:space="0" w:color="auto"/>
              <w:right w:val="single" w:sz="4" w:space="0" w:color="auto"/>
            </w:tcBorders>
            <w:noWrap/>
            <w:vAlign w:val="center"/>
          </w:tcPr>
          <w:p w14:paraId="6A655DFF" w14:textId="77777777" w:rsidR="002B40DC" w:rsidRDefault="002B40DC" w:rsidP="008738F2">
            <w:pPr>
              <w:spacing w:after="60"/>
              <w:rPr>
                <w:rFonts w:ascii="Arial" w:hAnsi="Arial" w:cs="Arial"/>
                <w:sz w:val="20"/>
                <w:szCs w:val="20"/>
              </w:rPr>
            </w:pPr>
            <w:smartTag w:uri="urn:schemas-microsoft-com:office:smarttags" w:element="place">
              <w:smartTag w:uri="urn:schemas-microsoft-com:office:smarttags" w:element="City">
                <w:r>
                  <w:rPr>
                    <w:rFonts w:ascii="Arial" w:hAnsi="Arial" w:cs="Arial"/>
                    <w:sz w:val="20"/>
                    <w:szCs w:val="20"/>
                  </w:rPr>
                  <w:t>TALKEETNA</w:t>
                </w:r>
              </w:smartTag>
              <w:r>
                <w:rPr>
                  <w:rFonts w:ascii="Arial" w:hAnsi="Arial" w:cs="Arial"/>
                  <w:sz w:val="20"/>
                  <w:szCs w:val="20"/>
                </w:rPr>
                <w:t xml:space="preserve">, </w:t>
              </w:r>
              <w:smartTag w:uri="urn:schemas-microsoft-com:office:smarttags" w:element="State">
                <w:r>
                  <w:rPr>
                    <w:rFonts w:ascii="Arial" w:hAnsi="Arial" w:cs="Arial"/>
                    <w:sz w:val="20"/>
                    <w:szCs w:val="20"/>
                  </w:rPr>
                  <w:t>AK</w:t>
                </w:r>
              </w:smartTag>
            </w:smartTag>
          </w:p>
        </w:tc>
        <w:tc>
          <w:tcPr>
            <w:tcW w:w="629" w:type="dxa"/>
            <w:tcBorders>
              <w:top w:val="nil"/>
              <w:left w:val="nil"/>
              <w:bottom w:val="single" w:sz="4" w:space="0" w:color="auto"/>
              <w:right w:val="single" w:sz="4" w:space="0" w:color="auto"/>
            </w:tcBorders>
            <w:noWrap/>
            <w:vAlign w:val="center"/>
          </w:tcPr>
          <w:p w14:paraId="4DD3DCD9" w14:textId="77777777" w:rsidR="002B40DC" w:rsidRDefault="002B40DC" w:rsidP="008738F2">
            <w:pPr>
              <w:spacing w:after="60"/>
              <w:jc w:val="right"/>
              <w:rPr>
                <w:rFonts w:ascii="Arial" w:hAnsi="Arial" w:cs="Arial"/>
                <w:i/>
                <w:iCs/>
                <w:sz w:val="20"/>
                <w:szCs w:val="20"/>
              </w:rPr>
            </w:pPr>
            <w:r>
              <w:rPr>
                <w:rFonts w:ascii="Arial" w:hAnsi="Arial" w:cs="Arial"/>
                <w:i/>
                <w:iCs/>
                <w:sz w:val="20"/>
                <w:szCs w:val="20"/>
              </w:rPr>
              <w:t>67</w:t>
            </w:r>
          </w:p>
        </w:tc>
        <w:tc>
          <w:tcPr>
            <w:tcW w:w="597" w:type="dxa"/>
            <w:tcBorders>
              <w:top w:val="nil"/>
              <w:left w:val="nil"/>
              <w:bottom w:val="single" w:sz="4" w:space="0" w:color="auto"/>
              <w:right w:val="single" w:sz="4" w:space="0" w:color="auto"/>
            </w:tcBorders>
            <w:noWrap/>
            <w:vAlign w:val="center"/>
          </w:tcPr>
          <w:p w14:paraId="53CC492C" w14:textId="77777777" w:rsidR="002B40DC" w:rsidRDefault="002B40DC" w:rsidP="008738F2">
            <w:pPr>
              <w:spacing w:after="60"/>
              <w:jc w:val="right"/>
              <w:rPr>
                <w:rFonts w:ascii="Arial" w:hAnsi="Arial" w:cs="Arial"/>
                <w:sz w:val="20"/>
                <w:szCs w:val="20"/>
              </w:rPr>
            </w:pPr>
            <w:r>
              <w:rPr>
                <w:rFonts w:ascii="Arial" w:hAnsi="Arial" w:cs="Arial"/>
                <w:sz w:val="20"/>
                <w:szCs w:val="20"/>
              </w:rPr>
              <w:t>19.4</w:t>
            </w:r>
          </w:p>
        </w:tc>
        <w:tc>
          <w:tcPr>
            <w:tcW w:w="597" w:type="dxa"/>
            <w:tcBorders>
              <w:top w:val="nil"/>
              <w:left w:val="nil"/>
              <w:bottom w:val="single" w:sz="4" w:space="0" w:color="auto"/>
              <w:right w:val="single" w:sz="4" w:space="0" w:color="auto"/>
            </w:tcBorders>
            <w:noWrap/>
            <w:vAlign w:val="center"/>
          </w:tcPr>
          <w:p w14:paraId="5F1FFCBE" w14:textId="77777777" w:rsidR="002B40DC" w:rsidRDefault="002B40DC" w:rsidP="008738F2">
            <w:pPr>
              <w:spacing w:after="60"/>
              <w:jc w:val="right"/>
              <w:rPr>
                <w:rFonts w:ascii="Arial" w:hAnsi="Arial" w:cs="Arial"/>
                <w:sz w:val="20"/>
                <w:szCs w:val="20"/>
              </w:rPr>
            </w:pPr>
            <w:r>
              <w:rPr>
                <w:rFonts w:ascii="Arial" w:hAnsi="Arial" w:cs="Arial"/>
                <w:sz w:val="20"/>
                <w:szCs w:val="20"/>
              </w:rPr>
              <w:t>18.9</w:t>
            </w:r>
          </w:p>
        </w:tc>
        <w:tc>
          <w:tcPr>
            <w:tcW w:w="676" w:type="dxa"/>
            <w:tcBorders>
              <w:top w:val="nil"/>
              <w:left w:val="nil"/>
              <w:bottom w:val="single" w:sz="4" w:space="0" w:color="auto"/>
              <w:right w:val="single" w:sz="4" w:space="0" w:color="auto"/>
            </w:tcBorders>
            <w:noWrap/>
            <w:vAlign w:val="center"/>
          </w:tcPr>
          <w:p w14:paraId="692FE41B" w14:textId="77777777" w:rsidR="002B40DC" w:rsidRDefault="002B40DC" w:rsidP="008738F2">
            <w:pPr>
              <w:spacing w:after="60"/>
              <w:jc w:val="right"/>
              <w:rPr>
                <w:rFonts w:ascii="Arial" w:hAnsi="Arial" w:cs="Arial"/>
                <w:sz w:val="20"/>
                <w:szCs w:val="20"/>
              </w:rPr>
            </w:pPr>
            <w:r>
              <w:rPr>
                <w:rFonts w:ascii="Arial" w:hAnsi="Arial" w:cs="Arial"/>
                <w:sz w:val="20"/>
                <w:szCs w:val="20"/>
              </w:rPr>
              <w:t>17.7</w:t>
            </w:r>
          </w:p>
        </w:tc>
        <w:tc>
          <w:tcPr>
            <w:tcW w:w="629" w:type="dxa"/>
            <w:tcBorders>
              <w:top w:val="nil"/>
              <w:left w:val="nil"/>
              <w:bottom w:val="single" w:sz="4" w:space="0" w:color="auto"/>
              <w:right w:val="single" w:sz="4" w:space="0" w:color="auto"/>
            </w:tcBorders>
            <w:noWrap/>
            <w:vAlign w:val="center"/>
          </w:tcPr>
          <w:p w14:paraId="6D4ECCE7" w14:textId="77777777" w:rsidR="002B40DC" w:rsidRDefault="002B40DC" w:rsidP="008738F2">
            <w:pPr>
              <w:spacing w:after="60"/>
              <w:jc w:val="right"/>
              <w:rPr>
                <w:rFonts w:ascii="Arial" w:hAnsi="Arial" w:cs="Arial"/>
                <w:sz w:val="20"/>
                <w:szCs w:val="20"/>
              </w:rPr>
            </w:pPr>
            <w:r>
              <w:rPr>
                <w:rFonts w:ascii="Arial" w:hAnsi="Arial" w:cs="Arial"/>
                <w:sz w:val="20"/>
                <w:szCs w:val="20"/>
              </w:rPr>
              <w:t>8</w:t>
            </w:r>
          </w:p>
        </w:tc>
        <w:tc>
          <w:tcPr>
            <w:tcW w:w="660" w:type="dxa"/>
            <w:tcBorders>
              <w:top w:val="nil"/>
              <w:left w:val="nil"/>
              <w:bottom w:val="single" w:sz="4" w:space="0" w:color="auto"/>
              <w:right w:val="single" w:sz="4" w:space="0" w:color="auto"/>
            </w:tcBorders>
            <w:noWrap/>
            <w:vAlign w:val="center"/>
          </w:tcPr>
          <w:p w14:paraId="0317A5BE" w14:textId="77777777" w:rsidR="002B40DC" w:rsidRDefault="002B40DC" w:rsidP="008738F2">
            <w:pPr>
              <w:spacing w:after="60"/>
              <w:jc w:val="right"/>
              <w:rPr>
                <w:rFonts w:ascii="Arial" w:hAnsi="Arial" w:cs="Arial"/>
                <w:sz w:val="20"/>
                <w:szCs w:val="20"/>
              </w:rPr>
            </w:pPr>
            <w:r>
              <w:rPr>
                <w:rFonts w:ascii="Arial" w:hAnsi="Arial" w:cs="Arial"/>
                <w:sz w:val="20"/>
                <w:szCs w:val="20"/>
              </w:rPr>
              <w:t>0.8</w:t>
            </w:r>
          </w:p>
        </w:tc>
        <w:tc>
          <w:tcPr>
            <w:tcW w:w="596" w:type="dxa"/>
            <w:tcBorders>
              <w:top w:val="nil"/>
              <w:left w:val="nil"/>
              <w:bottom w:val="single" w:sz="4" w:space="0" w:color="auto"/>
              <w:right w:val="single" w:sz="4" w:space="0" w:color="auto"/>
            </w:tcBorders>
            <w:noWrap/>
            <w:vAlign w:val="center"/>
          </w:tcPr>
          <w:p w14:paraId="3D3E2C30" w14:textId="77777777" w:rsidR="002B40DC" w:rsidRDefault="002B40DC" w:rsidP="008738F2">
            <w:pPr>
              <w:spacing w:after="60"/>
              <w:jc w:val="right"/>
              <w:rPr>
                <w:rFonts w:ascii="Arial" w:hAnsi="Arial" w:cs="Arial"/>
                <w:sz w:val="20"/>
                <w:szCs w:val="20"/>
              </w:rPr>
            </w:pPr>
            <w:r>
              <w:rPr>
                <w:rFonts w:ascii="Arial" w:hAnsi="Arial" w:cs="Arial"/>
                <w:sz w:val="20"/>
                <w:szCs w:val="20"/>
              </w:rPr>
              <w:t>T</w:t>
            </w:r>
          </w:p>
        </w:tc>
        <w:tc>
          <w:tcPr>
            <w:tcW w:w="549" w:type="dxa"/>
            <w:tcBorders>
              <w:top w:val="nil"/>
              <w:left w:val="nil"/>
              <w:bottom w:val="single" w:sz="4" w:space="0" w:color="auto"/>
              <w:right w:val="single" w:sz="4" w:space="0" w:color="auto"/>
            </w:tcBorders>
            <w:noWrap/>
            <w:vAlign w:val="center"/>
          </w:tcPr>
          <w:p w14:paraId="1531EFD4" w14:textId="77777777" w:rsidR="002B40DC" w:rsidRDefault="002B40DC" w:rsidP="008738F2">
            <w:pPr>
              <w:spacing w:after="60"/>
              <w:jc w:val="right"/>
              <w:rPr>
                <w:rFonts w:ascii="Arial" w:hAnsi="Arial" w:cs="Arial"/>
                <w:sz w:val="20"/>
                <w:szCs w:val="20"/>
              </w:rPr>
            </w:pPr>
            <w:r>
              <w:rPr>
                <w:rFonts w:ascii="Arial" w:hAnsi="Arial" w:cs="Arial"/>
                <w:sz w:val="20"/>
                <w:szCs w:val="20"/>
              </w:rPr>
              <w:t>0</w:t>
            </w:r>
          </w:p>
        </w:tc>
        <w:tc>
          <w:tcPr>
            <w:tcW w:w="660" w:type="dxa"/>
            <w:tcBorders>
              <w:top w:val="nil"/>
              <w:left w:val="nil"/>
              <w:bottom w:val="single" w:sz="4" w:space="0" w:color="auto"/>
              <w:right w:val="single" w:sz="4" w:space="0" w:color="auto"/>
            </w:tcBorders>
            <w:noWrap/>
            <w:vAlign w:val="center"/>
          </w:tcPr>
          <w:p w14:paraId="37CA5FF3" w14:textId="77777777" w:rsidR="002B40DC" w:rsidRDefault="002B40DC" w:rsidP="008738F2">
            <w:pPr>
              <w:spacing w:after="60"/>
              <w:jc w:val="right"/>
              <w:rPr>
                <w:rFonts w:ascii="Arial" w:hAnsi="Arial" w:cs="Arial"/>
                <w:sz w:val="20"/>
                <w:szCs w:val="20"/>
              </w:rPr>
            </w:pPr>
            <w:r>
              <w:rPr>
                <w:rFonts w:ascii="Arial" w:hAnsi="Arial" w:cs="Arial"/>
                <w:sz w:val="20"/>
                <w:szCs w:val="20"/>
              </w:rPr>
              <w:t>T</w:t>
            </w:r>
          </w:p>
        </w:tc>
        <w:tc>
          <w:tcPr>
            <w:tcW w:w="613" w:type="dxa"/>
            <w:tcBorders>
              <w:top w:val="nil"/>
              <w:left w:val="nil"/>
              <w:bottom w:val="single" w:sz="4" w:space="0" w:color="auto"/>
              <w:right w:val="single" w:sz="4" w:space="0" w:color="auto"/>
            </w:tcBorders>
            <w:noWrap/>
            <w:vAlign w:val="center"/>
          </w:tcPr>
          <w:p w14:paraId="69CFAF23" w14:textId="77777777" w:rsidR="002B40DC" w:rsidRDefault="002B40DC" w:rsidP="008738F2">
            <w:pPr>
              <w:spacing w:after="60"/>
              <w:jc w:val="right"/>
              <w:rPr>
                <w:rFonts w:ascii="Arial" w:hAnsi="Arial" w:cs="Arial"/>
                <w:sz w:val="20"/>
                <w:szCs w:val="20"/>
              </w:rPr>
            </w:pPr>
            <w:r>
              <w:rPr>
                <w:rFonts w:ascii="Arial" w:hAnsi="Arial" w:cs="Arial"/>
                <w:sz w:val="20"/>
                <w:szCs w:val="20"/>
              </w:rPr>
              <w:t>0.2</w:t>
            </w:r>
          </w:p>
        </w:tc>
        <w:tc>
          <w:tcPr>
            <w:tcW w:w="644" w:type="dxa"/>
            <w:tcBorders>
              <w:top w:val="nil"/>
              <w:left w:val="nil"/>
              <w:bottom w:val="single" w:sz="4" w:space="0" w:color="auto"/>
              <w:right w:val="single" w:sz="4" w:space="0" w:color="auto"/>
            </w:tcBorders>
            <w:noWrap/>
            <w:vAlign w:val="center"/>
          </w:tcPr>
          <w:p w14:paraId="5F7EC4F4" w14:textId="77777777" w:rsidR="002B40DC" w:rsidRDefault="002B40DC" w:rsidP="008738F2">
            <w:pPr>
              <w:spacing w:after="60"/>
              <w:jc w:val="right"/>
              <w:rPr>
                <w:rFonts w:ascii="Arial" w:hAnsi="Arial" w:cs="Arial"/>
                <w:sz w:val="20"/>
                <w:szCs w:val="20"/>
              </w:rPr>
            </w:pPr>
            <w:r>
              <w:rPr>
                <w:rFonts w:ascii="Arial" w:hAnsi="Arial" w:cs="Arial"/>
                <w:sz w:val="20"/>
                <w:szCs w:val="20"/>
              </w:rPr>
              <w:t>10.5</w:t>
            </w:r>
          </w:p>
        </w:tc>
        <w:tc>
          <w:tcPr>
            <w:tcW w:w="660" w:type="dxa"/>
            <w:tcBorders>
              <w:top w:val="nil"/>
              <w:left w:val="nil"/>
              <w:bottom w:val="single" w:sz="4" w:space="0" w:color="auto"/>
              <w:right w:val="single" w:sz="4" w:space="0" w:color="auto"/>
            </w:tcBorders>
            <w:noWrap/>
            <w:vAlign w:val="center"/>
          </w:tcPr>
          <w:p w14:paraId="1D56AC6B" w14:textId="77777777" w:rsidR="002B40DC" w:rsidRDefault="002B40DC" w:rsidP="008738F2">
            <w:pPr>
              <w:spacing w:after="60"/>
              <w:jc w:val="right"/>
              <w:rPr>
                <w:rFonts w:ascii="Arial" w:hAnsi="Arial" w:cs="Arial"/>
                <w:sz w:val="20"/>
                <w:szCs w:val="20"/>
              </w:rPr>
            </w:pPr>
            <w:r>
              <w:rPr>
                <w:rFonts w:ascii="Arial" w:hAnsi="Arial" w:cs="Arial"/>
                <w:sz w:val="20"/>
                <w:szCs w:val="20"/>
              </w:rPr>
              <w:t>17.9</w:t>
            </w:r>
          </w:p>
        </w:tc>
        <w:tc>
          <w:tcPr>
            <w:tcW w:w="644" w:type="dxa"/>
            <w:tcBorders>
              <w:top w:val="nil"/>
              <w:left w:val="nil"/>
              <w:bottom w:val="single" w:sz="4" w:space="0" w:color="auto"/>
              <w:right w:val="single" w:sz="4" w:space="0" w:color="auto"/>
            </w:tcBorders>
            <w:noWrap/>
            <w:vAlign w:val="center"/>
          </w:tcPr>
          <w:p w14:paraId="21214E4E" w14:textId="77777777" w:rsidR="002B40DC" w:rsidRDefault="002B40DC" w:rsidP="008738F2">
            <w:pPr>
              <w:spacing w:after="60"/>
              <w:jc w:val="right"/>
              <w:rPr>
                <w:rFonts w:ascii="Arial" w:hAnsi="Arial" w:cs="Arial"/>
                <w:sz w:val="20"/>
                <w:szCs w:val="20"/>
              </w:rPr>
            </w:pPr>
            <w:r>
              <w:rPr>
                <w:rFonts w:ascii="Arial" w:hAnsi="Arial" w:cs="Arial"/>
                <w:sz w:val="20"/>
                <w:szCs w:val="20"/>
              </w:rPr>
              <w:t>22</w:t>
            </w:r>
          </w:p>
        </w:tc>
        <w:tc>
          <w:tcPr>
            <w:tcW w:w="755" w:type="dxa"/>
            <w:tcBorders>
              <w:top w:val="nil"/>
              <w:left w:val="nil"/>
              <w:bottom w:val="single" w:sz="4" w:space="0" w:color="auto"/>
              <w:right w:val="single" w:sz="4" w:space="0" w:color="auto"/>
            </w:tcBorders>
            <w:noWrap/>
            <w:vAlign w:val="center"/>
          </w:tcPr>
          <w:p w14:paraId="15C5BA1D" w14:textId="77777777" w:rsidR="002B40DC" w:rsidRDefault="002B40DC" w:rsidP="008738F2">
            <w:pPr>
              <w:spacing w:after="60"/>
              <w:jc w:val="right"/>
              <w:rPr>
                <w:rFonts w:ascii="Arial" w:hAnsi="Arial" w:cs="Arial"/>
                <w:i/>
                <w:iCs/>
                <w:sz w:val="20"/>
                <w:szCs w:val="20"/>
              </w:rPr>
            </w:pPr>
            <w:r>
              <w:rPr>
                <w:rFonts w:ascii="Arial" w:hAnsi="Arial" w:cs="Arial"/>
                <w:i/>
                <w:iCs/>
                <w:sz w:val="20"/>
                <w:szCs w:val="20"/>
              </w:rPr>
              <w:t>115.4</w:t>
            </w:r>
          </w:p>
        </w:tc>
      </w:tr>
      <w:tr w:rsidR="002B40DC" w14:paraId="27BBF8DC" w14:textId="77777777" w:rsidTr="00915E78">
        <w:trPr>
          <w:trHeight w:val="255"/>
          <w:jc w:val="center"/>
        </w:trPr>
        <w:tc>
          <w:tcPr>
            <w:tcW w:w="3031" w:type="dxa"/>
            <w:tcBorders>
              <w:top w:val="nil"/>
              <w:left w:val="single" w:sz="4" w:space="0" w:color="auto"/>
              <w:bottom w:val="single" w:sz="4" w:space="0" w:color="auto"/>
              <w:right w:val="single" w:sz="4" w:space="0" w:color="auto"/>
            </w:tcBorders>
            <w:noWrap/>
            <w:vAlign w:val="center"/>
          </w:tcPr>
          <w:p w14:paraId="538BA8C0" w14:textId="77777777" w:rsidR="002B40DC" w:rsidRDefault="002B40DC" w:rsidP="008738F2">
            <w:pPr>
              <w:spacing w:after="60"/>
              <w:rPr>
                <w:rFonts w:ascii="Arial" w:hAnsi="Arial" w:cs="Arial"/>
                <w:sz w:val="20"/>
                <w:szCs w:val="20"/>
              </w:rPr>
            </w:pPr>
            <w:smartTag w:uri="urn:schemas-microsoft-com:office:smarttags" w:element="place">
              <w:smartTag w:uri="urn:schemas-microsoft-com:office:smarttags" w:element="City">
                <w:r>
                  <w:rPr>
                    <w:rFonts w:ascii="Arial" w:hAnsi="Arial" w:cs="Arial"/>
                    <w:sz w:val="20"/>
                    <w:szCs w:val="20"/>
                  </w:rPr>
                  <w:t>UNALAKLEET</w:t>
                </w:r>
              </w:smartTag>
              <w:r>
                <w:rPr>
                  <w:rFonts w:ascii="Arial" w:hAnsi="Arial" w:cs="Arial"/>
                  <w:sz w:val="20"/>
                  <w:szCs w:val="20"/>
                </w:rPr>
                <w:t xml:space="preserve">, </w:t>
              </w:r>
              <w:smartTag w:uri="urn:schemas-microsoft-com:office:smarttags" w:element="State">
                <w:r>
                  <w:rPr>
                    <w:rFonts w:ascii="Arial" w:hAnsi="Arial" w:cs="Arial"/>
                    <w:sz w:val="20"/>
                    <w:szCs w:val="20"/>
                  </w:rPr>
                  <w:t>AK</w:t>
                </w:r>
              </w:smartTag>
            </w:smartTag>
          </w:p>
        </w:tc>
        <w:tc>
          <w:tcPr>
            <w:tcW w:w="629" w:type="dxa"/>
            <w:tcBorders>
              <w:top w:val="nil"/>
              <w:left w:val="nil"/>
              <w:bottom w:val="single" w:sz="4" w:space="0" w:color="auto"/>
              <w:right w:val="single" w:sz="4" w:space="0" w:color="auto"/>
            </w:tcBorders>
            <w:noWrap/>
            <w:vAlign w:val="center"/>
          </w:tcPr>
          <w:p w14:paraId="2FD59D7A" w14:textId="77777777" w:rsidR="002B40DC" w:rsidRDefault="002B40DC" w:rsidP="008738F2">
            <w:pPr>
              <w:spacing w:after="60"/>
              <w:jc w:val="right"/>
              <w:rPr>
                <w:rFonts w:ascii="Arial" w:hAnsi="Arial" w:cs="Arial"/>
                <w:i/>
                <w:iCs/>
                <w:sz w:val="20"/>
                <w:szCs w:val="20"/>
              </w:rPr>
            </w:pPr>
            <w:r>
              <w:rPr>
                <w:rFonts w:ascii="Arial" w:hAnsi="Arial" w:cs="Arial"/>
                <w:i/>
                <w:iCs/>
                <w:sz w:val="20"/>
                <w:szCs w:val="20"/>
              </w:rPr>
              <w:t>25</w:t>
            </w:r>
          </w:p>
        </w:tc>
        <w:tc>
          <w:tcPr>
            <w:tcW w:w="597" w:type="dxa"/>
            <w:tcBorders>
              <w:top w:val="nil"/>
              <w:left w:val="nil"/>
              <w:bottom w:val="single" w:sz="4" w:space="0" w:color="auto"/>
              <w:right w:val="single" w:sz="4" w:space="0" w:color="auto"/>
            </w:tcBorders>
            <w:noWrap/>
            <w:vAlign w:val="center"/>
          </w:tcPr>
          <w:p w14:paraId="31070EFD" w14:textId="77777777" w:rsidR="002B40DC" w:rsidRDefault="002B40DC" w:rsidP="008738F2">
            <w:pPr>
              <w:spacing w:after="60"/>
              <w:jc w:val="right"/>
              <w:rPr>
                <w:rFonts w:ascii="Arial" w:hAnsi="Arial" w:cs="Arial"/>
                <w:sz w:val="20"/>
                <w:szCs w:val="20"/>
              </w:rPr>
            </w:pPr>
            <w:r>
              <w:rPr>
                <w:rFonts w:ascii="Arial" w:hAnsi="Arial" w:cs="Arial"/>
                <w:sz w:val="20"/>
                <w:szCs w:val="20"/>
              </w:rPr>
              <w:t>5.1</w:t>
            </w:r>
          </w:p>
        </w:tc>
        <w:tc>
          <w:tcPr>
            <w:tcW w:w="597" w:type="dxa"/>
            <w:tcBorders>
              <w:top w:val="nil"/>
              <w:left w:val="nil"/>
              <w:bottom w:val="single" w:sz="4" w:space="0" w:color="auto"/>
              <w:right w:val="single" w:sz="4" w:space="0" w:color="auto"/>
            </w:tcBorders>
            <w:noWrap/>
            <w:vAlign w:val="center"/>
          </w:tcPr>
          <w:p w14:paraId="76D6C631" w14:textId="77777777" w:rsidR="002B40DC" w:rsidRDefault="002B40DC" w:rsidP="008738F2">
            <w:pPr>
              <w:spacing w:after="60"/>
              <w:jc w:val="right"/>
              <w:rPr>
                <w:rFonts w:ascii="Arial" w:hAnsi="Arial" w:cs="Arial"/>
                <w:sz w:val="20"/>
                <w:szCs w:val="20"/>
              </w:rPr>
            </w:pPr>
            <w:r>
              <w:rPr>
                <w:rFonts w:ascii="Arial" w:hAnsi="Arial" w:cs="Arial"/>
                <w:sz w:val="20"/>
                <w:szCs w:val="20"/>
              </w:rPr>
              <w:t>5.5</w:t>
            </w:r>
          </w:p>
        </w:tc>
        <w:tc>
          <w:tcPr>
            <w:tcW w:w="676" w:type="dxa"/>
            <w:tcBorders>
              <w:top w:val="nil"/>
              <w:left w:val="nil"/>
              <w:bottom w:val="single" w:sz="4" w:space="0" w:color="auto"/>
              <w:right w:val="single" w:sz="4" w:space="0" w:color="auto"/>
            </w:tcBorders>
            <w:noWrap/>
            <w:vAlign w:val="center"/>
          </w:tcPr>
          <w:p w14:paraId="287E2E2D" w14:textId="77777777" w:rsidR="002B40DC" w:rsidRDefault="002B40DC" w:rsidP="008738F2">
            <w:pPr>
              <w:spacing w:after="60"/>
              <w:jc w:val="right"/>
              <w:rPr>
                <w:rFonts w:ascii="Arial" w:hAnsi="Arial" w:cs="Arial"/>
                <w:sz w:val="20"/>
                <w:szCs w:val="20"/>
              </w:rPr>
            </w:pPr>
            <w:r>
              <w:rPr>
                <w:rFonts w:ascii="Arial" w:hAnsi="Arial" w:cs="Arial"/>
                <w:sz w:val="20"/>
                <w:szCs w:val="20"/>
              </w:rPr>
              <w:t>5.6</w:t>
            </w:r>
          </w:p>
        </w:tc>
        <w:tc>
          <w:tcPr>
            <w:tcW w:w="629" w:type="dxa"/>
            <w:tcBorders>
              <w:top w:val="nil"/>
              <w:left w:val="nil"/>
              <w:bottom w:val="single" w:sz="4" w:space="0" w:color="auto"/>
              <w:right w:val="single" w:sz="4" w:space="0" w:color="auto"/>
            </w:tcBorders>
            <w:noWrap/>
            <w:vAlign w:val="center"/>
          </w:tcPr>
          <w:p w14:paraId="0BBE4F3D" w14:textId="77777777" w:rsidR="002B40DC" w:rsidRDefault="002B40DC" w:rsidP="008738F2">
            <w:pPr>
              <w:spacing w:after="60"/>
              <w:jc w:val="right"/>
              <w:rPr>
                <w:rFonts w:ascii="Arial" w:hAnsi="Arial" w:cs="Arial"/>
                <w:sz w:val="20"/>
                <w:szCs w:val="20"/>
              </w:rPr>
            </w:pPr>
            <w:r>
              <w:rPr>
                <w:rFonts w:ascii="Arial" w:hAnsi="Arial" w:cs="Arial"/>
                <w:sz w:val="20"/>
                <w:szCs w:val="20"/>
              </w:rPr>
              <w:t>3.6</w:t>
            </w:r>
          </w:p>
        </w:tc>
        <w:tc>
          <w:tcPr>
            <w:tcW w:w="660" w:type="dxa"/>
            <w:tcBorders>
              <w:top w:val="nil"/>
              <w:left w:val="nil"/>
              <w:bottom w:val="single" w:sz="4" w:space="0" w:color="auto"/>
              <w:right w:val="single" w:sz="4" w:space="0" w:color="auto"/>
            </w:tcBorders>
            <w:noWrap/>
            <w:vAlign w:val="center"/>
          </w:tcPr>
          <w:p w14:paraId="1EF2974D" w14:textId="77777777" w:rsidR="002B40DC" w:rsidRDefault="002B40DC" w:rsidP="008738F2">
            <w:pPr>
              <w:spacing w:after="60"/>
              <w:jc w:val="right"/>
              <w:rPr>
                <w:rFonts w:ascii="Arial" w:hAnsi="Arial" w:cs="Arial"/>
                <w:sz w:val="20"/>
                <w:szCs w:val="20"/>
              </w:rPr>
            </w:pPr>
            <w:r>
              <w:rPr>
                <w:rFonts w:ascii="Arial" w:hAnsi="Arial" w:cs="Arial"/>
                <w:sz w:val="20"/>
                <w:szCs w:val="20"/>
              </w:rPr>
              <w:t>1</w:t>
            </w:r>
          </w:p>
        </w:tc>
        <w:tc>
          <w:tcPr>
            <w:tcW w:w="596" w:type="dxa"/>
            <w:tcBorders>
              <w:top w:val="nil"/>
              <w:left w:val="nil"/>
              <w:bottom w:val="single" w:sz="4" w:space="0" w:color="auto"/>
              <w:right w:val="single" w:sz="4" w:space="0" w:color="auto"/>
            </w:tcBorders>
            <w:noWrap/>
            <w:vAlign w:val="center"/>
          </w:tcPr>
          <w:p w14:paraId="5BA32B07" w14:textId="77777777" w:rsidR="002B40DC" w:rsidRDefault="002B40DC" w:rsidP="008738F2">
            <w:pPr>
              <w:spacing w:after="60"/>
              <w:jc w:val="right"/>
              <w:rPr>
                <w:rFonts w:ascii="Arial" w:hAnsi="Arial" w:cs="Arial"/>
                <w:sz w:val="20"/>
                <w:szCs w:val="20"/>
              </w:rPr>
            </w:pPr>
            <w:r>
              <w:rPr>
                <w:rFonts w:ascii="Arial" w:hAnsi="Arial" w:cs="Arial"/>
                <w:sz w:val="20"/>
                <w:szCs w:val="20"/>
              </w:rPr>
              <w:t>0</w:t>
            </w:r>
          </w:p>
        </w:tc>
        <w:tc>
          <w:tcPr>
            <w:tcW w:w="549" w:type="dxa"/>
            <w:tcBorders>
              <w:top w:val="nil"/>
              <w:left w:val="nil"/>
              <w:bottom w:val="single" w:sz="4" w:space="0" w:color="auto"/>
              <w:right w:val="single" w:sz="4" w:space="0" w:color="auto"/>
            </w:tcBorders>
            <w:noWrap/>
            <w:vAlign w:val="center"/>
          </w:tcPr>
          <w:p w14:paraId="1DB6A561" w14:textId="77777777" w:rsidR="002B40DC" w:rsidRDefault="002B40DC" w:rsidP="008738F2">
            <w:pPr>
              <w:spacing w:after="60"/>
              <w:jc w:val="right"/>
              <w:rPr>
                <w:rFonts w:ascii="Arial" w:hAnsi="Arial" w:cs="Arial"/>
                <w:sz w:val="20"/>
                <w:szCs w:val="20"/>
              </w:rPr>
            </w:pPr>
            <w:r>
              <w:rPr>
                <w:rFonts w:ascii="Arial" w:hAnsi="Arial" w:cs="Arial"/>
                <w:sz w:val="20"/>
                <w:szCs w:val="20"/>
              </w:rPr>
              <w:t>0</w:t>
            </w:r>
          </w:p>
        </w:tc>
        <w:tc>
          <w:tcPr>
            <w:tcW w:w="660" w:type="dxa"/>
            <w:tcBorders>
              <w:top w:val="nil"/>
              <w:left w:val="nil"/>
              <w:bottom w:val="single" w:sz="4" w:space="0" w:color="auto"/>
              <w:right w:val="single" w:sz="4" w:space="0" w:color="auto"/>
            </w:tcBorders>
            <w:noWrap/>
            <w:vAlign w:val="center"/>
          </w:tcPr>
          <w:p w14:paraId="02F33B0E" w14:textId="77777777" w:rsidR="002B40DC" w:rsidRDefault="002B40DC" w:rsidP="008738F2">
            <w:pPr>
              <w:spacing w:after="60"/>
              <w:jc w:val="right"/>
              <w:rPr>
                <w:rFonts w:ascii="Arial" w:hAnsi="Arial" w:cs="Arial"/>
                <w:sz w:val="20"/>
                <w:szCs w:val="20"/>
              </w:rPr>
            </w:pPr>
            <w:r>
              <w:rPr>
                <w:rFonts w:ascii="Arial" w:hAnsi="Arial" w:cs="Arial"/>
                <w:sz w:val="20"/>
                <w:szCs w:val="20"/>
              </w:rPr>
              <w:t>T</w:t>
            </w:r>
          </w:p>
        </w:tc>
        <w:tc>
          <w:tcPr>
            <w:tcW w:w="613" w:type="dxa"/>
            <w:tcBorders>
              <w:top w:val="nil"/>
              <w:left w:val="nil"/>
              <w:bottom w:val="single" w:sz="4" w:space="0" w:color="auto"/>
              <w:right w:val="single" w:sz="4" w:space="0" w:color="auto"/>
            </w:tcBorders>
            <w:noWrap/>
            <w:vAlign w:val="center"/>
          </w:tcPr>
          <w:p w14:paraId="482D4022" w14:textId="77777777" w:rsidR="002B40DC" w:rsidRDefault="002B40DC" w:rsidP="008738F2">
            <w:pPr>
              <w:spacing w:after="60"/>
              <w:jc w:val="right"/>
              <w:rPr>
                <w:rFonts w:ascii="Arial" w:hAnsi="Arial" w:cs="Arial"/>
                <w:sz w:val="20"/>
                <w:szCs w:val="20"/>
              </w:rPr>
            </w:pPr>
            <w:r>
              <w:rPr>
                <w:rFonts w:ascii="Arial" w:hAnsi="Arial" w:cs="Arial"/>
                <w:sz w:val="20"/>
                <w:szCs w:val="20"/>
              </w:rPr>
              <w:t>0.8</w:t>
            </w:r>
          </w:p>
        </w:tc>
        <w:tc>
          <w:tcPr>
            <w:tcW w:w="644" w:type="dxa"/>
            <w:tcBorders>
              <w:top w:val="nil"/>
              <w:left w:val="nil"/>
              <w:bottom w:val="single" w:sz="4" w:space="0" w:color="auto"/>
              <w:right w:val="single" w:sz="4" w:space="0" w:color="auto"/>
            </w:tcBorders>
            <w:noWrap/>
            <w:vAlign w:val="center"/>
          </w:tcPr>
          <w:p w14:paraId="0B022D1A" w14:textId="77777777" w:rsidR="002B40DC" w:rsidRDefault="002B40DC" w:rsidP="008738F2">
            <w:pPr>
              <w:spacing w:after="60"/>
              <w:jc w:val="right"/>
              <w:rPr>
                <w:rFonts w:ascii="Arial" w:hAnsi="Arial" w:cs="Arial"/>
                <w:sz w:val="20"/>
                <w:szCs w:val="20"/>
              </w:rPr>
            </w:pPr>
            <w:r>
              <w:rPr>
                <w:rFonts w:ascii="Arial" w:hAnsi="Arial" w:cs="Arial"/>
                <w:sz w:val="20"/>
                <w:szCs w:val="20"/>
              </w:rPr>
              <w:t>3.9</w:t>
            </w:r>
          </w:p>
        </w:tc>
        <w:tc>
          <w:tcPr>
            <w:tcW w:w="660" w:type="dxa"/>
            <w:tcBorders>
              <w:top w:val="nil"/>
              <w:left w:val="nil"/>
              <w:bottom w:val="single" w:sz="4" w:space="0" w:color="auto"/>
              <w:right w:val="single" w:sz="4" w:space="0" w:color="auto"/>
            </w:tcBorders>
            <w:noWrap/>
            <w:vAlign w:val="center"/>
          </w:tcPr>
          <w:p w14:paraId="6D88F344" w14:textId="77777777" w:rsidR="002B40DC" w:rsidRDefault="002B40DC" w:rsidP="008738F2">
            <w:pPr>
              <w:spacing w:after="60"/>
              <w:jc w:val="right"/>
              <w:rPr>
                <w:rFonts w:ascii="Arial" w:hAnsi="Arial" w:cs="Arial"/>
                <w:sz w:val="20"/>
                <w:szCs w:val="20"/>
              </w:rPr>
            </w:pPr>
            <w:r>
              <w:rPr>
                <w:rFonts w:ascii="Arial" w:hAnsi="Arial" w:cs="Arial"/>
                <w:sz w:val="20"/>
                <w:szCs w:val="20"/>
              </w:rPr>
              <w:t>7.1</w:t>
            </w:r>
          </w:p>
        </w:tc>
        <w:tc>
          <w:tcPr>
            <w:tcW w:w="644" w:type="dxa"/>
            <w:tcBorders>
              <w:top w:val="nil"/>
              <w:left w:val="nil"/>
              <w:bottom w:val="single" w:sz="4" w:space="0" w:color="auto"/>
              <w:right w:val="single" w:sz="4" w:space="0" w:color="auto"/>
            </w:tcBorders>
            <w:noWrap/>
            <w:vAlign w:val="center"/>
          </w:tcPr>
          <w:p w14:paraId="39E97A14" w14:textId="77777777" w:rsidR="002B40DC" w:rsidRDefault="002B40DC" w:rsidP="008738F2">
            <w:pPr>
              <w:spacing w:after="60"/>
              <w:jc w:val="right"/>
              <w:rPr>
                <w:rFonts w:ascii="Arial" w:hAnsi="Arial" w:cs="Arial"/>
                <w:sz w:val="20"/>
                <w:szCs w:val="20"/>
              </w:rPr>
            </w:pPr>
            <w:r>
              <w:rPr>
                <w:rFonts w:ascii="Arial" w:hAnsi="Arial" w:cs="Arial"/>
                <w:sz w:val="20"/>
                <w:szCs w:val="20"/>
              </w:rPr>
              <w:t>5.4</w:t>
            </w:r>
          </w:p>
        </w:tc>
        <w:tc>
          <w:tcPr>
            <w:tcW w:w="755" w:type="dxa"/>
            <w:tcBorders>
              <w:top w:val="nil"/>
              <w:left w:val="nil"/>
              <w:bottom w:val="single" w:sz="4" w:space="0" w:color="auto"/>
              <w:right w:val="single" w:sz="4" w:space="0" w:color="auto"/>
            </w:tcBorders>
            <w:noWrap/>
            <w:vAlign w:val="center"/>
          </w:tcPr>
          <w:p w14:paraId="4CFD2D34" w14:textId="77777777" w:rsidR="002B40DC" w:rsidRDefault="002B40DC" w:rsidP="008738F2">
            <w:pPr>
              <w:spacing w:after="60"/>
              <w:jc w:val="right"/>
              <w:rPr>
                <w:rFonts w:ascii="Arial" w:hAnsi="Arial" w:cs="Arial"/>
                <w:i/>
                <w:iCs/>
                <w:sz w:val="20"/>
                <w:szCs w:val="20"/>
              </w:rPr>
            </w:pPr>
            <w:r>
              <w:rPr>
                <w:rFonts w:ascii="Arial" w:hAnsi="Arial" w:cs="Arial"/>
                <w:i/>
                <w:iCs/>
                <w:sz w:val="20"/>
                <w:szCs w:val="20"/>
              </w:rPr>
              <w:t>38</w:t>
            </w:r>
          </w:p>
        </w:tc>
      </w:tr>
      <w:tr w:rsidR="002B40DC" w14:paraId="46872E14" w14:textId="77777777" w:rsidTr="00915E78">
        <w:trPr>
          <w:trHeight w:val="255"/>
          <w:jc w:val="center"/>
        </w:trPr>
        <w:tc>
          <w:tcPr>
            <w:tcW w:w="3031" w:type="dxa"/>
            <w:tcBorders>
              <w:top w:val="nil"/>
              <w:left w:val="single" w:sz="4" w:space="0" w:color="auto"/>
              <w:bottom w:val="single" w:sz="4" w:space="0" w:color="auto"/>
              <w:right w:val="single" w:sz="4" w:space="0" w:color="auto"/>
            </w:tcBorders>
            <w:noWrap/>
            <w:vAlign w:val="center"/>
          </w:tcPr>
          <w:p w14:paraId="7146E902" w14:textId="77777777" w:rsidR="002B40DC" w:rsidRDefault="002B40DC" w:rsidP="008738F2">
            <w:pPr>
              <w:spacing w:after="60"/>
              <w:rPr>
                <w:rFonts w:ascii="Arial" w:hAnsi="Arial" w:cs="Arial"/>
                <w:sz w:val="20"/>
                <w:szCs w:val="20"/>
              </w:rPr>
            </w:pPr>
            <w:smartTag w:uri="urn:schemas-microsoft-com:office:smarttags" w:element="place">
              <w:smartTag w:uri="urn:schemas-microsoft-com:office:smarttags" w:element="City">
                <w:r>
                  <w:rPr>
                    <w:rFonts w:ascii="Arial" w:hAnsi="Arial" w:cs="Arial"/>
                    <w:sz w:val="20"/>
                    <w:szCs w:val="20"/>
                  </w:rPr>
                  <w:t>VALDEZ</w:t>
                </w:r>
              </w:smartTag>
              <w:r>
                <w:rPr>
                  <w:rFonts w:ascii="Arial" w:hAnsi="Arial" w:cs="Arial"/>
                  <w:sz w:val="20"/>
                  <w:szCs w:val="20"/>
                </w:rPr>
                <w:t xml:space="preserve">, </w:t>
              </w:r>
              <w:smartTag w:uri="urn:schemas-microsoft-com:office:smarttags" w:element="State">
                <w:r>
                  <w:rPr>
                    <w:rFonts w:ascii="Arial" w:hAnsi="Arial" w:cs="Arial"/>
                    <w:sz w:val="20"/>
                    <w:szCs w:val="20"/>
                  </w:rPr>
                  <w:t>AK</w:t>
                </w:r>
              </w:smartTag>
            </w:smartTag>
          </w:p>
        </w:tc>
        <w:tc>
          <w:tcPr>
            <w:tcW w:w="629" w:type="dxa"/>
            <w:tcBorders>
              <w:top w:val="nil"/>
              <w:left w:val="nil"/>
              <w:bottom w:val="single" w:sz="4" w:space="0" w:color="auto"/>
              <w:right w:val="single" w:sz="4" w:space="0" w:color="auto"/>
            </w:tcBorders>
            <w:noWrap/>
            <w:vAlign w:val="center"/>
          </w:tcPr>
          <w:p w14:paraId="4865F0CE" w14:textId="77777777" w:rsidR="002B40DC" w:rsidRDefault="002B40DC" w:rsidP="008738F2">
            <w:pPr>
              <w:spacing w:after="60"/>
              <w:jc w:val="right"/>
              <w:rPr>
                <w:rFonts w:ascii="Arial" w:hAnsi="Arial" w:cs="Arial"/>
                <w:i/>
                <w:iCs/>
                <w:sz w:val="20"/>
                <w:szCs w:val="20"/>
              </w:rPr>
            </w:pPr>
            <w:r>
              <w:rPr>
                <w:rFonts w:ascii="Arial" w:hAnsi="Arial" w:cs="Arial"/>
                <w:i/>
                <w:iCs/>
                <w:sz w:val="20"/>
                <w:szCs w:val="20"/>
              </w:rPr>
              <w:t>33</w:t>
            </w:r>
          </w:p>
        </w:tc>
        <w:tc>
          <w:tcPr>
            <w:tcW w:w="597" w:type="dxa"/>
            <w:tcBorders>
              <w:top w:val="nil"/>
              <w:left w:val="nil"/>
              <w:bottom w:val="single" w:sz="4" w:space="0" w:color="auto"/>
              <w:right w:val="single" w:sz="4" w:space="0" w:color="auto"/>
            </w:tcBorders>
            <w:noWrap/>
            <w:vAlign w:val="center"/>
          </w:tcPr>
          <w:p w14:paraId="09D3EB14" w14:textId="77777777" w:rsidR="002B40DC" w:rsidRDefault="002B40DC" w:rsidP="008738F2">
            <w:pPr>
              <w:spacing w:after="60"/>
              <w:jc w:val="right"/>
              <w:rPr>
                <w:rFonts w:ascii="Arial" w:hAnsi="Arial" w:cs="Arial"/>
                <w:sz w:val="20"/>
                <w:szCs w:val="20"/>
              </w:rPr>
            </w:pPr>
            <w:r>
              <w:rPr>
                <w:rFonts w:ascii="Arial" w:hAnsi="Arial" w:cs="Arial"/>
                <w:sz w:val="20"/>
                <w:szCs w:val="20"/>
              </w:rPr>
              <w:t>65.8</w:t>
            </w:r>
          </w:p>
        </w:tc>
        <w:tc>
          <w:tcPr>
            <w:tcW w:w="597" w:type="dxa"/>
            <w:tcBorders>
              <w:top w:val="nil"/>
              <w:left w:val="nil"/>
              <w:bottom w:val="single" w:sz="4" w:space="0" w:color="auto"/>
              <w:right w:val="single" w:sz="4" w:space="0" w:color="auto"/>
            </w:tcBorders>
            <w:noWrap/>
            <w:vAlign w:val="center"/>
          </w:tcPr>
          <w:p w14:paraId="21EE0262" w14:textId="77777777" w:rsidR="002B40DC" w:rsidRDefault="002B40DC" w:rsidP="008738F2">
            <w:pPr>
              <w:spacing w:after="60"/>
              <w:jc w:val="right"/>
              <w:rPr>
                <w:rFonts w:ascii="Arial" w:hAnsi="Arial" w:cs="Arial"/>
                <w:sz w:val="20"/>
                <w:szCs w:val="20"/>
              </w:rPr>
            </w:pPr>
            <w:r>
              <w:rPr>
                <w:rFonts w:ascii="Arial" w:hAnsi="Arial" w:cs="Arial"/>
                <w:sz w:val="20"/>
                <w:szCs w:val="20"/>
              </w:rPr>
              <w:t>59.4</w:t>
            </w:r>
          </w:p>
        </w:tc>
        <w:tc>
          <w:tcPr>
            <w:tcW w:w="676" w:type="dxa"/>
            <w:tcBorders>
              <w:top w:val="nil"/>
              <w:left w:val="nil"/>
              <w:bottom w:val="single" w:sz="4" w:space="0" w:color="auto"/>
              <w:right w:val="single" w:sz="4" w:space="0" w:color="auto"/>
            </w:tcBorders>
            <w:noWrap/>
            <w:vAlign w:val="center"/>
          </w:tcPr>
          <w:p w14:paraId="42DE3235" w14:textId="77777777" w:rsidR="002B40DC" w:rsidRDefault="002B40DC" w:rsidP="008738F2">
            <w:pPr>
              <w:spacing w:after="60"/>
              <w:jc w:val="right"/>
              <w:rPr>
                <w:rFonts w:ascii="Arial" w:hAnsi="Arial" w:cs="Arial"/>
                <w:sz w:val="20"/>
                <w:szCs w:val="20"/>
              </w:rPr>
            </w:pPr>
            <w:r>
              <w:rPr>
                <w:rFonts w:ascii="Arial" w:hAnsi="Arial" w:cs="Arial"/>
                <w:sz w:val="20"/>
                <w:szCs w:val="20"/>
              </w:rPr>
              <w:t>52</w:t>
            </w:r>
          </w:p>
        </w:tc>
        <w:tc>
          <w:tcPr>
            <w:tcW w:w="629" w:type="dxa"/>
            <w:tcBorders>
              <w:top w:val="nil"/>
              <w:left w:val="nil"/>
              <w:bottom w:val="single" w:sz="4" w:space="0" w:color="auto"/>
              <w:right w:val="single" w:sz="4" w:space="0" w:color="auto"/>
            </w:tcBorders>
            <w:noWrap/>
            <w:vAlign w:val="center"/>
          </w:tcPr>
          <w:p w14:paraId="6138F577" w14:textId="77777777" w:rsidR="002B40DC" w:rsidRDefault="002B40DC" w:rsidP="008738F2">
            <w:pPr>
              <w:spacing w:after="60"/>
              <w:jc w:val="right"/>
              <w:rPr>
                <w:rFonts w:ascii="Arial" w:hAnsi="Arial" w:cs="Arial"/>
                <w:sz w:val="20"/>
                <w:szCs w:val="20"/>
              </w:rPr>
            </w:pPr>
            <w:r>
              <w:rPr>
                <w:rFonts w:ascii="Arial" w:hAnsi="Arial" w:cs="Arial"/>
                <w:sz w:val="20"/>
                <w:szCs w:val="20"/>
              </w:rPr>
              <w:t>22.7</w:t>
            </w:r>
          </w:p>
        </w:tc>
        <w:tc>
          <w:tcPr>
            <w:tcW w:w="660" w:type="dxa"/>
            <w:tcBorders>
              <w:top w:val="nil"/>
              <w:left w:val="nil"/>
              <w:bottom w:val="single" w:sz="4" w:space="0" w:color="auto"/>
              <w:right w:val="single" w:sz="4" w:space="0" w:color="auto"/>
            </w:tcBorders>
            <w:noWrap/>
            <w:vAlign w:val="center"/>
          </w:tcPr>
          <w:p w14:paraId="612DCABE" w14:textId="77777777" w:rsidR="002B40DC" w:rsidRDefault="002B40DC" w:rsidP="008738F2">
            <w:pPr>
              <w:spacing w:after="60"/>
              <w:jc w:val="right"/>
              <w:rPr>
                <w:rFonts w:ascii="Arial" w:hAnsi="Arial" w:cs="Arial"/>
                <w:sz w:val="20"/>
                <w:szCs w:val="20"/>
              </w:rPr>
            </w:pPr>
            <w:r>
              <w:rPr>
                <w:rFonts w:ascii="Arial" w:hAnsi="Arial" w:cs="Arial"/>
                <w:sz w:val="20"/>
                <w:szCs w:val="20"/>
              </w:rPr>
              <w:t>1.9</w:t>
            </w:r>
          </w:p>
        </w:tc>
        <w:tc>
          <w:tcPr>
            <w:tcW w:w="596" w:type="dxa"/>
            <w:tcBorders>
              <w:top w:val="nil"/>
              <w:left w:val="nil"/>
              <w:bottom w:val="single" w:sz="4" w:space="0" w:color="auto"/>
              <w:right w:val="single" w:sz="4" w:space="0" w:color="auto"/>
            </w:tcBorders>
            <w:noWrap/>
            <w:vAlign w:val="center"/>
          </w:tcPr>
          <w:p w14:paraId="34C7C62C" w14:textId="77777777" w:rsidR="002B40DC" w:rsidRDefault="002B40DC" w:rsidP="008738F2">
            <w:pPr>
              <w:spacing w:after="60"/>
              <w:jc w:val="right"/>
              <w:rPr>
                <w:rFonts w:ascii="Arial" w:hAnsi="Arial" w:cs="Arial"/>
                <w:sz w:val="20"/>
                <w:szCs w:val="20"/>
              </w:rPr>
            </w:pPr>
            <w:r>
              <w:rPr>
                <w:rFonts w:ascii="Arial" w:hAnsi="Arial" w:cs="Arial"/>
                <w:sz w:val="20"/>
                <w:szCs w:val="20"/>
              </w:rPr>
              <w:t>0</w:t>
            </w:r>
          </w:p>
        </w:tc>
        <w:tc>
          <w:tcPr>
            <w:tcW w:w="549" w:type="dxa"/>
            <w:tcBorders>
              <w:top w:val="nil"/>
              <w:left w:val="nil"/>
              <w:bottom w:val="single" w:sz="4" w:space="0" w:color="auto"/>
              <w:right w:val="single" w:sz="4" w:space="0" w:color="auto"/>
            </w:tcBorders>
            <w:noWrap/>
            <w:vAlign w:val="center"/>
          </w:tcPr>
          <w:p w14:paraId="6F0A5615" w14:textId="77777777" w:rsidR="002B40DC" w:rsidRDefault="002B40DC" w:rsidP="008738F2">
            <w:pPr>
              <w:spacing w:after="60"/>
              <w:jc w:val="right"/>
              <w:rPr>
                <w:rFonts w:ascii="Arial" w:hAnsi="Arial" w:cs="Arial"/>
                <w:sz w:val="20"/>
                <w:szCs w:val="20"/>
              </w:rPr>
            </w:pPr>
            <w:r>
              <w:rPr>
                <w:rFonts w:ascii="Arial" w:hAnsi="Arial" w:cs="Arial"/>
                <w:sz w:val="20"/>
                <w:szCs w:val="20"/>
              </w:rPr>
              <w:t>0</w:t>
            </w:r>
          </w:p>
        </w:tc>
        <w:tc>
          <w:tcPr>
            <w:tcW w:w="660" w:type="dxa"/>
            <w:tcBorders>
              <w:top w:val="nil"/>
              <w:left w:val="nil"/>
              <w:bottom w:val="single" w:sz="4" w:space="0" w:color="auto"/>
              <w:right w:val="single" w:sz="4" w:space="0" w:color="auto"/>
            </w:tcBorders>
            <w:noWrap/>
            <w:vAlign w:val="center"/>
          </w:tcPr>
          <w:p w14:paraId="7A954422" w14:textId="77777777" w:rsidR="002B40DC" w:rsidRDefault="002B40DC" w:rsidP="008738F2">
            <w:pPr>
              <w:spacing w:after="60"/>
              <w:jc w:val="right"/>
              <w:rPr>
                <w:rFonts w:ascii="Arial" w:hAnsi="Arial" w:cs="Arial"/>
                <w:sz w:val="20"/>
                <w:szCs w:val="20"/>
              </w:rPr>
            </w:pPr>
            <w:r>
              <w:rPr>
                <w:rFonts w:ascii="Arial" w:hAnsi="Arial" w:cs="Arial"/>
                <w:sz w:val="20"/>
                <w:szCs w:val="20"/>
              </w:rPr>
              <w:t>0</w:t>
            </w:r>
          </w:p>
        </w:tc>
        <w:tc>
          <w:tcPr>
            <w:tcW w:w="613" w:type="dxa"/>
            <w:tcBorders>
              <w:top w:val="nil"/>
              <w:left w:val="nil"/>
              <w:bottom w:val="single" w:sz="4" w:space="0" w:color="auto"/>
              <w:right w:val="single" w:sz="4" w:space="0" w:color="auto"/>
            </w:tcBorders>
            <w:noWrap/>
            <w:vAlign w:val="center"/>
          </w:tcPr>
          <w:p w14:paraId="4B63CAC1" w14:textId="77777777" w:rsidR="002B40DC" w:rsidRDefault="002B40DC" w:rsidP="008738F2">
            <w:pPr>
              <w:spacing w:after="60"/>
              <w:jc w:val="right"/>
              <w:rPr>
                <w:rFonts w:ascii="Arial" w:hAnsi="Arial" w:cs="Arial"/>
                <w:sz w:val="20"/>
                <w:szCs w:val="20"/>
              </w:rPr>
            </w:pPr>
            <w:r>
              <w:rPr>
                <w:rFonts w:ascii="Arial" w:hAnsi="Arial" w:cs="Arial"/>
                <w:sz w:val="20"/>
                <w:szCs w:val="20"/>
              </w:rPr>
              <w:t>0.5</w:t>
            </w:r>
          </w:p>
        </w:tc>
        <w:tc>
          <w:tcPr>
            <w:tcW w:w="644" w:type="dxa"/>
            <w:tcBorders>
              <w:top w:val="nil"/>
              <w:left w:val="nil"/>
              <w:bottom w:val="single" w:sz="4" w:space="0" w:color="auto"/>
              <w:right w:val="single" w:sz="4" w:space="0" w:color="auto"/>
            </w:tcBorders>
            <w:noWrap/>
            <w:vAlign w:val="center"/>
          </w:tcPr>
          <w:p w14:paraId="4E663870" w14:textId="77777777" w:rsidR="002B40DC" w:rsidRDefault="002B40DC" w:rsidP="008738F2">
            <w:pPr>
              <w:spacing w:after="60"/>
              <w:jc w:val="right"/>
              <w:rPr>
                <w:rFonts w:ascii="Arial" w:hAnsi="Arial" w:cs="Arial"/>
                <w:sz w:val="20"/>
                <w:szCs w:val="20"/>
              </w:rPr>
            </w:pPr>
            <w:r>
              <w:rPr>
                <w:rFonts w:ascii="Arial" w:hAnsi="Arial" w:cs="Arial"/>
                <w:sz w:val="20"/>
                <w:szCs w:val="20"/>
              </w:rPr>
              <w:t>11.6</w:t>
            </w:r>
          </w:p>
        </w:tc>
        <w:tc>
          <w:tcPr>
            <w:tcW w:w="660" w:type="dxa"/>
            <w:tcBorders>
              <w:top w:val="nil"/>
              <w:left w:val="nil"/>
              <w:bottom w:val="single" w:sz="4" w:space="0" w:color="auto"/>
              <w:right w:val="single" w:sz="4" w:space="0" w:color="auto"/>
            </w:tcBorders>
            <w:noWrap/>
            <w:vAlign w:val="center"/>
          </w:tcPr>
          <w:p w14:paraId="428FF0DC" w14:textId="77777777" w:rsidR="002B40DC" w:rsidRDefault="002B40DC" w:rsidP="008738F2">
            <w:pPr>
              <w:spacing w:after="60"/>
              <w:jc w:val="right"/>
              <w:rPr>
                <w:rFonts w:ascii="Arial" w:hAnsi="Arial" w:cs="Arial"/>
                <w:sz w:val="20"/>
                <w:szCs w:val="20"/>
              </w:rPr>
            </w:pPr>
            <w:r>
              <w:rPr>
                <w:rFonts w:ascii="Arial" w:hAnsi="Arial" w:cs="Arial"/>
                <w:sz w:val="20"/>
                <w:szCs w:val="20"/>
              </w:rPr>
              <w:t>40.3</w:t>
            </w:r>
          </w:p>
        </w:tc>
        <w:tc>
          <w:tcPr>
            <w:tcW w:w="644" w:type="dxa"/>
            <w:tcBorders>
              <w:top w:val="nil"/>
              <w:left w:val="nil"/>
              <w:bottom w:val="single" w:sz="4" w:space="0" w:color="auto"/>
              <w:right w:val="single" w:sz="4" w:space="0" w:color="auto"/>
            </w:tcBorders>
            <w:noWrap/>
            <w:vAlign w:val="center"/>
          </w:tcPr>
          <w:p w14:paraId="27180F66" w14:textId="77777777" w:rsidR="002B40DC" w:rsidRDefault="002B40DC" w:rsidP="008738F2">
            <w:pPr>
              <w:spacing w:after="60"/>
              <w:jc w:val="right"/>
              <w:rPr>
                <w:rFonts w:ascii="Arial" w:hAnsi="Arial" w:cs="Arial"/>
                <w:sz w:val="20"/>
                <w:szCs w:val="20"/>
              </w:rPr>
            </w:pPr>
            <w:r>
              <w:rPr>
                <w:rFonts w:ascii="Arial" w:hAnsi="Arial" w:cs="Arial"/>
                <w:sz w:val="20"/>
                <w:szCs w:val="20"/>
              </w:rPr>
              <w:t>73</w:t>
            </w:r>
          </w:p>
        </w:tc>
        <w:tc>
          <w:tcPr>
            <w:tcW w:w="755" w:type="dxa"/>
            <w:tcBorders>
              <w:top w:val="nil"/>
              <w:left w:val="nil"/>
              <w:bottom w:val="single" w:sz="4" w:space="0" w:color="auto"/>
              <w:right w:val="single" w:sz="4" w:space="0" w:color="auto"/>
            </w:tcBorders>
            <w:noWrap/>
            <w:vAlign w:val="center"/>
          </w:tcPr>
          <w:p w14:paraId="61138FF9" w14:textId="77777777" w:rsidR="002B40DC" w:rsidRDefault="002B40DC" w:rsidP="008738F2">
            <w:pPr>
              <w:spacing w:after="60"/>
              <w:jc w:val="right"/>
              <w:rPr>
                <w:rFonts w:ascii="Arial" w:hAnsi="Arial" w:cs="Arial"/>
                <w:i/>
                <w:iCs/>
                <w:sz w:val="20"/>
                <w:szCs w:val="20"/>
              </w:rPr>
            </w:pPr>
            <w:r>
              <w:rPr>
                <w:rFonts w:ascii="Arial" w:hAnsi="Arial" w:cs="Arial"/>
                <w:i/>
                <w:iCs/>
                <w:sz w:val="20"/>
                <w:szCs w:val="20"/>
              </w:rPr>
              <w:t>327.2</w:t>
            </w:r>
          </w:p>
        </w:tc>
      </w:tr>
      <w:tr w:rsidR="002B40DC" w14:paraId="55DE2610" w14:textId="77777777" w:rsidTr="00915E78">
        <w:trPr>
          <w:trHeight w:val="255"/>
          <w:jc w:val="center"/>
        </w:trPr>
        <w:tc>
          <w:tcPr>
            <w:tcW w:w="3031" w:type="dxa"/>
            <w:tcBorders>
              <w:top w:val="nil"/>
              <w:left w:val="single" w:sz="4" w:space="0" w:color="auto"/>
              <w:bottom w:val="single" w:sz="4" w:space="0" w:color="auto"/>
              <w:right w:val="single" w:sz="4" w:space="0" w:color="auto"/>
            </w:tcBorders>
            <w:noWrap/>
            <w:vAlign w:val="center"/>
          </w:tcPr>
          <w:p w14:paraId="4AFFA150" w14:textId="77777777" w:rsidR="002B40DC" w:rsidRDefault="002B40DC" w:rsidP="008738F2">
            <w:pPr>
              <w:spacing w:after="60"/>
              <w:rPr>
                <w:rFonts w:ascii="Arial" w:hAnsi="Arial" w:cs="Arial"/>
                <w:sz w:val="20"/>
                <w:szCs w:val="20"/>
              </w:rPr>
            </w:pPr>
            <w:smartTag w:uri="urn:schemas-microsoft-com:office:smarttags" w:element="place">
              <w:smartTag w:uri="urn:schemas-microsoft-com:office:smarttags" w:element="City">
                <w:r>
                  <w:rPr>
                    <w:rFonts w:ascii="Arial" w:hAnsi="Arial" w:cs="Arial"/>
                    <w:sz w:val="20"/>
                    <w:szCs w:val="20"/>
                  </w:rPr>
                  <w:t>YAKUTAT</w:t>
                </w:r>
              </w:smartTag>
              <w:r>
                <w:rPr>
                  <w:rFonts w:ascii="Arial" w:hAnsi="Arial" w:cs="Arial"/>
                  <w:sz w:val="20"/>
                  <w:szCs w:val="20"/>
                </w:rPr>
                <w:t xml:space="preserve">, </w:t>
              </w:r>
              <w:smartTag w:uri="urn:schemas-microsoft-com:office:smarttags" w:element="State">
                <w:r>
                  <w:rPr>
                    <w:rFonts w:ascii="Arial" w:hAnsi="Arial" w:cs="Arial"/>
                    <w:sz w:val="20"/>
                    <w:szCs w:val="20"/>
                  </w:rPr>
                  <w:t>AK</w:t>
                </w:r>
              </w:smartTag>
            </w:smartTag>
          </w:p>
        </w:tc>
        <w:tc>
          <w:tcPr>
            <w:tcW w:w="629" w:type="dxa"/>
            <w:tcBorders>
              <w:top w:val="nil"/>
              <w:left w:val="nil"/>
              <w:bottom w:val="single" w:sz="4" w:space="0" w:color="auto"/>
              <w:right w:val="single" w:sz="4" w:space="0" w:color="auto"/>
            </w:tcBorders>
            <w:noWrap/>
            <w:vAlign w:val="center"/>
          </w:tcPr>
          <w:p w14:paraId="4BDC510E" w14:textId="77777777" w:rsidR="002B40DC" w:rsidRDefault="002B40DC" w:rsidP="008738F2">
            <w:pPr>
              <w:spacing w:after="60"/>
              <w:jc w:val="right"/>
              <w:rPr>
                <w:rFonts w:ascii="Arial" w:hAnsi="Arial" w:cs="Arial"/>
                <w:i/>
                <w:iCs/>
                <w:sz w:val="20"/>
                <w:szCs w:val="20"/>
              </w:rPr>
            </w:pPr>
            <w:r>
              <w:rPr>
                <w:rFonts w:ascii="Arial" w:hAnsi="Arial" w:cs="Arial"/>
                <w:i/>
                <w:iCs/>
                <w:sz w:val="20"/>
                <w:szCs w:val="20"/>
              </w:rPr>
              <w:t>56</w:t>
            </w:r>
          </w:p>
        </w:tc>
        <w:tc>
          <w:tcPr>
            <w:tcW w:w="597" w:type="dxa"/>
            <w:tcBorders>
              <w:top w:val="nil"/>
              <w:left w:val="nil"/>
              <w:bottom w:val="single" w:sz="4" w:space="0" w:color="auto"/>
              <w:right w:val="single" w:sz="4" w:space="0" w:color="auto"/>
            </w:tcBorders>
            <w:noWrap/>
            <w:vAlign w:val="center"/>
          </w:tcPr>
          <w:p w14:paraId="5E1E5B81" w14:textId="77777777" w:rsidR="002B40DC" w:rsidRDefault="002B40DC" w:rsidP="008738F2">
            <w:pPr>
              <w:spacing w:after="60"/>
              <w:jc w:val="right"/>
              <w:rPr>
                <w:rFonts w:ascii="Arial" w:hAnsi="Arial" w:cs="Arial"/>
                <w:sz w:val="20"/>
                <w:szCs w:val="20"/>
              </w:rPr>
            </w:pPr>
            <w:r>
              <w:rPr>
                <w:rFonts w:ascii="Arial" w:hAnsi="Arial" w:cs="Arial"/>
                <w:sz w:val="20"/>
                <w:szCs w:val="20"/>
              </w:rPr>
              <w:t>36.8</w:t>
            </w:r>
          </w:p>
        </w:tc>
        <w:tc>
          <w:tcPr>
            <w:tcW w:w="597" w:type="dxa"/>
            <w:tcBorders>
              <w:top w:val="nil"/>
              <w:left w:val="nil"/>
              <w:bottom w:val="single" w:sz="4" w:space="0" w:color="auto"/>
              <w:right w:val="single" w:sz="4" w:space="0" w:color="auto"/>
            </w:tcBorders>
            <w:noWrap/>
            <w:vAlign w:val="center"/>
          </w:tcPr>
          <w:p w14:paraId="4DA94066" w14:textId="77777777" w:rsidR="002B40DC" w:rsidRDefault="002B40DC" w:rsidP="008738F2">
            <w:pPr>
              <w:spacing w:after="60"/>
              <w:jc w:val="right"/>
              <w:rPr>
                <w:rFonts w:ascii="Arial" w:hAnsi="Arial" w:cs="Arial"/>
                <w:sz w:val="20"/>
                <w:szCs w:val="20"/>
              </w:rPr>
            </w:pPr>
            <w:r>
              <w:rPr>
                <w:rFonts w:ascii="Arial" w:hAnsi="Arial" w:cs="Arial"/>
                <w:sz w:val="20"/>
                <w:szCs w:val="20"/>
              </w:rPr>
              <w:t>37</w:t>
            </w:r>
          </w:p>
        </w:tc>
        <w:tc>
          <w:tcPr>
            <w:tcW w:w="676" w:type="dxa"/>
            <w:tcBorders>
              <w:top w:val="nil"/>
              <w:left w:val="nil"/>
              <w:bottom w:val="single" w:sz="4" w:space="0" w:color="auto"/>
              <w:right w:val="single" w:sz="4" w:space="0" w:color="auto"/>
            </w:tcBorders>
            <w:noWrap/>
            <w:vAlign w:val="center"/>
          </w:tcPr>
          <w:p w14:paraId="71186F67" w14:textId="77777777" w:rsidR="002B40DC" w:rsidRDefault="002B40DC" w:rsidP="008738F2">
            <w:pPr>
              <w:spacing w:after="60"/>
              <w:jc w:val="right"/>
              <w:rPr>
                <w:rFonts w:ascii="Arial" w:hAnsi="Arial" w:cs="Arial"/>
                <w:sz w:val="20"/>
                <w:szCs w:val="20"/>
              </w:rPr>
            </w:pPr>
            <w:r>
              <w:rPr>
                <w:rFonts w:ascii="Arial" w:hAnsi="Arial" w:cs="Arial"/>
                <w:sz w:val="20"/>
                <w:szCs w:val="20"/>
              </w:rPr>
              <w:t>35.9</w:t>
            </w:r>
          </w:p>
        </w:tc>
        <w:tc>
          <w:tcPr>
            <w:tcW w:w="629" w:type="dxa"/>
            <w:tcBorders>
              <w:top w:val="nil"/>
              <w:left w:val="nil"/>
              <w:bottom w:val="single" w:sz="4" w:space="0" w:color="auto"/>
              <w:right w:val="single" w:sz="4" w:space="0" w:color="auto"/>
            </w:tcBorders>
            <w:noWrap/>
            <w:vAlign w:val="center"/>
          </w:tcPr>
          <w:p w14:paraId="5176C744" w14:textId="77777777" w:rsidR="002B40DC" w:rsidRDefault="002B40DC" w:rsidP="008738F2">
            <w:pPr>
              <w:spacing w:after="60"/>
              <w:jc w:val="right"/>
              <w:rPr>
                <w:rFonts w:ascii="Arial" w:hAnsi="Arial" w:cs="Arial"/>
                <w:sz w:val="20"/>
                <w:szCs w:val="20"/>
              </w:rPr>
            </w:pPr>
            <w:r>
              <w:rPr>
                <w:rFonts w:ascii="Arial" w:hAnsi="Arial" w:cs="Arial"/>
                <w:sz w:val="20"/>
                <w:szCs w:val="20"/>
              </w:rPr>
              <w:t>15.9</w:t>
            </w:r>
          </w:p>
        </w:tc>
        <w:tc>
          <w:tcPr>
            <w:tcW w:w="660" w:type="dxa"/>
            <w:tcBorders>
              <w:top w:val="nil"/>
              <w:left w:val="nil"/>
              <w:bottom w:val="single" w:sz="4" w:space="0" w:color="auto"/>
              <w:right w:val="single" w:sz="4" w:space="0" w:color="auto"/>
            </w:tcBorders>
            <w:noWrap/>
            <w:vAlign w:val="center"/>
          </w:tcPr>
          <w:p w14:paraId="54C7577D" w14:textId="77777777" w:rsidR="002B40DC" w:rsidRDefault="002B40DC" w:rsidP="008738F2">
            <w:pPr>
              <w:spacing w:after="60"/>
              <w:jc w:val="right"/>
              <w:rPr>
                <w:rFonts w:ascii="Arial" w:hAnsi="Arial" w:cs="Arial"/>
                <w:sz w:val="20"/>
                <w:szCs w:val="20"/>
              </w:rPr>
            </w:pPr>
            <w:r>
              <w:rPr>
                <w:rFonts w:ascii="Arial" w:hAnsi="Arial" w:cs="Arial"/>
                <w:sz w:val="20"/>
                <w:szCs w:val="20"/>
              </w:rPr>
              <w:t>1.5</w:t>
            </w:r>
          </w:p>
        </w:tc>
        <w:tc>
          <w:tcPr>
            <w:tcW w:w="596" w:type="dxa"/>
            <w:tcBorders>
              <w:top w:val="nil"/>
              <w:left w:val="nil"/>
              <w:bottom w:val="single" w:sz="4" w:space="0" w:color="auto"/>
              <w:right w:val="single" w:sz="4" w:space="0" w:color="auto"/>
            </w:tcBorders>
            <w:noWrap/>
            <w:vAlign w:val="center"/>
          </w:tcPr>
          <w:p w14:paraId="7E7443CD" w14:textId="77777777" w:rsidR="002B40DC" w:rsidRDefault="002B40DC" w:rsidP="008738F2">
            <w:pPr>
              <w:spacing w:after="60"/>
              <w:jc w:val="right"/>
              <w:rPr>
                <w:rFonts w:ascii="Arial" w:hAnsi="Arial" w:cs="Arial"/>
                <w:sz w:val="20"/>
                <w:szCs w:val="20"/>
              </w:rPr>
            </w:pPr>
            <w:r>
              <w:rPr>
                <w:rFonts w:ascii="Arial" w:hAnsi="Arial" w:cs="Arial"/>
                <w:sz w:val="20"/>
                <w:szCs w:val="20"/>
              </w:rPr>
              <w:t>T</w:t>
            </w:r>
          </w:p>
        </w:tc>
        <w:tc>
          <w:tcPr>
            <w:tcW w:w="549" w:type="dxa"/>
            <w:tcBorders>
              <w:top w:val="nil"/>
              <w:left w:val="nil"/>
              <w:bottom w:val="single" w:sz="4" w:space="0" w:color="auto"/>
              <w:right w:val="single" w:sz="4" w:space="0" w:color="auto"/>
            </w:tcBorders>
            <w:noWrap/>
            <w:vAlign w:val="center"/>
          </w:tcPr>
          <w:p w14:paraId="4D5A172B" w14:textId="77777777" w:rsidR="002B40DC" w:rsidRDefault="002B40DC" w:rsidP="008738F2">
            <w:pPr>
              <w:spacing w:after="60"/>
              <w:jc w:val="right"/>
              <w:rPr>
                <w:rFonts w:ascii="Arial" w:hAnsi="Arial" w:cs="Arial"/>
                <w:sz w:val="20"/>
                <w:szCs w:val="20"/>
              </w:rPr>
            </w:pPr>
            <w:r>
              <w:rPr>
                <w:rFonts w:ascii="Arial" w:hAnsi="Arial" w:cs="Arial"/>
                <w:sz w:val="20"/>
                <w:szCs w:val="20"/>
              </w:rPr>
              <w:t>0</w:t>
            </w:r>
          </w:p>
        </w:tc>
        <w:tc>
          <w:tcPr>
            <w:tcW w:w="660" w:type="dxa"/>
            <w:tcBorders>
              <w:top w:val="nil"/>
              <w:left w:val="nil"/>
              <w:bottom w:val="single" w:sz="4" w:space="0" w:color="auto"/>
              <w:right w:val="single" w:sz="4" w:space="0" w:color="auto"/>
            </w:tcBorders>
            <w:noWrap/>
            <w:vAlign w:val="center"/>
          </w:tcPr>
          <w:p w14:paraId="1437A4AA" w14:textId="77777777" w:rsidR="002B40DC" w:rsidRDefault="002B40DC" w:rsidP="008738F2">
            <w:pPr>
              <w:spacing w:after="60"/>
              <w:jc w:val="right"/>
              <w:rPr>
                <w:rFonts w:ascii="Arial" w:hAnsi="Arial" w:cs="Arial"/>
                <w:sz w:val="20"/>
                <w:szCs w:val="20"/>
              </w:rPr>
            </w:pPr>
            <w:r>
              <w:rPr>
                <w:rFonts w:ascii="Arial" w:hAnsi="Arial" w:cs="Arial"/>
                <w:sz w:val="20"/>
                <w:szCs w:val="20"/>
              </w:rPr>
              <w:t>T</w:t>
            </w:r>
          </w:p>
        </w:tc>
        <w:tc>
          <w:tcPr>
            <w:tcW w:w="613" w:type="dxa"/>
            <w:tcBorders>
              <w:top w:val="nil"/>
              <w:left w:val="nil"/>
              <w:bottom w:val="single" w:sz="4" w:space="0" w:color="auto"/>
              <w:right w:val="single" w:sz="4" w:space="0" w:color="auto"/>
            </w:tcBorders>
            <w:noWrap/>
            <w:vAlign w:val="center"/>
          </w:tcPr>
          <w:p w14:paraId="35B4D1A5" w14:textId="77777777" w:rsidR="002B40DC" w:rsidRDefault="002B40DC" w:rsidP="008738F2">
            <w:pPr>
              <w:spacing w:after="60"/>
              <w:jc w:val="right"/>
              <w:rPr>
                <w:rFonts w:ascii="Arial" w:hAnsi="Arial" w:cs="Arial"/>
                <w:sz w:val="20"/>
                <w:szCs w:val="20"/>
              </w:rPr>
            </w:pPr>
            <w:r>
              <w:rPr>
                <w:rFonts w:ascii="Arial" w:hAnsi="Arial" w:cs="Arial"/>
                <w:sz w:val="20"/>
                <w:szCs w:val="20"/>
              </w:rPr>
              <w:t>T</w:t>
            </w:r>
          </w:p>
        </w:tc>
        <w:tc>
          <w:tcPr>
            <w:tcW w:w="644" w:type="dxa"/>
            <w:tcBorders>
              <w:top w:val="nil"/>
              <w:left w:val="nil"/>
              <w:bottom w:val="single" w:sz="4" w:space="0" w:color="auto"/>
              <w:right w:val="single" w:sz="4" w:space="0" w:color="auto"/>
            </w:tcBorders>
            <w:noWrap/>
            <w:vAlign w:val="center"/>
          </w:tcPr>
          <w:p w14:paraId="74DB7025" w14:textId="77777777" w:rsidR="002B40DC" w:rsidRDefault="002B40DC" w:rsidP="008738F2">
            <w:pPr>
              <w:spacing w:after="60"/>
              <w:jc w:val="right"/>
              <w:rPr>
                <w:rFonts w:ascii="Arial" w:hAnsi="Arial" w:cs="Arial"/>
                <w:sz w:val="20"/>
                <w:szCs w:val="20"/>
              </w:rPr>
            </w:pPr>
            <w:r>
              <w:rPr>
                <w:rFonts w:ascii="Arial" w:hAnsi="Arial" w:cs="Arial"/>
                <w:sz w:val="20"/>
                <w:szCs w:val="20"/>
              </w:rPr>
              <w:t>5.4</w:t>
            </w:r>
          </w:p>
        </w:tc>
        <w:tc>
          <w:tcPr>
            <w:tcW w:w="660" w:type="dxa"/>
            <w:tcBorders>
              <w:top w:val="nil"/>
              <w:left w:val="nil"/>
              <w:bottom w:val="single" w:sz="4" w:space="0" w:color="auto"/>
              <w:right w:val="single" w:sz="4" w:space="0" w:color="auto"/>
            </w:tcBorders>
            <w:noWrap/>
            <w:vAlign w:val="center"/>
          </w:tcPr>
          <w:p w14:paraId="216A270A" w14:textId="77777777" w:rsidR="002B40DC" w:rsidRDefault="002B40DC" w:rsidP="008738F2">
            <w:pPr>
              <w:spacing w:after="60"/>
              <w:jc w:val="right"/>
              <w:rPr>
                <w:rFonts w:ascii="Arial" w:hAnsi="Arial" w:cs="Arial"/>
                <w:sz w:val="20"/>
                <w:szCs w:val="20"/>
              </w:rPr>
            </w:pPr>
            <w:r>
              <w:rPr>
                <w:rFonts w:ascii="Arial" w:hAnsi="Arial" w:cs="Arial"/>
                <w:sz w:val="20"/>
                <w:szCs w:val="20"/>
              </w:rPr>
              <w:t>22.2</w:t>
            </w:r>
          </w:p>
        </w:tc>
        <w:tc>
          <w:tcPr>
            <w:tcW w:w="644" w:type="dxa"/>
            <w:tcBorders>
              <w:top w:val="nil"/>
              <w:left w:val="nil"/>
              <w:bottom w:val="single" w:sz="4" w:space="0" w:color="auto"/>
              <w:right w:val="single" w:sz="4" w:space="0" w:color="auto"/>
            </w:tcBorders>
            <w:noWrap/>
            <w:vAlign w:val="center"/>
          </w:tcPr>
          <w:p w14:paraId="00687E2F" w14:textId="77777777" w:rsidR="002B40DC" w:rsidRDefault="002B40DC" w:rsidP="008738F2">
            <w:pPr>
              <w:spacing w:after="60"/>
              <w:jc w:val="right"/>
              <w:rPr>
                <w:rFonts w:ascii="Arial" w:hAnsi="Arial" w:cs="Arial"/>
                <w:sz w:val="20"/>
                <w:szCs w:val="20"/>
              </w:rPr>
            </w:pPr>
            <w:r>
              <w:rPr>
                <w:rFonts w:ascii="Arial" w:hAnsi="Arial" w:cs="Arial"/>
                <w:sz w:val="20"/>
                <w:szCs w:val="20"/>
              </w:rPr>
              <w:t>37.9</w:t>
            </w:r>
          </w:p>
        </w:tc>
        <w:tc>
          <w:tcPr>
            <w:tcW w:w="755" w:type="dxa"/>
            <w:tcBorders>
              <w:top w:val="nil"/>
              <w:left w:val="nil"/>
              <w:bottom w:val="single" w:sz="4" w:space="0" w:color="auto"/>
              <w:right w:val="single" w:sz="4" w:space="0" w:color="auto"/>
            </w:tcBorders>
            <w:noWrap/>
            <w:vAlign w:val="center"/>
          </w:tcPr>
          <w:p w14:paraId="43BD727E" w14:textId="77777777" w:rsidR="002B40DC" w:rsidRDefault="002B40DC" w:rsidP="008738F2">
            <w:pPr>
              <w:spacing w:after="60"/>
              <w:jc w:val="right"/>
              <w:rPr>
                <w:rFonts w:ascii="Arial" w:hAnsi="Arial" w:cs="Arial"/>
                <w:i/>
                <w:iCs/>
                <w:sz w:val="20"/>
                <w:szCs w:val="20"/>
              </w:rPr>
            </w:pPr>
            <w:r>
              <w:rPr>
                <w:rFonts w:ascii="Arial" w:hAnsi="Arial" w:cs="Arial"/>
                <w:i/>
                <w:iCs/>
                <w:sz w:val="20"/>
                <w:szCs w:val="20"/>
              </w:rPr>
              <w:t>192.6</w:t>
            </w:r>
          </w:p>
        </w:tc>
      </w:tr>
    </w:tbl>
    <w:p w14:paraId="46671751" w14:textId="77777777" w:rsidR="002B40DC" w:rsidRDefault="002B40DC">
      <w:pPr>
        <w:rPr>
          <w:b/>
          <w:snapToGrid w:val="0"/>
          <w:sz w:val="28"/>
        </w:rPr>
        <w:sectPr w:rsidR="002B40DC" w:rsidSect="00BF2D2F">
          <w:headerReference w:type="default" r:id="rId209"/>
          <w:footerReference w:type="default" r:id="rId210"/>
          <w:pgSz w:w="15840" w:h="12240" w:orient="landscape"/>
          <w:pgMar w:top="1800" w:right="1440" w:bottom="1800" w:left="720" w:header="1008" w:footer="1008" w:gutter="0"/>
          <w:cols w:space="720"/>
          <w:docGrid w:linePitch="326"/>
        </w:sectPr>
      </w:pPr>
    </w:p>
    <w:p w14:paraId="7BF660A7" w14:textId="77777777" w:rsidR="009A01E5" w:rsidRDefault="009A01E5">
      <w:pPr>
        <w:rPr>
          <w:b/>
          <w:snapToGrid w:val="0"/>
          <w:sz w:val="28"/>
        </w:rPr>
      </w:pPr>
      <w:r>
        <w:rPr>
          <w:b/>
          <w:snapToGrid w:val="0"/>
          <w:sz w:val="28"/>
        </w:rPr>
        <w:lastRenderedPageBreak/>
        <w:t>OFFSHORE AND COASTAL DISPERSION MODEL</w:t>
      </w:r>
    </w:p>
    <w:p w14:paraId="35E6EBE4" w14:textId="01F987EB" w:rsidR="009A01E5" w:rsidRDefault="009A01E5">
      <w:r>
        <w:t xml:space="preserve">The </w:t>
      </w:r>
      <w:r w:rsidR="008164A1" w:rsidRPr="008164A1">
        <w:t>Offshore and Coastal Dispersion</w:t>
      </w:r>
      <w:r>
        <w:t xml:space="preserve"> (OCD Version 5) model was developed to simulate the effects of offshore emissions from point, area, or line sources on the air quality of coastal regions. The model includes special algorithms that account for overwater plume transport and dispersion, as well as changes that take place as the plume crosses the shoreline.  Furthermore, the OCD model also includes treatments of plume dispersion over complex terrain and platform downwash.  OCD is best applied during generally ice-free conditions as the model </w:t>
      </w:r>
      <w:proofErr w:type="gramStart"/>
      <w:r>
        <w:t>takes into account</w:t>
      </w:r>
      <w:proofErr w:type="gramEnd"/>
      <w:r>
        <w:t xml:space="preserve"> the unique dispersion conditions associated with overwater boundary layers.  If most of the water area is covered in ice, AERMOD is better suited to these conditions as ice has similar boundary layer conditions to that of land. The model can simulate impacts from point, area, and line sources.  The following steps outline the approach to reviewing the OCD input/output files.</w:t>
      </w:r>
    </w:p>
    <w:p w14:paraId="76F4622A" w14:textId="77777777" w:rsidR="009A01E5" w:rsidRDefault="009A01E5" w:rsidP="007A0A51">
      <w:pPr>
        <w:spacing w:before="240" w:after="60"/>
        <w:rPr>
          <w:i/>
          <w:u w:val="single"/>
        </w:rPr>
      </w:pPr>
      <w:r>
        <w:rPr>
          <w:i/>
          <w:u w:val="single"/>
        </w:rPr>
        <w:t>SHORELINE GEOMETRY AND RECEPTORS</w:t>
      </w:r>
    </w:p>
    <w:p w14:paraId="1866EB62" w14:textId="77777777" w:rsidR="009A01E5" w:rsidRDefault="009A01E5">
      <w:r>
        <w:t xml:space="preserve">OCD requires the specification of shoreline geometry, or land-sea interface.  The information is used to determine the change in plume dispersion as the plume crosses the internal boundary layer generated at the shoreline.  The traditional approach to preparing the shoreline data required the user to overlay a grid on the area of </w:t>
      </w:r>
      <w:proofErr w:type="gramStart"/>
      <w:r>
        <w:t>interest, and</w:t>
      </w:r>
      <w:proofErr w:type="gramEnd"/>
      <w:r>
        <w:t xml:space="preserve"> then provide digitized information on the distribution of land versus water.  Manual preparation of such information is obviously a laborious task, and prone to user errors.  Furthermore, the results are not easily reproducible.  OCD Version 5 has associated with it a MAKEGEO program that can be used to generate the land-sea interface throughout </w:t>
      </w:r>
      <w:smartTag w:uri="urn:schemas-microsoft-com:office:smarttags" w:element="State">
        <w:smartTag w:uri="urn:schemas-microsoft-com:office:smarttags" w:element="place">
          <w:r>
            <w:t>Alaska</w:t>
          </w:r>
        </w:smartTag>
      </w:smartTag>
      <w:r>
        <w:t xml:space="preserve">.  All that is needed is to enter the two latitudes and the two longitudes that define the modeling domain.  The modeling domain should be sized such that all possible plume trajectories are within the domain.  The resolution of the modeling domain should replicate the shoreline geometry but need not reproduce every “nook and cranny”.  </w:t>
      </w:r>
    </w:p>
    <w:p w14:paraId="7ED1419F" w14:textId="4E6B4A1E" w:rsidR="009A01E5" w:rsidRDefault="009A01E5">
      <w:r>
        <w:t xml:space="preserve">Receptors should be placed within the modeling domain and be of sufficient resolution </w:t>
      </w:r>
      <w:proofErr w:type="gramStart"/>
      <w:r>
        <w:t>in order to</w:t>
      </w:r>
      <w:proofErr w:type="gramEnd"/>
      <w:r>
        <w:t xml:space="preserve"> find the maximum impact(s) </w:t>
      </w:r>
      <w:r w:rsidR="008E3A58">
        <w:t xml:space="preserve">from </w:t>
      </w:r>
      <w:r>
        <w:t xml:space="preserve">shoreline fumigation.  Often, resolutions of </w:t>
      </w:r>
      <w:r w:rsidR="00782798">
        <w:t xml:space="preserve">50 </w:t>
      </w:r>
      <w:r>
        <w:t xml:space="preserve">meters or greater </w:t>
      </w:r>
      <w:proofErr w:type="gramStart"/>
      <w:r w:rsidR="00A307BE">
        <w:t>is</w:t>
      </w:r>
      <w:proofErr w:type="gramEnd"/>
      <w:r w:rsidR="00A307BE">
        <w:t xml:space="preserve"> sufficient.  Discr</w:t>
      </w:r>
      <w:r>
        <w:t>et</w:t>
      </w:r>
      <w:r w:rsidR="00A307BE">
        <w:t>e</w:t>
      </w:r>
      <w:r>
        <w:t xml:space="preserve">, polar, and Cartesian receptors can be used in OCD.  OCD Version 5 </w:t>
      </w:r>
      <w:proofErr w:type="gramStart"/>
      <w:r>
        <w:t>has the ability to</w:t>
      </w:r>
      <w:proofErr w:type="gramEnd"/>
      <w:r>
        <w:t xml:space="preserve"> view the shoreline geometry maps, source locations, and the receptor fields.  This </w:t>
      </w:r>
      <w:r w:rsidR="00A20F98">
        <w:t xml:space="preserve">feature </w:t>
      </w:r>
      <w:r>
        <w:t xml:space="preserve">should be used to review the modeling input files. </w:t>
      </w:r>
    </w:p>
    <w:p w14:paraId="3CCF7AB5" w14:textId="77777777" w:rsidR="009A01E5" w:rsidRDefault="009A01E5" w:rsidP="007A0A51">
      <w:pPr>
        <w:spacing w:before="240" w:after="60"/>
        <w:rPr>
          <w:i/>
          <w:u w:val="single"/>
        </w:rPr>
      </w:pPr>
      <w:r>
        <w:rPr>
          <w:i/>
          <w:u w:val="single"/>
        </w:rPr>
        <w:t>OVERWATER METEOROLOGICAL DATA</w:t>
      </w:r>
    </w:p>
    <w:p w14:paraId="7EA334A9" w14:textId="5CE250E2" w:rsidR="009A01E5" w:rsidRDefault="009A01E5">
      <w:r>
        <w:t xml:space="preserve">OCD requires the user to provide overwater meteorological data, where the overwater mixing height, the overwater humidity (relative humidity, web bulb temperature, or dew point temperature), the overwater air temperature, and the water surface temperature (or air minus water temperature) must be available.  </w:t>
      </w:r>
      <w:r w:rsidR="00FA3F26">
        <w:t xml:space="preserve">There are no default values for </w:t>
      </w:r>
      <w:r>
        <w:t>these four variables.</w:t>
      </w:r>
    </w:p>
    <w:p w14:paraId="7C105A5A" w14:textId="71B31DFE" w:rsidR="00A1609B" w:rsidRDefault="00196BEC" w:rsidP="00F63D57">
      <w:pPr>
        <w:keepNext/>
        <w:keepLines/>
      </w:pPr>
      <w:r>
        <w:lastRenderedPageBreak/>
        <w:t>M</w:t>
      </w:r>
      <w:r w:rsidR="009A01E5">
        <w:t>issing overwater data m</w:t>
      </w:r>
      <w:r w:rsidR="00D0078A">
        <w:t>ust be</w:t>
      </w:r>
      <w:r w:rsidR="009A01E5">
        <w:t xml:space="preserve"> filled in.  Missing data of six hours or less can be replaced with the last good hour.  Missing data over six hours but less than two days can</w:t>
      </w:r>
      <w:r w:rsidR="00A1609B">
        <w:t xml:space="preserve"> </w:t>
      </w:r>
      <w:r w:rsidR="009A01E5">
        <w:t xml:space="preserve">be replaced by the previous good day’s data from the same (missing) </w:t>
      </w:r>
      <w:proofErr w:type="gramStart"/>
      <w:r w:rsidR="009A01E5">
        <w:t>time period</w:t>
      </w:r>
      <w:proofErr w:type="gramEnd"/>
      <w:r w:rsidR="009A01E5">
        <w:t>.  For longer days, missing data should be filled in with the following:</w:t>
      </w:r>
    </w:p>
    <w:p w14:paraId="61178CAC" w14:textId="77777777" w:rsidR="009A01E5" w:rsidRDefault="009A01E5" w:rsidP="00F63D57">
      <w:pPr>
        <w:keepNext/>
        <w:keepLines/>
        <w:spacing w:after="120"/>
        <w:ind w:firstLine="720"/>
      </w:pPr>
      <w:r>
        <w:rPr>
          <w:i/>
        </w:rPr>
        <w:t>Parameter</w:t>
      </w:r>
      <w:r>
        <w:tab/>
      </w:r>
      <w:r>
        <w:tab/>
      </w:r>
      <w:r>
        <w:tab/>
      </w:r>
      <w:r>
        <w:tab/>
      </w:r>
      <w:r>
        <w:tab/>
      </w:r>
      <w:r>
        <w:rPr>
          <w:i/>
        </w:rPr>
        <w:t>Default</w:t>
      </w:r>
    </w:p>
    <w:p w14:paraId="5F7C9785" w14:textId="77777777" w:rsidR="009A01E5" w:rsidRDefault="009A01E5" w:rsidP="00F63D57">
      <w:pPr>
        <w:keepNext/>
        <w:keepLines/>
        <w:spacing w:after="120"/>
        <w:ind w:firstLine="720"/>
      </w:pPr>
      <w:r>
        <w:t>relative humidity</w:t>
      </w:r>
      <w:r>
        <w:tab/>
      </w:r>
      <w:r>
        <w:tab/>
      </w:r>
      <w:r>
        <w:tab/>
      </w:r>
      <w:r>
        <w:tab/>
        <w:t>80 %</w:t>
      </w:r>
    </w:p>
    <w:p w14:paraId="49CDBEE1" w14:textId="77777777" w:rsidR="009A01E5" w:rsidRDefault="009A01E5" w:rsidP="00F63D57">
      <w:pPr>
        <w:keepNext/>
        <w:keepLines/>
        <w:spacing w:after="120"/>
        <w:ind w:firstLine="720"/>
      </w:pPr>
      <w:r>
        <w:t>air temperature</w:t>
      </w:r>
      <w:r>
        <w:tab/>
      </w:r>
      <w:r>
        <w:tab/>
      </w:r>
      <w:r>
        <w:tab/>
      </w:r>
      <w:r>
        <w:tab/>
        <w:t>overland air temperature</w:t>
      </w:r>
    </w:p>
    <w:p w14:paraId="75209759" w14:textId="77777777" w:rsidR="009A01E5" w:rsidRDefault="009A01E5" w:rsidP="00F63D57">
      <w:pPr>
        <w:keepNext/>
        <w:keepLines/>
        <w:spacing w:after="120"/>
        <w:ind w:firstLine="720"/>
      </w:pPr>
      <w:r>
        <w:t>air minus water temperature</w:t>
      </w:r>
      <w:r>
        <w:tab/>
      </w:r>
      <w:r>
        <w:tab/>
      </w:r>
      <w:r>
        <w:tab/>
        <w:t>0 C</w:t>
      </w:r>
    </w:p>
    <w:p w14:paraId="7E5B3AD2" w14:textId="77777777" w:rsidR="009A01E5" w:rsidRDefault="009A01E5" w:rsidP="00F63D57">
      <w:pPr>
        <w:keepNext/>
        <w:keepLines/>
        <w:ind w:firstLine="720"/>
      </w:pPr>
      <w:r>
        <w:t>mixing height</w:t>
      </w:r>
      <w:r>
        <w:tab/>
      </w:r>
      <w:r>
        <w:tab/>
      </w:r>
      <w:r>
        <w:tab/>
      </w:r>
      <w:r>
        <w:tab/>
      </w:r>
      <w:r>
        <w:tab/>
        <w:t>500 m</w:t>
      </w:r>
    </w:p>
    <w:p w14:paraId="0CEC967C" w14:textId="77777777" w:rsidR="009A01E5" w:rsidRDefault="009A01E5">
      <w:r>
        <w:t>The default values used above should only be used when all sources of overwater data have been exhausted.</w:t>
      </w:r>
    </w:p>
    <w:p w14:paraId="6B55C0D3" w14:textId="372D58FC" w:rsidR="009A01E5" w:rsidRDefault="00012A0A" w:rsidP="007A0A51">
      <w:pPr>
        <w:spacing w:before="240" w:after="60"/>
        <w:rPr>
          <w:i/>
          <w:u w:val="single"/>
        </w:rPr>
      </w:pPr>
      <w:r>
        <w:rPr>
          <w:i/>
          <w:u w:val="single"/>
        </w:rPr>
        <w:t>PLATFORM CHARACTERIZATION</w:t>
      </w:r>
    </w:p>
    <w:p w14:paraId="29A9714F" w14:textId="6C861A25" w:rsidR="00012A0A" w:rsidRDefault="009A01E5">
      <w:r>
        <w:t xml:space="preserve">OCD Version 5 also </w:t>
      </w:r>
      <w:proofErr w:type="gramStart"/>
      <w:r>
        <w:t>has the ability to</w:t>
      </w:r>
      <w:proofErr w:type="gramEnd"/>
      <w:r>
        <w:t xml:space="preserve"> model downwash and non-vertical stacks.  However, the downwash algorithm is </w:t>
      </w:r>
      <w:proofErr w:type="gramStart"/>
      <w:r>
        <w:t>fairly simple</w:t>
      </w:r>
      <w:proofErr w:type="gramEnd"/>
      <w:r>
        <w:t xml:space="preserve"> in that it is based on a single building height and width per </w:t>
      </w:r>
      <w:r w:rsidR="00ED104E">
        <w:t>EU</w:t>
      </w:r>
      <w:r>
        <w:t xml:space="preserve">. </w:t>
      </w:r>
      <w:r w:rsidR="007A0A51">
        <w:t xml:space="preserve"> </w:t>
      </w:r>
      <w:r>
        <w:t xml:space="preserve">OCD Version 5 will not accept data from </w:t>
      </w:r>
      <w:r w:rsidR="007A0A51">
        <w:t>BPIPPRM</w:t>
      </w:r>
      <w:r>
        <w:t xml:space="preserve">.  </w:t>
      </w:r>
    </w:p>
    <w:p w14:paraId="53D35E2E" w14:textId="3BB6BF72" w:rsidR="00D102DD" w:rsidRDefault="00012A0A">
      <w:r>
        <w:t>OCD will</w:t>
      </w:r>
      <w:r w:rsidRPr="008268E6">
        <w:t xml:space="preserve"> account for the open area beneath the platform and the air flow through this area.  The elevation of the platform and the airflow under the platform should result in a net reduction in the influence of structure downwash when compared to the downwash influence from a solid structure that extends to the sea surface.</w:t>
      </w:r>
    </w:p>
    <w:p w14:paraId="6ED0EA8B" w14:textId="0A72F40F" w:rsidR="005C716E" w:rsidRDefault="00D479E6">
      <w:r>
        <w:t>Applicants should generally use t</w:t>
      </w:r>
      <w:r w:rsidR="00012A0A">
        <w:t>he height and width of the dominant structure near each EU</w:t>
      </w:r>
      <w:r>
        <w:t xml:space="preserve"> in their OCD </w:t>
      </w:r>
      <w:r w:rsidR="00012A0A">
        <w:t>analysis.  The</w:t>
      </w:r>
      <w:r>
        <w:t>y</w:t>
      </w:r>
      <w:r w:rsidR="00012A0A">
        <w:t xml:space="preserve"> should be able to obtain the</w:t>
      </w:r>
      <w:r>
        <w:t xml:space="preserve">se dimensions </w:t>
      </w:r>
      <w:r w:rsidR="00012A0A">
        <w:t xml:space="preserve">from a </w:t>
      </w:r>
      <w:r>
        <w:t xml:space="preserve">scaled </w:t>
      </w:r>
      <w:r w:rsidR="00012A0A">
        <w:t xml:space="preserve">plot plan (or similar) </w:t>
      </w:r>
      <w:r>
        <w:t xml:space="preserve">of the platform.  (They should also </w:t>
      </w:r>
      <w:r w:rsidR="00012A0A">
        <w:t>provide the plot plan with the</w:t>
      </w:r>
      <w:r>
        <w:t xml:space="preserve"> permit </w:t>
      </w:r>
      <w:r w:rsidR="00012A0A">
        <w:t>application.</w:t>
      </w:r>
      <w:r>
        <w:t>)</w:t>
      </w:r>
      <w:r w:rsidR="00012A0A">
        <w:t xml:space="preserve">  </w:t>
      </w:r>
      <w:r w:rsidR="009A01E5">
        <w:t xml:space="preserve">Some applicants have </w:t>
      </w:r>
      <w:r w:rsidR="00012A0A">
        <w:t>asked if they can use</w:t>
      </w:r>
      <w:r w:rsidR="009A01E5">
        <w:t xml:space="preserve"> the platform </w:t>
      </w:r>
      <w:proofErr w:type="gramStart"/>
      <w:r w:rsidR="009A01E5">
        <w:t>diagonal</w:t>
      </w:r>
      <w:proofErr w:type="gramEnd"/>
      <w:r w:rsidR="009A01E5">
        <w:t xml:space="preserve"> as the building width.  </w:t>
      </w:r>
      <w:r>
        <w:t>In investigating the question</w:t>
      </w:r>
      <w:r w:rsidR="009A01E5">
        <w:t xml:space="preserve">, ADEC learned through conversations with Dirk </w:t>
      </w:r>
      <w:proofErr w:type="spellStart"/>
      <w:r w:rsidR="009A01E5">
        <w:t>Herkhof</w:t>
      </w:r>
      <w:proofErr w:type="spellEnd"/>
      <w:r w:rsidR="009A01E5">
        <w:t xml:space="preserve"> of the </w:t>
      </w:r>
      <w:r w:rsidR="009A01E5">
        <w:rPr>
          <w:i/>
        </w:rPr>
        <w:t>Mineral Management Service</w:t>
      </w:r>
      <w:r w:rsidR="009A01E5">
        <w:t xml:space="preserve"> (the agency that developed OCD)</w:t>
      </w:r>
      <w:r w:rsidR="002918D6">
        <w:rPr>
          <w:rStyle w:val="FootnoteReference"/>
        </w:rPr>
        <w:footnoteReference w:id="107"/>
      </w:r>
      <w:r w:rsidR="009A01E5">
        <w:t xml:space="preserve"> that OCD estimates lower concentrations with wider building widths.</w:t>
      </w:r>
      <w:r w:rsidR="002918D6">
        <w:rPr>
          <w:rStyle w:val="FootnoteReference"/>
        </w:rPr>
        <w:footnoteReference w:id="108"/>
      </w:r>
      <w:r w:rsidR="009A01E5">
        <w:t xml:space="preserve">  Therefore, Mr. </w:t>
      </w:r>
      <w:proofErr w:type="spellStart"/>
      <w:r w:rsidR="009A01E5">
        <w:t>Herkhof</w:t>
      </w:r>
      <w:proofErr w:type="spellEnd"/>
      <w:r w:rsidR="009A01E5">
        <w:t xml:space="preserve"> recommended </w:t>
      </w:r>
      <w:r w:rsidR="009A01E5">
        <w:rPr>
          <w:i/>
        </w:rPr>
        <w:t>against</w:t>
      </w:r>
      <w:r w:rsidR="009A01E5">
        <w:t xml:space="preserve"> the use of the platform </w:t>
      </w:r>
      <w:proofErr w:type="gramStart"/>
      <w:r w:rsidR="009A01E5">
        <w:t>diagonal</w:t>
      </w:r>
      <w:proofErr w:type="gramEnd"/>
      <w:r w:rsidR="009A01E5">
        <w:t xml:space="preserve"> as the building width.  </w:t>
      </w:r>
      <w:r>
        <w:t xml:space="preserve">Mr. </w:t>
      </w:r>
      <w:proofErr w:type="spellStart"/>
      <w:r>
        <w:t>Herkhof</w:t>
      </w:r>
      <w:proofErr w:type="spellEnd"/>
      <w:r>
        <w:t xml:space="preserve"> also noted that underestimating the building height could likewise underestimate the ambient concentration. </w:t>
      </w:r>
    </w:p>
    <w:p w14:paraId="36E5AA51" w14:textId="329FAE7B" w:rsidR="009A01E5" w:rsidRDefault="009A01E5">
      <w:r>
        <w:t xml:space="preserve">The relative height of an offshore platform varies with the tide.  Therefore, the point of measurement </w:t>
      </w:r>
      <w:r w:rsidR="00D479E6">
        <w:t>should</w:t>
      </w:r>
      <w:r>
        <w:t xml:space="preserve"> be discussed with the applicant.  Tide fluctuations within </w:t>
      </w:r>
      <w:smartTag w:uri="urn:schemas-microsoft-com:office:smarttags" w:element="place">
        <w:r>
          <w:t>Cook Inlet</w:t>
        </w:r>
      </w:smartTag>
      <w:r>
        <w:t xml:space="preserve"> are on the order of </w:t>
      </w:r>
      <w:proofErr w:type="gramStart"/>
      <w:r>
        <w:t>30-feet</w:t>
      </w:r>
      <w:proofErr w:type="gramEnd"/>
      <w:r>
        <w:t xml:space="preserve">.  They are on the order of </w:t>
      </w:r>
      <w:proofErr w:type="gramStart"/>
      <w:r>
        <w:t>3-feet</w:t>
      </w:r>
      <w:proofErr w:type="gramEnd"/>
      <w:r>
        <w:t xml:space="preserve"> in the </w:t>
      </w:r>
      <w:smartTag w:uri="urn:schemas-microsoft-com:office:smarttags" w:element="place">
        <w:r>
          <w:t>Beaufort Sea</w:t>
        </w:r>
      </w:smartTag>
      <w:r>
        <w:t xml:space="preserve">.  Platform and receptor elevations should be measured from Mean Sea Level (MSL) for purposes of modeling.  However, the traditional reference point for nautical charts and marine surveys is the Mean Lower Low Water (MLLW) level.  Therefore, elevations based on </w:t>
      </w:r>
      <w:r>
        <w:lastRenderedPageBreak/>
        <w:t xml:space="preserve">MLLW need to be converted to MSL when modeling platforms located in </w:t>
      </w:r>
      <w:smartTag w:uri="urn:schemas-microsoft-com:office:smarttags" w:element="place">
        <w:r>
          <w:t>Cook Inlet</w:t>
        </w:r>
      </w:smartTag>
      <w:r>
        <w:t xml:space="preserve">.  When modeling platforms located in the </w:t>
      </w:r>
      <w:smartTag w:uri="urn:schemas-microsoft-com:office:smarttags" w:element="place">
        <w:r>
          <w:t>Beaufort Sea</w:t>
        </w:r>
      </w:smartTag>
      <w:r>
        <w:t xml:space="preserve">, the use of MLLW measurements is adequate.  In </w:t>
      </w:r>
      <w:smartTag w:uri="urn:schemas-microsoft-com:office:smarttags" w:element="place">
        <w:r>
          <w:t>Cook Inlet</w:t>
        </w:r>
      </w:smartTag>
      <w:r>
        <w:t>, the difference between MLLW and MSL is 3.42 meters.</w:t>
      </w:r>
    </w:p>
    <w:p w14:paraId="797B2520" w14:textId="57063B3B" w:rsidR="005D2B1F" w:rsidRDefault="000301A6" w:rsidP="002016E8">
      <w:pPr>
        <w:ind w:left="360" w:right="360"/>
      </w:pPr>
      <w:r w:rsidRPr="002016E8">
        <w:rPr>
          <w:u w:val="single"/>
        </w:rPr>
        <w:t>N</w:t>
      </w:r>
      <w:r w:rsidR="002016E8">
        <w:rPr>
          <w:u w:val="single"/>
        </w:rPr>
        <w:t>ote</w:t>
      </w:r>
      <w:proofErr w:type="gramStart"/>
      <w:r w:rsidR="00086BE3">
        <w:t xml:space="preserve">: </w:t>
      </w:r>
      <w:r>
        <w:t xml:space="preserve"> </w:t>
      </w:r>
      <w:r w:rsidRPr="002016E8">
        <w:rPr>
          <w:i/>
        </w:rPr>
        <w:t>The</w:t>
      </w:r>
      <w:proofErr w:type="gramEnd"/>
      <w:r w:rsidRPr="002016E8">
        <w:rPr>
          <w:i/>
        </w:rPr>
        <w:t xml:space="preserve"> </w:t>
      </w:r>
      <w:r w:rsidR="00DC6A11" w:rsidRPr="002016E8">
        <w:rPr>
          <w:i/>
        </w:rPr>
        <w:t xml:space="preserve">current </w:t>
      </w:r>
      <w:r w:rsidR="00D479E6" w:rsidRPr="002016E8">
        <w:rPr>
          <w:i/>
        </w:rPr>
        <w:t xml:space="preserve">OCD </w:t>
      </w:r>
      <w:r w:rsidRPr="002016E8">
        <w:rPr>
          <w:i/>
        </w:rPr>
        <w:t xml:space="preserve">GUI </w:t>
      </w:r>
      <w:r w:rsidR="00086BE3" w:rsidRPr="002016E8">
        <w:rPr>
          <w:i/>
        </w:rPr>
        <w:t>will</w:t>
      </w:r>
      <w:r w:rsidRPr="002016E8">
        <w:rPr>
          <w:i/>
        </w:rPr>
        <w:t xml:space="preserve"> not </w:t>
      </w:r>
      <w:r w:rsidR="000D258B" w:rsidRPr="002016E8">
        <w:rPr>
          <w:i/>
        </w:rPr>
        <w:t xml:space="preserve">install or </w:t>
      </w:r>
      <w:r w:rsidRPr="002016E8">
        <w:rPr>
          <w:i/>
        </w:rPr>
        <w:t xml:space="preserve">operate properly </w:t>
      </w:r>
      <w:r w:rsidR="006039D6" w:rsidRPr="002016E8">
        <w:rPr>
          <w:i/>
        </w:rPr>
        <w:t>on a</w:t>
      </w:r>
      <w:r w:rsidRPr="002016E8">
        <w:rPr>
          <w:i/>
        </w:rPr>
        <w:t xml:space="preserve"> 32-bit Windows</w:t>
      </w:r>
      <w:r w:rsidR="00F357DA" w:rsidRPr="002016E8">
        <w:rPr>
          <w:i/>
        </w:rPr>
        <w:t> </w:t>
      </w:r>
      <w:r w:rsidRPr="002016E8">
        <w:rPr>
          <w:i/>
        </w:rPr>
        <w:t>7 operating system</w:t>
      </w:r>
      <w:r w:rsidR="006039D6" w:rsidRPr="002016E8">
        <w:rPr>
          <w:i/>
        </w:rPr>
        <w:t>,</w:t>
      </w:r>
      <w:r w:rsidR="00086BE3" w:rsidRPr="002016E8">
        <w:rPr>
          <w:i/>
        </w:rPr>
        <w:t xml:space="preserve"> nor is the GUI </w:t>
      </w:r>
      <w:r w:rsidR="000D258B" w:rsidRPr="002016E8">
        <w:rPr>
          <w:i/>
        </w:rPr>
        <w:t>compatible with a 64-bit system.</w:t>
      </w:r>
      <w:r w:rsidR="00115271" w:rsidRPr="002016E8">
        <w:rPr>
          <w:i/>
        </w:rPr>
        <w:t xml:space="preserve">  BOEM is </w:t>
      </w:r>
      <w:r w:rsidR="0040403E" w:rsidRPr="002016E8">
        <w:rPr>
          <w:i/>
        </w:rPr>
        <w:t xml:space="preserve">purportedly </w:t>
      </w:r>
      <w:r w:rsidR="00115271" w:rsidRPr="002016E8">
        <w:rPr>
          <w:i/>
        </w:rPr>
        <w:t xml:space="preserve">working on a resolution to these problems.  Check </w:t>
      </w:r>
      <w:hyperlink r:id="rId211" w:history="1">
        <w:r w:rsidR="00115271" w:rsidRPr="002016E8">
          <w:rPr>
            <w:rStyle w:val="Hyperlink"/>
            <w:i/>
          </w:rPr>
          <w:t>SCRAM</w:t>
        </w:r>
      </w:hyperlink>
      <w:r w:rsidR="00115271" w:rsidRPr="002016E8">
        <w:rPr>
          <w:i/>
        </w:rPr>
        <w:t xml:space="preserve"> for a possible update</w:t>
      </w:r>
      <w:r w:rsidR="00115271">
        <w:t>.</w:t>
      </w:r>
      <w:r w:rsidR="009108D4">
        <w:t xml:space="preserve"> </w:t>
      </w:r>
    </w:p>
    <w:p w14:paraId="044C3470" w14:textId="5BE03ED7" w:rsidR="005D2B1F" w:rsidRDefault="005D2B1F" w:rsidP="005D2B1F">
      <w:pPr>
        <w:spacing w:before="240" w:after="60"/>
        <w:rPr>
          <w:i/>
          <w:u w:val="single"/>
        </w:rPr>
      </w:pPr>
      <w:r>
        <w:rPr>
          <w:i/>
          <w:u w:val="single"/>
        </w:rPr>
        <w:t>DISPERSION SUBMENU</w:t>
      </w:r>
    </w:p>
    <w:p w14:paraId="78E90796" w14:textId="09F8E796" w:rsidR="00273D5B" w:rsidRDefault="005D2B1F" w:rsidP="005D2B1F">
      <w:r>
        <w:t xml:space="preserve">OCD allows the user to turn the following four dispersion options on and off: terrain adjustments, stack-tip downwash, gradual plume rise, and buoyancy-induced dispersion. </w:t>
      </w:r>
      <w:r w:rsidR="00407281">
        <w:t xml:space="preserve"> </w:t>
      </w:r>
      <w:r w:rsidR="00273D5B">
        <w:t>Unfortunately, there is not a lot of OCD-specific guidance regarding these options.</w:t>
      </w:r>
    </w:p>
    <w:p w14:paraId="08F53048" w14:textId="5DE2B9DA" w:rsidR="00273D5B" w:rsidRDefault="005D2B1F" w:rsidP="005D2B1F">
      <w:r>
        <w:t xml:space="preserve">EPA provides no guidance regarding these </w:t>
      </w:r>
      <w:r w:rsidR="00273D5B">
        <w:t>switches</w:t>
      </w:r>
      <w:r>
        <w:t xml:space="preserve"> in Appendix A.6 of the </w:t>
      </w:r>
      <w:hyperlink r:id="rId212" w:history="1">
        <w:r w:rsidRPr="00C42099">
          <w:rPr>
            <w:rStyle w:val="Hyperlink"/>
          </w:rPr>
          <w:t>Guideline</w:t>
        </w:r>
      </w:hyperlink>
      <w:r>
        <w:t xml:space="preserve"> (Offshore and Coastal Dispersion Model). </w:t>
      </w:r>
      <w:r w:rsidR="00407281">
        <w:t xml:space="preserve"> </w:t>
      </w:r>
      <w:r>
        <w:t xml:space="preserve">The input/output files describe “default” settings for each option, but it’s not readily clear why those are the default values or </w:t>
      </w:r>
      <w:r w:rsidR="00D22262">
        <w:t xml:space="preserve">under what circumstances the </w:t>
      </w:r>
      <w:r>
        <w:t>non-default setting</w:t>
      </w:r>
      <w:r w:rsidR="00D22262">
        <w:t>s</w:t>
      </w:r>
      <w:r>
        <w:t xml:space="preserve"> </w:t>
      </w:r>
      <w:r w:rsidR="00D22262">
        <w:t>should be used</w:t>
      </w:r>
      <w:r w:rsidR="00E61D39">
        <w:t xml:space="preserve">. </w:t>
      </w:r>
      <w:r w:rsidR="00407281">
        <w:t xml:space="preserve"> </w:t>
      </w:r>
      <w:r w:rsidR="00D22262">
        <w:t>Section 2.3.4 of t</w:t>
      </w:r>
      <w:r w:rsidR="00E61D39">
        <w:t xml:space="preserve">he </w:t>
      </w:r>
      <w:r w:rsidR="00D22262">
        <w:t xml:space="preserve">November 1989 </w:t>
      </w:r>
      <w:r w:rsidR="00E61D39">
        <w:t xml:space="preserve">User’s Guide </w:t>
      </w:r>
      <w:r w:rsidR="00D22262">
        <w:t xml:space="preserve">(Volume I) provides a short discussion regarding gradual plume rise, </w:t>
      </w:r>
      <w:r w:rsidR="00273D5B">
        <w:t xml:space="preserve">but the context appears to be limited to the modeling of onshore impacts rather than over water impacts. </w:t>
      </w:r>
      <w:r w:rsidR="00407281">
        <w:t xml:space="preserve"> </w:t>
      </w:r>
      <w:r w:rsidR="00273D5B">
        <w:t xml:space="preserve">The discussion includes the statement, “Following the recommendation of the EPA, users are advised not to select the gradual plume rise option since it has been found to occasionally produce large overpredictions close to the </w:t>
      </w:r>
      <w:proofErr w:type="gramStart"/>
      <w:r w:rsidR="00273D5B">
        <w:t>stack”  but</w:t>
      </w:r>
      <w:proofErr w:type="gramEnd"/>
      <w:r w:rsidR="00273D5B">
        <w:t xml:space="preserve"> it’s not clear whether that finding was with or without downwash. </w:t>
      </w:r>
      <w:r w:rsidR="00407281">
        <w:t xml:space="preserve"> </w:t>
      </w:r>
      <w:r w:rsidR="00DE6A49">
        <w:t xml:space="preserve">While the concern regards overprediction, </w:t>
      </w:r>
      <w:r w:rsidR="00273D5B">
        <w:t>A</w:t>
      </w:r>
      <w:r w:rsidR="00DE6A49">
        <w:t>PP staff</w:t>
      </w:r>
      <w:r w:rsidR="00273D5B">
        <w:t xml:space="preserve"> found </w:t>
      </w:r>
      <w:r w:rsidR="00DE6A49">
        <w:t xml:space="preserve">that gradual plume rise can </w:t>
      </w:r>
      <w:proofErr w:type="gramStart"/>
      <w:r w:rsidR="00DE6A49">
        <w:t>actually decrease</w:t>
      </w:r>
      <w:proofErr w:type="gramEnd"/>
      <w:r w:rsidR="00DE6A49">
        <w:t xml:space="preserve"> the maximum impact from a turbine by a factor of two </w:t>
      </w:r>
      <w:r w:rsidR="00273D5B">
        <w:t xml:space="preserve">when downwash is included. </w:t>
      </w:r>
    </w:p>
    <w:p w14:paraId="6B775B4D" w14:textId="2D450B7D" w:rsidR="00326D82" w:rsidRDefault="00DE6A49" w:rsidP="005D2B1F">
      <w:r>
        <w:t xml:space="preserve">Given the lack of OCD-specific Guidance, the best option may be to follow the general recommendations within the </w:t>
      </w:r>
      <w:r w:rsidRPr="00C42099">
        <w:t>Guideline</w:t>
      </w:r>
      <w:r>
        <w:t xml:space="preserve">, rather than the “default” settings found in the OCD input/output files. </w:t>
      </w:r>
      <w:r w:rsidR="00407281">
        <w:t xml:space="preserve"> </w:t>
      </w:r>
      <w:r>
        <w:t>Section 7.2.3</w:t>
      </w:r>
      <w:r w:rsidR="008F461C">
        <w:t>(</w:t>
      </w:r>
      <w:r>
        <w:t>g</w:t>
      </w:r>
      <w:r w:rsidR="008F461C">
        <w:t>)</w:t>
      </w:r>
      <w:r>
        <w:t xml:space="preserve"> of the </w:t>
      </w:r>
      <w:r w:rsidRPr="00C42099">
        <w:t>Guideline</w:t>
      </w:r>
      <w:r>
        <w:t xml:space="preserve"> says buoyancy induced dispersion should be used for fuel combustion sources.  </w:t>
      </w:r>
      <w:r w:rsidR="00273D5B">
        <w:t xml:space="preserve">Section 7.2.5(b) of the </w:t>
      </w:r>
      <w:r w:rsidR="00273D5B" w:rsidRPr="00C42099">
        <w:t>Guideline</w:t>
      </w:r>
      <w:r w:rsidR="00273D5B">
        <w:t xml:space="preserve"> recommends the general inclusion of gradual plume rise for sources impacted by building downwash. </w:t>
      </w:r>
      <w:r w:rsidR="00407281">
        <w:t xml:space="preserve"> </w:t>
      </w:r>
      <w:r w:rsidR="00273D5B">
        <w:t xml:space="preserve">Since </w:t>
      </w:r>
      <w:proofErr w:type="gramStart"/>
      <w:r>
        <w:t>most</w:t>
      </w:r>
      <w:proofErr w:type="gramEnd"/>
      <w:r>
        <w:t xml:space="preserve"> offshore sources in Alaska are combustion related and </w:t>
      </w:r>
      <w:r w:rsidR="00273D5B">
        <w:t xml:space="preserve">downwash </w:t>
      </w:r>
      <w:r>
        <w:t>dominated, the use of buoyancy induced dispersion and gradual plume rise would likely be warranted.</w:t>
      </w:r>
      <w:r w:rsidR="005D2B1F">
        <w:t xml:space="preserve">  </w:t>
      </w:r>
      <w:r w:rsidR="00636246">
        <w:t xml:space="preserve">The use of stack-tip downwash likewise appears to be generally warranted since that is </w:t>
      </w:r>
      <w:r w:rsidR="00B225B1">
        <w:t xml:space="preserve">the default approach used in AERMOD. </w:t>
      </w:r>
    </w:p>
    <w:p w14:paraId="2DF755C9" w14:textId="4CD68CC2" w:rsidR="00373498" w:rsidRDefault="00373498" w:rsidP="005D2B1F">
      <w:r>
        <w:t xml:space="preserve">The terrain adjustments switch can typically be left off as the greatest impacts tend to be located close to the source, which is generally over open water. </w:t>
      </w:r>
      <w:r w:rsidR="00407281">
        <w:t xml:space="preserve"> </w:t>
      </w:r>
      <w:r>
        <w:t>However, if the source is located close to shore or there is other reason to be interested in the impacts which occur over land, use of terrain adjustments may be warranted.</w:t>
      </w:r>
    </w:p>
    <w:p w14:paraId="7A62C718" w14:textId="6A6CBC19" w:rsidR="00407281" w:rsidRDefault="00407281" w:rsidP="005D2B1F">
      <w:r>
        <w:t xml:space="preserve">The OCD input file would look as shown in Figure A-1 below when using the above settings (including no terrain adjustments). </w:t>
      </w:r>
    </w:p>
    <w:p w14:paraId="173CFD94" w14:textId="77777777" w:rsidR="00407281" w:rsidRDefault="00407281" w:rsidP="005D2B1F">
      <w:r>
        <w:rPr>
          <w:noProof/>
        </w:rPr>
        <w:lastRenderedPageBreak/>
        <w:drawing>
          <wp:inline distT="0" distB="0" distL="0" distR="0" wp14:anchorId="4008A471" wp14:editId="4984ED6E">
            <wp:extent cx="5486400" cy="2957830"/>
            <wp:effectExtent l="19050" t="19050" r="19050" b="13970"/>
            <wp:docPr id="2" name="Picture 2" descr="OCD switch sett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CD switch settings "/>
                    <pic:cNvPicPr/>
                  </pic:nvPicPr>
                  <pic:blipFill>
                    <a:blip r:embed="rId213">
                      <a:extLst>
                        <a:ext uri="{28A0092B-C50C-407E-A947-70E740481C1C}">
                          <a14:useLocalDpi xmlns:a14="http://schemas.microsoft.com/office/drawing/2010/main" val="0"/>
                        </a:ext>
                      </a:extLst>
                    </a:blip>
                    <a:stretch>
                      <a:fillRect/>
                    </a:stretch>
                  </pic:blipFill>
                  <pic:spPr>
                    <a:xfrm>
                      <a:off x="0" y="0"/>
                      <a:ext cx="5486400" cy="2957830"/>
                    </a:xfrm>
                    <a:prstGeom prst="rect">
                      <a:avLst/>
                    </a:prstGeom>
                    <a:ln>
                      <a:solidFill>
                        <a:schemeClr val="tx1"/>
                      </a:solidFill>
                    </a:ln>
                  </pic:spPr>
                </pic:pic>
              </a:graphicData>
            </a:graphic>
          </wp:inline>
        </w:drawing>
      </w:r>
    </w:p>
    <w:p w14:paraId="6878F627" w14:textId="6C952527" w:rsidR="00407281" w:rsidRPr="00407281" w:rsidRDefault="00407281" w:rsidP="00407281">
      <w:pPr>
        <w:jc w:val="center"/>
        <w:rPr>
          <w:b/>
        </w:rPr>
      </w:pPr>
      <w:r w:rsidRPr="00407281">
        <w:rPr>
          <w:b/>
        </w:rPr>
        <w:t>Figure A-1.  Likely OCD Switch Settings Needed for Regulatory Analysis</w:t>
      </w:r>
    </w:p>
    <w:p w14:paraId="7600CEEE" w14:textId="77777777" w:rsidR="006E4D84" w:rsidRDefault="00B95EAA" w:rsidP="006E4D84">
      <w:pPr>
        <w:spacing w:after="0"/>
      </w:pPr>
      <w:r>
        <w:br w:type="page"/>
      </w:r>
    </w:p>
    <w:p w14:paraId="54EAA51C" w14:textId="77777777" w:rsidR="009A01E5" w:rsidRDefault="009A01E5">
      <w:pPr>
        <w:rPr>
          <w:b/>
          <w:snapToGrid w:val="0"/>
        </w:rPr>
      </w:pPr>
      <w:r w:rsidRPr="00B95EAA">
        <w:rPr>
          <w:b/>
          <w:bCs/>
          <w:snapToGrid w:val="0"/>
          <w:sz w:val="28"/>
        </w:rPr>
        <w:lastRenderedPageBreak/>
        <w:t>CALPUFF</w:t>
      </w:r>
    </w:p>
    <w:p w14:paraId="48CCFFA2" w14:textId="6D82E5E2" w:rsidR="009A01E5" w:rsidRDefault="009A01E5">
      <w:pPr>
        <w:pStyle w:val="Date"/>
        <w:rPr>
          <w:snapToGrid w:val="0"/>
        </w:rPr>
      </w:pPr>
      <w:r>
        <w:rPr>
          <w:snapToGrid w:val="0"/>
        </w:rPr>
        <w:t>Because of its higher level of sophistication, CALPUFF inherently has more model options to be employed. Two post-processing tools are also need</w:t>
      </w:r>
      <w:r w:rsidR="00290728">
        <w:rPr>
          <w:snapToGrid w:val="0"/>
        </w:rPr>
        <w:t>ed</w:t>
      </w:r>
      <w:r>
        <w:rPr>
          <w:snapToGrid w:val="0"/>
        </w:rPr>
        <w:t xml:space="preserve"> to obtain time-averaged calculations of deposition and visibility: POSTUTIL and CALPOST, but only CALPOST is needed to obtain time-averaged pollutant concentrations.  </w:t>
      </w:r>
    </w:p>
    <w:p w14:paraId="3D6FE567" w14:textId="77777777" w:rsidR="00B95EAA" w:rsidRDefault="00B95EAA">
      <w:pPr>
        <w:spacing w:after="0"/>
      </w:pPr>
      <w:r>
        <w:br w:type="page"/>
      </w:r>
    </w:p>
    <w:p w14:paraId="08C07BC2" w14:textId="77777777" w:rsidR="00B95EAA" w:rsidRDefault="00B95EAA" w:rsidP="00B95EAA">
      <w:pPr>
        <w:spacing w:after="0"/>
        <w:rPr>
          <w:snapToGrid w:val="0"/>
        </w:rPr>
      </w:pPr>
    </w:p>
    <w:p w14:paraId="5B58850F" w14:textId="77777777" w:rsidR="00B95EAA" w:rsidRDefault="00B95EAA" w:rsidP="00B95EAA">
      <w:pPr>
        <w:spacing w:after="0"/>
        <w:rPr>
          <w:snapToGrid w:val="0"/>
        </w:rPr>
      </w:pPr>
    </w:p>
    <w:p w14:paraId="6DF58A81" w14:textId="77777777" w:rsidR="00B95EAA" w:rsidRDefault="00B95EAA" w:rsidP="00B95EAA">
      <w:pPr>
        <w:spacing w:after="0"/>
        <w:rPr>
          <w:snapToGrid w:val="0"/>
        </w:rPr>
      </w:pPr>
    </w:p>
    <w:p w14:paraId="7FCF72F1" w14:textId="77777777" w:rsidR="00B95EAA" w:rsidRDefault="00B95EAA" w:rsidP="00B95EAA">
      <w:pPr>
        <w:spacing w:after="0"/>
        <w:rPr>
          <w:snapToGrid w:val="0"/>
        </w:rPr>
      </w:pPr>
    </w:p>
    <w:p w14:paraId="54797FF6" w14:textId="77777777" w:rsidR="00B95EAA" w:rsidRDefault="00B95EAA" w:rsidP="00B95EAA">
      <w:pPr>
        <w:spacing w:after="0"/>
        <w:rPr>
          <w:snapToGrid w:val="0"/>
        </w:rPr>
      </w:pPr>
    </w:p>
    <w:p w14:paraId="542ED64F" w14:textId="77777777" w:rsidR="00B95EAA" w:rsidRDefault="00B95EAA" w:rsidP="00B95EAA">
      <w:pPr>
        <w:spacing w:after="0"/>
        <w:rPr>
          <w:snapToGrid w:val="0"/>
        </w:rPr>
      </w:pPr>
    </w:p>
    <w:p w14:paraId="23E07BA7" w14:textId="77777777" w:rsidR="00B95EAA" w:rsidRDefault="00B95EAA" w:rsidP="00B95EAA">
      <w:pPr>
        <w:spacing w:after="0"/>
        <w:rPr>
          <w:snapToGrid w:val="0"/>
        </w:rPr>
      </w:pPr>
    </w:p>
    <w:p w14:paraId="75F47F2B" w14:textId="77777777" w:rsidR="00B95EAA" w:rsidRDefault="00B95EAA" w:rsidP="00B95EAA">
      <w:pPr>
        <w:spacing w:after="0"/>
        <w:rPr>
          <w:snapToGrid w:val="0"/>
        </w:rPr>
      </w:pPr>
    </w:p>
    <w:p w14:paraId="3FBF9C17" w14:textId="77777777" w:rsidR="00B95EAA" w:rsidRDefault="00B95EAA" w:rsidP="00B95EAA">
      <w:pPr>
        <w:spacing w:after="0"/>
        <w:rPr>
          <w:snapToGrid w:val="0"/>
        </w:rPr>
      </w:pPr>
    </w:p>
    <w:p w14:paraId="34D407C8" w14:textId="77777777" w:rsidR="00B95EAA" w:rsidRDefault="00B95EAA" w:rsidP="00B95EAA">
      <w:pPr>
        <w:spacing w:after="0"/>
        <w:rPr>
          <w:snapToGrid w:val="0"/>
        </w:rPr>
      </w:pPr>
    </w:p>
    <w:p w14:paraId="453B4CF0" w14:textId="77777777" w:rsidR="00B95EAA" w:rsidRDefault="00B95EAA" w:rsidP="00B95EAA">
      <w:pPr>
        <w:spacing w:after="0"/>
        <w:jc w:val="center"/>
        <w:rPr>
          <w:snapToGrid w:val="0"/>
        </w:rPr>
      </w:pPr>
      <w:r>
        <w:rPr>
          <w:snapToGrid w:val="0"/>
        </w:rPr>
        <w:t>(This page intentionally left blank)</w:t>
      </w:r>
    </w:p>
    <w:p w14:paraId="0F035F65" w14:textId="77777777" w:rsidR="009A01E5" w:rsidRDefault="009A01E5" w:rsidP="00D608FB">
      <w:pPr>
        <w:spacing w:after="0"/>
      </w:pPr>
    </w:p>
    <w:p w14:paraId="0F6F4EC1" w14:textId="5DF5B896" w:rsidR="005F6144" w:rsidRDefault="005F6144"/>
    <w:p w14:paraId="0BDEAA7A" w14:textId="77777777" w:rsidR="005F6144" w:rsidRPr="005F6144" w:rsidRDefault="005F6144" w:rsidP="005F6144"/>
    <w:p w14:paraId="18F8B8D0" w14:textId="77777777" w:rsidR="005F6144" w:rsidRPr="005F6144" w:rsidRDefault="005F6144" w:rsidP="005F6144"/>
    <w:p w14:paraId="001C0D9A" w14:textId="77777777" w:rsidR="005F6144" w:rsidRPr="005F6144" w:rsidRDefault="005F6144" w:rsidP="005F6144"/>
    <w:p w14:paraId="36B74BF4" w14:textId="03B4F1B0" w:rsidR="005F6144" w:rsidRDefault="005F6144" w:rsidP="005F6144">
      <w:pPr>
        <w:tabs>
          <w:tab w:val="left" w:pos="2663"/>
        </w:tabs>
      </w:pPr>
      <w:r>
        <w:tab/>
      </w:r>
    </w:p>
    <w:p w14:paraId="45A17CC5" w14:textId="5F3C688E" w:rsidR="005F6144" w:rsidRDefault="005F6144" w:rsidP="005F6144"/>
    <w:p w14:paraId="2B840B5E" w14:textId="77777777" w:rsidR="009A01E5" w:rsidRPr="005F6144" w:rsidRDefault="009A01E5" w:rsidP="005F6144">
      <w:pPr>
        <w:sectPr w:rsidR="009A01E5" w:rsidRPr="005F6144" w:rsidSect="00CA0242">
          <w:headerReference w:type="default" r:id="rId214"/>
          <w:footerReference w:type="default" r:id="rId215"/>
          <w:pgSz w:w="12240" w:h="15840"/>
          <w:pgMar w:top="720" w:right="1800" w:bottom="720" w:left="1800" w:header="720" w:footer="576" w:gutter="0"/>
          <w:cols w:space="720"/>
          <w:docGrid w:linePitch="326"/>
        </w:sectPr>
      </w:pPr>
    </w:p>
    <w:p w14:paraId="3C2D0A45" w14:textId="77777777" w:rsidR="009A01E5" w:rsidRDefault="009A01E5">
      <w:pPr>
        <w:pStyle w:val="BodyText2"/>
        <w:jc w:val="center"/>
        <w:rPr>
          <w:snapToGrid w:val="0"/>
          <w:sz w:val="48"/>
        </w:rPr>
      </w:pPr>
    </w:p>
    <w:p w14:paraId="26EFCFD6" w14:textId="77777777" w:rsidR="009A01E5" w:rsidRDefault="009A01E5">
      <w:pPr>
        <w:pStyle w:val="BodyText2"/>
        <w:jc w:val="center"/>
        <w:rPr>
          <w:snapToGrid w:val="0"/>
          <w:sz w:val="48"/>
        </w:rPr>
      </w:pPr>
    </w:p>
    <w:p w14:paraId="59050541" w14:textId="77777777" w:rsidR="009A01E5" w:rsidRDefault="009A01E5">
      <w:pPr>
        <w:pStyle w:val="BodyText2"/>
        <w:jc w:val="center"/>
        <w:rPr>
          <w:snapToGrid w:val="0"/>
          <w:sz w:val="48"/>
        </w:rPr>
      </w:pPr>
    </w:p>
    <w:p w14:paraId="30A77784" w14:textId="77777777" w:rsidR="009A01E5" w:rsidRDefault="009A01E5">
      <w:pPr>
        <w:jc w:val="center"/>
        <w:rPr>
          <w:b/>
          <w:snapToGrid w:val="0"/>
          <w:sz w:val="48"/>
        </w:rPr>
      </w:pPr>
    </w:p>
    <w:p w14:paraId="23A0C1D2" w14:textId="77777777" w:rsidR="009A01E5" w:rsidRDefault="009A01E5">
      <w:pPr>
        <w:jc w:val="center"/>
        <w:rPr>
          <w:b/>
          <w:snapToGrid w:val="0"/>
          <w:sz w:val="48"/>
        </w:rPr>
      </w:pPr>
    </w:p>
    <w:p w14:paraId="693857F9" w14:textId="77777777" w:rsidR="009A01E5" w:rsidRDefault="009A01E5">
      <w:pPr>
        <w:jc w:val="center"/>
        <w:rPr>
          <w:b/>
          <w:snapToGrid w:val="0"/>
          <w:sz w:val="48"/>
        </w:rPr>
      </w:pPr>
    </w:p>
    <w:p w14:paraId="3193DE9F" w14:textId="77777777" w:rsidR="009A01E5" w:rsidRDefault="009A01E5">
      <w:pPr>
        <w:jc w:val="center"/>
        <w:rPr>
          <w:b/>
          <w:snapToGrid w:val="0"/>
          <w:sz w:val="48"/>
        </w:rPr>
      </w:pPr>
      <w:r>
        <w:rPr>
          <w:b/>
          <w:snapToGrid w:val="0"/>
          <w:sz w:val="48"/>
        </w:rPr>
        <w:t xml:space="preserve">Appendix </w:t>
      </w:r>
      <w:r w:rsidR="00365206">
        <w:rPr>
          <w:b/>
          <w:snapToGrid w:val="0"/>
          <w:sz w:val="48"/>
        </w:rPr>
        <w:t>B</w:t>
      </w:r>
    </w:p>
    <w:p w14:paraId="10D05A93" w14:textId="77777777" w:rsidR="009A01E5" w:rsidRDefault="009A01E5">
      <w:pPr>
        <w:jc w:val="center"/>
        <w:rPr>
          <w:b/>
          <w:snapToGrid w:val="0"/>
          <w:sz w:val="48"/>
        </w:rPr>
      </w:pPr>
    </w:p>
    <w:p w14:paraId="242F6098" w14:textId="77777777" w:rsidR="009A01E5" w:rsidRDefault="00402472" w:rsidP="00402472">
      <w:pPr>
        <w:tabs>
          <w:tab w:val="left" w:pos="2538"/>
        </w:tabs>
        <w:jc w:val="center"/>
        <w:rPr>
          <w:b/>
          <w:snapToGrid w:val="0"/>
          <w:sz w:val="48"/>
        </w:rPr>
      </w:pPr>
      <w:r>
        <w:rPr>
          <w:b/>
          <w:snapToGrid w:val="0"/>
          <w:sz w:val="48"/>
        </w:rPr>
        <w:t>Frequently Asked Questions</w:t>
      </w:r>
    </w:p>
    <w:p w14:paraId="48995A9F" w14:textId="77777777" w:rsidR="00402472" w:rsidRDefault="00402472" w:rsidP="00402472">
      <w:pPr>
        <w:tabs>
          <w:tab w:val="left" w:pos="2538"/>
        </w:tabs>
        <w:jc w:val="center"/>
        <w:rPr>
          <w:b/>
          <w:snapToGrid w:val="0"/>
          <w:sz w:val="48"/>
        </w:rPr>
      </w:pPr>
    </w:p>
    <w:p w14:paraId="3E365077" w14:textId="77777777" w:rsidR="00402472" w:rsidRDefault="00402472">
      <w:pPr>
        <w:rPr>
          <w:snapToGrid w:val="0"/>
        </w:rPr>
      </w:pPr>
      <w:r>
        <w:rPr>
          <w:snapToGrid w:val="0"/>
        </w:rPr>
        <w:br w:type="page"/>
      </w:r>
    </w:p>
    <w:p w14:paraId="44B9C2BE" w14:textId="77777777" w:rsidR="00402472" w:rsidRDefault="00402472" w:rsidP="00402472">
      <w:pPr>
        <w:rPr>
          <w:snapToGrid w:val="0"/>
        </w:rPr>
      </w:pPr>
      <w:r>
        <w:rPr>
          <w:snapToGrid w:val="0"/>
        </w:rPr>
        <w:lastRenderedPageBreak/>
        <w:t>The following list of questions is presented to help those unfamiliar with dispersion modeling have a basic understanding.</w:t>
      </w:r>
    </w:p>
    <w:p w14:paraId="2570C0E0" w14:textId="77777777" w:rsidR="00402472" w:rsidRDefault="00402472" w:rsidP="00407F48">
      <w:pPr>
        <w:numPr>
          <w:ilvl w:val="0"/>
          <w:numId w:val="3"/>
        </w:numPr>
        <w:rPr>
          <w:b/>
          <w:snapToGrid w:val="0"/>
        </w:rPr>
      </w:pPr>
      <w:r>
        <w:rPr>
          <w:b/>
          <w:snapToGrid w:val="0"/>
        </w:rPr>
        <w:t>What is dispersion modeling?</w:t>
      </w:r>
    </w:p>
    <w:p w14:paraId="71A420A5" w14:textId="77777777" w:rsidR="00402472" w:rsidRDefault="00402472" w:rsidP="00407F48">
      <w:pPr>
        <w:numPr>
          <w:ilvl w:val="0"/>
          <w:numId w:val="13"/>
        </w:numPr>
        <w:rPr>
          <w:snapToGrid w:val="0"/>
        </w:rPr>
      </w:pPr>
      <w:r>
        <w:rPr>
          <w:snapToGrid w:val="0"/>
        </w:rPr>
        <w:t xml:space="preserve">A technique for calculating concentrations of pollutants that are the result of emissions.  </w:t>
      </w:r>
    </w:p>
    <w:p w14:paraId="408560E3" w14:textId="77777777" w:rsidR="00402472" w:rsidRDefault="00402472" w:rsidP="00407F48">
      <w:pPr>
        <w:numPr>
          <w:ilvl w:val="0"/>
          <w:numId w:val="13"/>
        </w:numPr>
        <w:rPr>
          <w:snapToGrid w:val="0"/>
        </w:rPr>
      </w:pPr>
      <w:r>
        <w:rPr>
          <w:snapToGrid w:val="0"/>
        </w:rPr>
        <w:t xml:space="preserve">A single equation can be used to estimate an air pollutant concentration at a single receptor from a single uncomplicated source.  </w:t>
      </w:r>
    </w:p>
    <w:p w14:paraId="57E2C38C" w14:textId="77777777" w:rsidR="00402472" w:rsidRDefault="00402472" w:rsidP="00407F48">
      <w:pPr>
        <w:numPr>
          <w:ilvl w:val="0"/>
          <w:numId w:val="13"/>
        </w:numPr>
        <w:rPr>
          <w:snapToGrid w:val="0"/>
        </w:rPr>
      </w:pPr>
      <w:r>
        <w:rPr>
          <w:snapToGrid w:val="0"/>
        </w:rPr>
        <w:t xml:space="preserve">When plume rise must be estimated or there are complications about the source, such as building downwash, then a series of equations are needed.  </w:t>
      </w:r>
    </w:p>
    <w:p w14:paraId="3174BEF5" w14:textId="77777777" w:rsidR="00402472" w:rsidRDefault="00402472" w:rsidP="00407F48">
      <w:pPr>
        <w:numPr>
          <w:ilvl w:val="0"/>
          <w:numId w:val="13"/>
        </w:numPr>
        <w:rPr>
          <w:snapToGrid w:val="0"/>
        </w:rPr>
      </w:pPr>
      <w:r>
        <w:rPr>
          <w:snapToGrid w:val="0"/>
        </w:rPr>
        <w:t xml:space="preserve">These equations, when coded for use by a computer, are usually referred to as a “computer model”.   </w:t>
      </w:r>
    </w:p>
    <w:p w14:paraId="66CE8276" w14:textId="77777777" w:rsidR="00402472" w:rsidRDefault="00402472" w:rsidP="00407F48">
      <w:pPr>
        <w:numPr>
          <w:ilvl w:val="0"/>
          <w:numId w:val="13"/>
        </w:numPr>
        <w:rPr>
          <w:snapToGrid w:val="0"/>
        </w:rPr>
      </w:pPr>
      <w:r>
        <w:rPr>
          <w:snapToGrid w:val="0"/>
        </w:rPr>
        <w:t xml:space="preserve">Repetitive calculations are required to estimate concentrations at </w:t>
      </w:r>
      <w:proofErr w:type="gramStart"/>
      <w:r>
        <w:rPr>
          <w:snapToGrid w:val="0"/>
        </w:rPr>
        <w:t>a number of</w:t>
      </w:r>
      <w:proofErr w:type="gramEnd"/>
      <w:r>
        <w:rPr>
          <w:snapToGrid w:val="0"/>
        </w:rPr>
        <w:t xml:space="preserve"> receptor locations, or from </w:t>
      </w:r>
      <w:proofErr w:type="gramStart"/>
      <w:r>
        <w:rPr>
          <w:snapToGrid w:val="0"/>
        </w:rPr>
        <w:t>a number of</w:t>
      </w:r>
      <w:proofErr w:type="gramEnd"/>
      <w:r>
        <w:rPr>
          <w:snapToGrid w:val="0"/>
        </w:rPr>
        <w:t xml:space="preserve"> sources, or for a series of meteorological conditions or over the length of a particular </w:t>
      </w:r>
      <w:proofErr w:type="gramStart"/>
      <w:r>
        <w:rPr>
          <w:snapToGrid w:val="0"/>
        </w:rPr>
        <w:t>time period</w:t>
      </w:r>
      <w:proofErr w:type="gramEnd"/>
      <w:r>
        <w:rPr>
          <w:snapToGrid w:val="0"/>
        </w:rPr>
        <w:t xml:space="preserve">.  </w:t>
      </w:r>
    </w:p>
    <w:p w14:paraId="1B6FD152" w14:textId="77777777" w:rsidR="00402472" w:rsidRDefault="00402472" w:rsidP="00407F48">
      <w:pPr>
        <w:numPr>
          <w:ilvl w:val="0"/>
          <w:numId w:val="13"/>
        </w:numPr>
        <w:rPr>
          <w:snapToGrid w:val="0"/>
        </w:rPr>
      </w:pPr>
      <w:r>
        <w:rPr>
          <w:snapToGrid w:val="0"/>
        </w:rPr>
        <w:t xml:space="preserve">A dispersion model usually does a considerable amount of “bookkeeping” to determine averages over multiple hourly simulations or to keep track of highest calculated concentrations for reporting at the end of the simulation period. </w:t>
      </w:r>
    </w:p>
    <w:p w14:paraId="2BBDF235" w14:textId="77777777" w:rsidR="00402472" w:rsidRDefault="00402472" w:rsidP="00407F48">
      <w:pPr>
        <w:numPr>
          <w:ilvl w:val="0"/>
          <w:numId w:val="13"/>
        </w:numPr>
        <w:rPr>
          <w:b/>
          <w:snapToGrid w:val="0"/>
        </w:rPr>
      </w:pPr>
      <w:r>
        <w:rPr>
          <w:b/>
          <w:snapToGrid w:val="0"/>
        </w:rPr>
        <w:t>Why use dispersion modeling instead of monitoring?</w:t>
      </w:r>
    </w:p>
    <w:p w14:paraId="3101B6AB" w14:textId="77777777" w:rsidR="00402472" w:rsidRDefault="00402472" w:rsidP="00407F48">
      <w:pPr>
        <w:numPr>
          <w:ilvl w:val="0"/>
          <w:numId w:val="13"/>
        </w:numPr>
        <w:rPr>
          <w:snapToGrid w:val="0"/>
        </w:rPr>
      </w:pPr>
      <w:r>
        <w:rPr>
          <w:snapToGrid w:val="0"/>
        </w:rPr>
        <w:t xml:space="preserve">Monitoring can be used to quantify the concentration of a pollutant at a specific location under actual meteorological conditions.  </w:t>
      </w:r>
    </w:p>
    <w:p w14:paraId="29C988AD" w14:textId="77777777" w:rsidR="00402472" w:rsidRDefault="00402472" w:rsidP="00407F48">
      <w:pPr>
        <w:numPr>
          <w:ilvl w:val="0"/>
          <w:numId w:val="13"/>
        </w:numPr>
        <w:rPr>
          <w:snapToGrid w:val="0"/>
        </w:rPr>
      </w:pPr>
      <w:r>
        <w:rPr>
          <w:snapToGrid w:val="0"/>
        </w:rPr>
        <w:t xml:space="preserve">Unlike monitoring, modeling can provide estimates of pollutant concentrations from an unbuilt source, at multiple locations.  </w:t>
      </w:r>
    </w:p>
    <w:p w14:paraId="338D246C" w14:textId="77777777" w:rsidR="00402472" w:rsidRDefault="00402472" w:rsidP="00407F48">
      <w:pPr>
        <w:numPr>
          <w:ilvl w:val="0"/>
          <w:numId w:val="13"/>
        </w:numPr>
        <w:rPr>
          <w:snapToGrid w:val="0"/>
        </w:rPr>
      </w:pPr>
      <w:r>
        <w:rPr>
          <w:snapToGrid w:val="0"/>
        </w:rPr>
        <w:t xml:space="preserve">Modeling can simulate concentrations under a variety of meteorological conditions.  </w:t>
      </w:r>
    </w:p>
    <w:p w14:paraId="48BB1954" w14:textId="77777777" w:rsidR="00402472" w:rsidRDefault="00402472" w:rsidP="00407F48">
      <w:pPr>
        <w:numPr>
          <w:ilvl w:val="0"/>
          <w:numId w:val="13"/>
        </w:numPr>
        <w:rPr>
          <w:snapToGrid w:val="0"/>
        </w:rPr>
      </w:pPr>
      <w:r>
        <w:rPr>
          <w:snapToGrid w:val="0"/>
        </w:rPr>
        <w:t xml:space="preserve">Modeling can determine the concentration </w:t>
      </w:r>
      <w:proofErr w:type="gramStart"/>
      <w:r>
        <w:rPr>
          <w:snapToGrid w:val="0"/>
        </w:rPr>
        <w:t>from</w:t>
      </w:r>
      <w:proofErr w:type="gramEnd"/>
      <w:r>
        <w:rPr>
          <w:snapToGrid w:val="0"/>
        </w:rPr>
        <w:t xml:space="preserve"> individual sources, all of which may be contributing to the concentration of a pollutant at a specific location. </w:t>
      </w:r>
    </w:p>
    <w:p w14:paraId="4CC77A0A" w14:textId="77777777" w:rsidR="00402472" w:rsidRDefault="00402472" w:rsidP="00407F48">
      <w:pPr>
        <w:numPr>
          <w:ilvl w:val="0"/>
          <w:numId w:val="3"/>
        </w:numPr>
        <w:rPr>
          <w:b/>
          <w:snapToGrid w:val="0"/>
        </w:rPr>
      </w:pPr>
      <w:r>
        <w:rPr>
          <w:b/>
          <w:snapToGrid w:val="0"/>
        </w:rPr>
        <w:t xml:space="preserve">What’s the difference between </w:t>
      </w:r>
      <w:r w:rsidR="00A97DCA">
        <w:rPr>
          <w:b/>
          <w:snapToGrid w:val="0"/>
        </w:rPr>
        <w:t xml:space="preserve">a screening model and a refined </w:t>
      </w:r>
      <w:r>
        <w:rPr>
          <w:b/>
          <w:snapToGrid w:val="0"/>
        </w:rPr>
        <w:t>model?</w:t>
      </w:r>
    </w:p>
    <w:p w14:paraId="1BA1B943" w14:textId="77777777" w:rsidR="00402472" w:rsidRDefault="00402472" w:rsidP="00407F48">
      <w:pPr>
        <w:numPr>
          <w:ilvl w:val="0"/>
          <w:numId w:val="7"/>
        </w:numPr>
        <w:rPr>
          <w:snapToGrid w:val="0"/>
        </w:rPr>
      </w:pPr>
      <w:r>
        <w:rPr>
          <w:snapToGrid w:val="0"/>
        </w:rPr>
        <w:t xml:space="preserve">Regulatory dispersion modeling is conducted in a series of successive levels of </w:t>
      </w:r>
      <w:proofErr w:type="gramStart"/>
      <w:r>
        <w:rPr>
          <w:snapToGrid w:val="0"/>
        </w:rPr>
        <w:t>refinements</w:t>
      </w:r>
      <w:proofErr w:type="gramEnd"/>
      <w:r>
        <w:rPr>
          <w:snapToGrid w:val="0"/>
        </w:rPr>
        <w:t xml:space="preserve">.  </w:t>
      </w:r>
    </w:p>
    <w:p w14:paraId="264CFAD6" w14:textId="77777777" w:rsidR="00402472" w:rsidRDefault="00402472" w:rsidP="00407F48">
      <w:pPr>
        <w:numPr>
          <w:ilvl w:val="0"/>
          <w:numId w:val="7"/>
        </w:numPr>
        <w:rPr>
          <w:snapToGrid w:val="0"/>
        </w:rPr>
      </w:pPr>
      <w:r>
        <w:rPr>
          <w:snapToGrid w:val="0"/>
        </w:rPr>
        <w:t xml:space="preserve">Each successive level often requires additional information and processing to obtain the revised estimate.  </w:t>
      </w:r>
    </w:p>
    <w:p w14:paraId="723F9FC2" w14:textId="77777777" w:rsidR="00402472" w:rsidRDefault="00402472" w:rsidP="00407F48">
      <w:pPr>
        <w:numPr>
          <w:ilvl w:val="0"/>
          <w:numId w:val="9"/>
        </w:numPr>
        <w:rPr>
          <w:snapToGrid w:val="0"/>
        </w:rPr>
      </w:pPr>
      <w:r>
        <w:rPr>
          <w:snapToGrid w:val="0"/>
        </w:rPr>
        <w:t xml:space="preserve">Start with a set of simplified conservative assumptions (Screening-Level Models).  </w:t>
      </w:r>
    </w:p>
    <w:p w14:paraId="0DE0C247" w14:textId="77777777" w:rsidR="00402472" w:rsidRDefault="00402472" w:rsidP="00407F48">
      <w:pPr>
        <w:numPr>
          <w:ilvl w:val="0"/>
          <w:numId w:val="8"/>
        </w:numPr>
        <w:rPr>
          <w:snapToGrid w:val="0"/>
        </w:rPr>
      </w:pPr>
      <w:r>
        <w:rPr>
          <w:snapToGrid w:val="0"/>
        </w:rPr>
        <w:lastRenderedPageBreak/>
        <w:t xml:space="preserve">If compliance with air quality goals can be demonstrated using these simplified assumptions, then no additional refinements are necessary. </w:t>
      </w:r>
    </w:p>
    <w:p w14:paraId="0289C762" w14:textId="415A0404" w:rsidR="00402472" w:rsidRDefault="00402472" w:rsidP="00407F48">
      <w:pPr>
        <w:numPr>
          <w:ilvl w:val="0"/>
          <w:numId w:val="8"/>
        </w:numPr>
        <w:rPr>
          <w:snapToGrid w:val="0"/>
        </w:rPr>
      </w:pPr>
      <w:r>
        <w:rPr>
          <w:snapToGrid w:val="0"/>
        </w:rPr>
        <w:t xml:space="preserve">However, if compliance cannot be demonstrated using the simplified set of assumptions, one may elect to refine the input assumptions (i.e., refined-level modeling) until compliance can be demonstrated or modify the source design, until compliance can be demonstrated.  </w:t>
      </w:r>
    </w:p>
    <w:p w14:paraId="7AB2A6CE" w14:textId="77777777" w:rsidR="00402472" w:rsidRDefault="00402472" w:rsidP="00402472">
      <w:pPr>
        <w:rPr>
          <w:b/>
          <w:snapToGrid w:val="0"/>
        </w:rPr>
      </w:pPr>
      <w:r>
        <w:rPr>
          <w:b/>
          <w:snapToGrid w:val="0"/>
        </w:rPr>
        <w:t>How accurate is dispersion modeling?</w:t>
      </w:r>
    </w:p>
    <w:p w14:paraId="32B6337C" w14:textId="77777777" w:rsidR="00402472" w:rsidRDefault="00402472" w:rsidP="00407F48">
      <w:pPr>
        <w:numPr>
          <w:ilvl w:val="0"/>
          <w:numId w:val="4"/>
        </w:numPr>
        <w:rPr>
          <w:snapToGrid w:val="0"/>
        </w:rPr>
      </w:pPr>
      <w:r>
        <w:rPr>
          <w:snapToGrid w:val="0"/>
        </w:rPr>
        <w:t>Models are more reliable for estimating longer time-averaged concentrations than for estimating short-term concentrations at specific-locations.</w:t>
      </w:r>
    </w:p>
    <w:p w14:paraId="12E1F630" w14:textId="77777777" w:rsidR="00402472" w:rsidRDefault="00402472" w:rsidP="00407F48">
      <w:pPr>
        <w:numPr>
          <w:ilvl w:val="0"/>
          <w:numId w:val="4"/>
        </w:numPr>
        <w:rPr>
          <w:snapToGrid w:val="0"/>
        </w:rPr>
      </w:pPr>
      <w:r>
        <w:rPr>
          <w:snapToGrid w:val="0"/>
        </w:rPr>
        <w:t>The models are reasonably reliable in estimating the magnitude of the highest concentration occurring sometime, somewhere within an area.</w:t>
      </w:r>
    </w:p>
    <w:p w14:paraId="01AE56A0" w14:textId="77777777" w:rsidR="00402472" w:rsidRDefault="00402472" w:rsidP="00407F48">
      <w:pPr>
        <w:numPr>
          <w:ilvl w:val="0"/>
          <w:numId w:val="4"/>
        </w:numPr>
        <w:rPr>
          <w:snapToGrid w:val="0"/>
        </w:rPr>
      </w:pPr>
      <w:r>
        <w:rPr>
          <w:snapToGrid w:val="0"/>
        </w:rPr>
        <w:t>Errors in highest estimated concentrations of 10 to 40 percent are found to be typical. Estimates of concentrations that occur at a specific time and site are poorly correlated with actual observed concentrations and are much less reliable.</w:t>
      </w:r>
    </w:p>
    <w:p w14:paraId="183DDAAB" w14:textId="77777777" w:rsidR="00402472" w:rsidRDefault="00402472" w:rsidP="00407F48">
      <w:pPr>
        <w:numPr>
          <w:ilvl w:val="0"/>
          <w:numId w:val="4"/>
        </w:numPr>
        <w:rPr>
          <w:snapToGrid w:val="0"/>
        </w:rPr>
      </w:pPr>
      <w:r>
        <w:rPr>
          <w:snapToGrid w:val="0"/>
        </w:rPr>
        <w:t>However, this inability to pair modeled concentrations with measured concentrations does not indicate that an estimated concentration does not occur, only that the precise time and locations are in doubt.</w:t>
      </w:r>
    </w:p>
    <w:p w14:paraId="17FAA1DA" w14:textId="77777777" w:rsidR="00402472" w:rsidRDefault="00402472" w:rsidP="00402472">
      <w:pPr>
        <w:rPr>
          <w:b/>
          <w:snapToGrid w:val="0"/>
        </w:rPr>
      </w:pPr>
      <w:r>
        <w:rPr>
          <w:b/>
          <w:snapToGrid w:val="0"/>
        </w:rPr>
        <w:t xml:space="preserve">Why can’t you </w:t>
      </w:r>
      <w:proofErr w:type="gramStart"/>
      <w:r>
        <w:rPr>
          <w:b/>
          <w:snapToGrid w:val="0"/>
        </w:rPr>
        <w:t>monitor for</w:t>
      </w:r>
      <w:proofErr w:type="gramEnd"/>
      <w:r>
        <w:rPr>
          <w:b/>
          <w:snapToGrid w:val="0"/>
        </w:rPr>
        <w:t xml:space="preserve"> PSD increment consumption?</w:t>
      </w:r>
    </w:p>
    <w:p w14:paraId="051FD681" w14:textId="77777777" w:rsidR="00402472" w:rsidRDefault="00402472" w:rsidP="00407F48">
      <w:pPr>
        <w:numPr>
          <w:ilvl w:val="0"/>
          <w:numId w:val="6"/>
        </w:numPr>
        <w:rPr>
          <w:snapToGrid w:val="0"/>
        </w:rPr>
      </w:pPr>
      <w:r>
        <w:rPr>
          <w:snapToGrid w:val="0"/>
        </w:rPr>
        <w:t>Increment consumption is based upon changes in emissions (and therefore ambient concentration of pollutants) since the applicable baseline date.</w:t>
      </w:r>
    </w:p>
    <w:p w14:paraId="3174D015" w14:textId="77777777" w:rsidR="00402472" w:rsidRDefault="00402472" w:rsidP="00407F48">
      <w:pPr>
        <w:numPr>
          <w:ilvl w:val="0"/>
          <w:numId w:val="6"/>
        </w:numPr>
        <w:rPr>
          <w:snapToGrid w:val="0"/>
        </w:rPr>
      </w:pPr>
      <w:r>
        <w:rPr>
          <w:snapToGrid w:val="0"/>
        </w:rPr>
        <w:t xml:space="preserve">There are different baseline dates for major </w:t>
      </w:r>
      <w:proofErr w:type="gramStart"/>
      <w:r>
        <w:rPr>
          <w:snapToGrid w:val="0"/>
        </w:rPr>
        <w:t>stationary</w:t>
      </w:r>
      <w:proofErr w:type="gramEnd"/>
      <w:r>
        <w:rPr>
          <w:snapToGrid w:val="0"/>
        </w:rPr>
        <w:t xml:space="preserve"> and minor sources.</w:t>
      </w:r>
    </w:p>
    <w:p w14:paraId="695F7876" w14:textId="77777777" w:rsidR="00402472" w:rsidRDefault="00402472" w:rsidP="00407F48">
      <w:pPr>
        <w:numPr>
          <w:ilvl w:val="0"/>
          <w:numId w:val="6"/>
        </w:numPr>
        <w:rPr>
          <w:snapToGrid w:val="0"/>
        </w:rPr>
      </w:pPr>
      <w:r>
        <w:rPr>
          <w:snapToGrid w:val="0"/>
        </w:rPr>
        <w:t xml:space="preserve">Monitors </w:t>
      </w:r>
      <w:r w:rsidR="002F2BC1">
        <w:rPr>
          <w:snapToGrid w:val="0"/>
        </w:rPr>
        <w:t>cannot</w:t>
      </w:r>
      <w:r>
        <w:rPr>
          <w:snapToGrid w:val="0"/>
        </w:rPr>
        <w:t xml:space="preserve"> distinguish between impacts from these sources as a function of date and source category.</w:t>
      </w:r>
    </w:p>
    <w:p w14:paraId="0E9D47F9" w14:textId="77777777" w:rsidR="00783B82" w:rsidRDefault="00783B82">
      <w:pPr>
        <w:spacing w:after="0"/>
        <w:rPr>
          <w:snapToGrid w:val="0"/>
        </w:rPr>
      </w:pPr>
      <w:r>
        <w:rPr>
          <w:snapToGrid w:val="0"/>
        </w:rPr>
        <w:br w:type="page"/>
      </w:r>
    </w:p>
    <w:p w14:paraId="42DECDA9" w14:textId="77777777" w:rsidR="00365206" w:rsidRDefault="00365206" w:rsidP="00783B82">
      <w:pPr>
        <w:spacing w:after="0"/>
        <w:rPr>
          <w:snapToGrid w:val="0"/>
        </w:rPr>
      </w:pPr>
    </w:p>
    <w:p w14:paraId="78849AB1" w14:textId="77777777" w:rsidR="00783B82" w:rsidRDefault="00783B82" w:rsidP="00783B82">
      <w:pPr>
        <w:spacing w:after="0"/>
        <w:rPr>
          <w:snapToGrid w:val="0"/>
        </w:rPr>
      </w:pPr>
    </w:p>
    <w:p w14:paraId="122F7163" w14:textId="77777777" w:rsidR="00783B82" w:rsidRDefault="00783B82" w:rsidP="00783B82">
      <w:pPr>
        <w:spacing w:after="0"/>
        <w:rPr>
          <w:snapToGrid w:val="0"/>
        </w:rPr>
      </w:pPr>
    </w:p>
    <w:p w14:paraId="411DAAD2" w14:textId="77777777" w:rsidR="00783B82" w:rsidRDefault="00783B82" w:rsidP="00783B82">
      <w:pPr>
        <w:spacing w:after="0"/>
        <w:rPr>
          <w:snapToGrid w:val="0"/>
        </w:rPr>
      </w:pPr>
    </w:p>
    <w:p w14:paraId="2A2F1B8C" w14:textId="77777777" w:rsidR="00783B82" w:rsidRDefault="00783B82" w:rsidP="00783B82">
      <w:pPr>
        <w:spacing w:after="0"/>
        <w:rPr>
          <w:snapToGrid w:val="0"/>
        </w:rPr>
      </w:pPr>
    </w:p>
    <w:p w14:paraId="6C409ADB" w14:textId="77777777" w:rsidR="00783B82" w:rsidRDefault="00783B82" w:rsidP="00783B82">
      <w:pPr>
        <w:spacing w:after="0"/>
        <w:rPr>
          <w:snapToGrid w:val="0"/>
        </w:rPr>
      </w:pPr>
    </w:p>
    <w:p w14:paraId="0581AAF7" w14:textId="77777777" w:rsidR="00783B82" w:rsidRDefault="00783B82" w:rsidP="00783B82">
      <w:pPr>
        <w:spacing w:after="0"/>
        <w:rPr>
          <w:snapToGrid w:val="0"/>
        </w:rPr>
      </w:pPr>
    </w:p>
    <w:p w14:paraId="5A886C51" w14:textId="77777777" w:rsidR="00783B82" w:rsidRDefault="00783B82" w:rsidP="00783B82">
      <w:pPr>
        <w:spacing w:after="0"/>
        <w:rPr>
          <w:snapToGrid w:val="0"/>
        </w:rPr>
      </w:pPr>
    </w:p>
    <w:p w14:paraId="3EB04E2C" w14:textId="77777777" w:rsidR="00783B82" w:rsidRDefault="00783B82" w:rsidP="00783B82">
      <w:pPr>
        <w:spacing w:after="0"/>
        <w:rPr>
          <w:snapToGrid w:val="0"/>
        </w:rPr>
      </w:pPr>
    </w:p>
    <w:p w14:paraId="0CB3B34C" w14:textId="77777777" w:rsidR="00783B82" w:rsidRDefault="00783B82" w:rsidP="00783B82">
      <w:pPr>
        <w:spacing w:after="0"/>
        <w:rPr>
          <w:snapToGrid w:val="0"/>
        </w:rPr>
      </w:pPr>
    </w:p>
    <w:p w14:paraId="64F21EC2" w14:textId="77777777" w:rsidR="00783B82" w:rsidRDefault="00783B82" w:rsidP="00783B82">
      <w:pPr>
        <w:spacing w:after="0"/>
        <w:rPr>
          <w:snapToGrid w:val="0"/>
        </w:rPr>
      </w:pPr>
    </w:p>
    <w:p w14:paraId="3792E280" w14:textId="77777777" w:rsidR="00783B82" w:rsidRDefault="00783B82" w:rsidP="00783B82">
      <w:pPr>
        <w:spacing w:after="0"/>
        <w:rPr>
          <w:snapToGrid w:val="0"/>
        </w:rPr>
      </w:pPr>
    </w:p>
    <w:p w14:paraId="1908232A" w14:textId="77777777" w:rsidR="00783B82" w:rsidRDefault="00783B82" w:rsidP="00783B82">
      <w:pPr>
        <w:spacing w:after="0"/>
        <w:jc w:val="center"/>
        <w:rPr>
          <w:snapToGrid w:val="0"/>
        </w:rPr>
      </w:pPr>
      <w:r>
        <w:rPr>
          <w:snapToGrid w:val="0"/>
        </w:rPr>
        <w:t>(This page intentionally left blank)</w:t>
      </w:r>
    </w:p>
    <w:p w14:paraId="7E1B0006" w14:textId="65657CC4" w:rsidR="00402472" w:rsidRDefault="00402472" w:rsidP="00D26C8B">
      <w:pPr>
        <w:pStyle w:val="BodyText2"/>
        <w:rPr>
          <w:snapToGrid w:val="0"/>
        </w:rPr>
      </w:pPr>
    </w:p>
    <w:p w14:paraId="018CEC7C" w14:textId="77777777" w:rsidR="00D267FF" w:rsidRDefault="00D267FF">
      <w:pPr>
        <w:pStyle w:val="BodyText2"/>
        <w:rPr>
          <w:snapToGrid w:val="0"/>
        </w:rPr>
      </w:pPr>
    </w:p>
    <w:sectPr w:rsidR="00D267FF" w:rsidSect="00981BB0">
      <w:footerReference w:type="default" r:id="rId216"/>
      <w:pgSz w:w="12240" w:h="15840"/>
      <w:pgMar w:top="720" w:right="1800" w:bottom="720" w:left="1800" w:header="720"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BF4ADB" w14:textId="77777777" w:rsidR="0052157A" w:rsidRDefault="0052157A">
      <w:r>
        <w:separator/>
      </w:r>
    </w:p>
  </w:endnote>
  <w:endnote w:type="continuationSeparator" w:id="0">
    <w:p w14:paraId="3F52AEF1" w14:textId="77777777" w:rsidR="0052157A" w:rsidRDefault="005215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Times">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200ACFF"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UniversalMath1 BT">
    <w:altName w:val="Symbol"/>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F0363" w14:textId="77777777" w:rsidR="004B5434" w:rsidRDefault="004B543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54ED3" w14:textId="414D4A27" w:rsidR="004830EA" w:rsidRDefault="004830EA" w:rsidP="005F6144">
    <w:pPr>
      <w:pStyle w:val="Footer"/>
      <w:rPr>
        <w:sz w:val="16"/>
      </w:rPr>
    </w:pPr>
    <w:r>
      <w:rPr>
        <w:sz w:val="16"/>
      </w:rPr>
      <w:tab/>
    </w:r>
  </w:p>
  <w:p w14:paraId="6F870B5F" w14:textId="2A3C1B6B" w:rsidR="004830EA" w:rsidRPr="005F6144" w:rsidRDefault="004830EA" w:rsidP="005F6144">
    <w:pPr>
      <w:pStyle w:val="Footer"/>
      <w:jc w:val="right"/>
      <w:rPr>
        <w:sz w:val="20"/>
        <w:szCs w:val="20"/>
      </w:rPr>
    </w:pPr>
    <w:r>
      <w:rPr>
        <w:noProof/>
        <w:sz w:val="20"/>
        <w:szCs w:val="20"/>
      </w:rPr>
      <mc:AlternateContent>
        <mc:Choice Requires="wps">
          <w:drawing>
            <wp:anchor distT="0" distB="0" distL="114300" distR="114300" simplePos="0" relativeHeight="251683840" behindDoc="0" locked="0" layoutInCell="0" allowOverlap="1" wp14:anchorId="5F7BB304" wp14:editId="278F8CA7">
              <wp:simplePos x="0" y="0"/>
              <wp:positionH relativeFrom="column">
                <wp:posOffset>-45720</wp:posOffset>
              </wp:positionH>
              <wp:positionV relativeFrom="paragraph">
                <wp:posOffset>-66040</wp:posOffset>
              </wp:positionV>
              <wp:extent cx="5577840" cy="0"/>
              <wp:effectExtent l="11430" t="12700" r="11430" b="6350"/>
              <wp:wrapNone/>
              <wp:docPr id="18"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7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0C64CC" id="Line 33"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2pt" to="435.6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" o:allowincell="f"/>
          </w:pict>
        </mc:Fallback>
      </mc:AlternateContent>
    </w:r>
    <w:r w:rsidRPr="00322919">
      <w:rPr>
        <w:sz w:val="20"/>
        <w:szCs w:val="20"/>
      </w:rPr>
      <w:t>Appendix B-</w:t>
    </w:r>
    <w:r w:rsidRPr="00322919">
      <w:rPr>
        <w:rStyle w:val="PageNumber"/>
        <w:sz w:val="20"/>
        <w:szCs w:val="20"/>
      </w:rPr>
      <w:fldChar w:fldCharType="begin"/>
    </w:r>
    <w:r w:rsidRPr="00322919">
      <w:rPr>
        <w:rStyle w:val="PageNumber"/>
        <w:sz w:val="20"/>
        <w:szCs w:val="20"/>
      </w:rPr>
      <w:instrText xml:space="preserve"> PAGE </w:instrText>
    </w:r>
    <w:r w:rsidRPr="00322919">
      <w:rPr>
        <w:rStyle w:val="PageNumber"/>
        <w:sz w:val="20"/>
        <w:szCs w:val="20"/>
      </w:rPr>
      <w:fldChar w:fldCharType="separate"/>
    </w:r>
    <w:r w:rsidR="007A5D78">
      <w:rPr>
        <w:rStyle w:val="PageNumber"/>
        <w:noProof/>
        <w:sz w:val="20"/>
        <w:szCs w:val="20"/>
      </w:rPr>
      <w:t>4</w:t>
    </w:r>
    <w:r w:rsidRPr="00322919">
      <w:rPr>
        <w:rStyle w:val="PageNumber"/>
        <w:sz w:val="20"/>
        <w:szCs w:val="20"/>
      </w:rPr>
      <w:fldChar w:fldCharType="end"/>
    </w:r>
    <w:r w:rsidRPr="00322919">
      <w:rPr>
        <w:sz w:val="20"/>
        <w:szCs w:val="20"/>
      </w:rPr>
      <w:tab/>
    </w:r>
    <w:r w:rsidR="007A5D78" w:rsidRPr="004B5434">
      <w:rPr>
        <w:rFonts w:asciiTheme="minorHAnsi" w:hAnsiTheme="minorHAnsi"/>
        <w:sz w:val="20"/>
        <w:szCs w:val="20"/>
      </w:rPr>
      <w:t>October 8, 2018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14898" w14:textId="59B87A76" w:rsidR="004830EA" w:rsidRPr="00AD4B13" w:rsidRDefault="004830EA" w:rsidP="0065789A">
    <w:pPr>
      <w:pStyle w:val="Footer"/>
      <w:ind w:left="-360" w:hanging="540"/>
      <w:rPr>
        <w:sz w:val="18"/>
        <w:szCs w:val="18"/>
      </w:rPr>
    </w:pPr>
    <w:r w:rsidRPr="00AD4B13">
      <w:rPr>
        <w:sz w:val="18"/>
        <w:szCs w:val="18"/>
      </w:rPr>
      <w:t>G:\AQ\PERMITS\Modeling\Documents\Internal Review Procedures\Modeling Procedures Manual (</w:t>
    </w:r>
    <w:r>
      <w:rPr>
        <w:sz w:val="18"/>
        <w:szCs w:val="18"/>
      </w:rPr>
      <w:t>May</w:t>
    </w:r>
    <w:r w:rsidRPr="00AD4B13">
      <w:rPr>
        <w:sz w:val="18"/>
        <w:szCs w:val="18"/>
      </w:rPr>
      <w:t xml:space="preserve"> </w:t>
    </w:r>
    <w:r>
      <w:rPr>
        <w:sz w:val="18"/>
        <w:szCs w:val="18"/>
      </w:rPr>
      <w:t xml:space="preserve">27, </w:t>
    </w:r>
    <w:r w:rsidRPr="00AD4B13">
      <w:rPr>
        <w:sz w:val="18"/>
        <w:szCs w:val="18"/>
      </w:rPr>
      <w:t>201</w:t>
    </w:r>
    <w:r>
      <w:rPr>
        <w:sz w:val="18"/>
        <w:szCs w:val="18"/>
      </w:rPr>
      <w:t>6)</w:t>
    </w:r>
    <w:r>
      <w:rPr>
        <w:sz w:val="18"/>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43AF9" w14:textId="77777777" w:rsidR="004B5434" w:rsidRDefault="004B543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FF516" w14:textId="77777777" w:rsidR="004830EA" w:rsidRPr="00AD4B13" w:rsidRDefault="004830EA" w:rsidP="00666543">
    <w:pPr>
      <w:pStyle w:val="Footer"/>
      <w:ind w:hanging="720"/>
      <w:rPr>
        <w:sz w:val="18"/>
        <w:szCs w:val="18"/>
      </w:rPr>
    </w:pPr>
    <w:r w:rsidRPr="00AD4B13">
      <w:rPr>
        <w:sz w:val="18"/>
        <w:szCs w:val="18"/>
      </w:rPr>
      <w:tab/>
    </w:r>
    <w:r w:rsidRPr="00AD4B13">
      <w:rPr>
        <w:sz w:val="18"/>
        <w:szCs w:val="18"/>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CA561" w14:textId="6632BE08" w:rsidR="004830EA" w:rsidRPr="00890491" w:rsidRDefault="004830EA" w:rsidP="004B5434">
    <w:pPr>
      <w:pBdr>
        <w:top w:val="single" w:sz="4" w:space="2" w:color="auto"/>
      </w:pBdr>
      <w:tabs>
        <w:tab w:val="center" w:pos="4320"/>
        <w:tab w:val="right" w:pos="8550"/>
      </w:tabs>
      <w:rPr>
        <w:sz w:val="20"/>
        <w:szCs w:val="20"/>
      </w:rPr>
    </w:pPr>
    <w:r>
      <w:rPr>
        <w:rStyle w:val="PageNumber"/>
        <w:sz w:val="20"/>
        <w:szCs w:val="20"/>
      </w:rPr>
      <w:tab/>
    </w:r>
    <w:r w:rsidRPr="000C3874">
      <w:rPr>
        <w:rStyle w:val="PageNumber"/>
        <w:sz w:val="20"/>
        <w:szCs w:val="20"/>
      </w:rPr>
      <w:fldChar w:fldCharType="begin"/>
    </w:r>
    <w:r w:rsidRPr="000C3874">
      <w:rPr>
        <w:rStyle w:val="PageNumber"/>
        <w:sz w:val="20"/>
        <w:szCs w:val="20"/>
      </w:rPr>
      <w:instrText xml:space="preserve"> PAGE </w:instrText>
    </w:r>
    <w:r w:rsidRPr="000C3874">
      <w:rPr>
        <w:rStyle w:val="PageNumber"/>
        <w:sz w:val="20"/>
        <w:szCs w:val="20"/>
      </w:rPr>
      <w:fldChar w:fldCharType="separate"/>
    </w:r>
    <w:r w:rsidR="007A5D78">
      <w:rPr>
        <w:rStyle w:val="PageNumber"/>
        <w:noProof/>
        <w:sz w:val="20"/>
        <w:szCs w:val="20"/>
      </w:rPr>
      <w:t>vi</w:t>
    </w:r>
    <w:r w:rsidRPr="000C3874">
      <w:rPr>
        <w:rStyle w:val="PageNumber"/>
        <w:sz w:val="20"/>
        <w:szCs w:val="20"/>
      </w:rPr>
      <w:fldChar w:fldCharType="end"/>
    </w:r>
    <w:r>
      <w:rPr>
        <w:rStyle w:val="PageNumber"/>
        <w:sz w:val="20"/>
        <w:szCs w:val="20"/>
      </w:rPr>
      <w:tab/>
    </w:r>
    <w:r w:rsidR="004B5434" w:rsidRPr="004B5434">
      <w:rPr>
        <w:rFonts w:asciiTheme="minorHAnsi" w:hAnsiTheme="minorHAnsi"/>
        <w:sz w:val="20"/>
        <w:szCs w:val="20"/>
      </w:rPr>
      <w:t>October 8, 2018</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FE822" w14:textId="3D6FAD82" w:rsidR="004830EA" w:rsidRPr="00205A83" w:rsidRDefault="004830EA" w:rsidP="00134EF0">
    <w:pPr>
      <w:pStyle w:val="Footer"/>
      <w:pBdr>
        <w:top w:val="single" w:sz="4" w:space="1" w:color="auto"/>
      </w:pBdr>
      <w:spacing w:before="120"/>
      <w:rPr>
        <w:rFonts w:asciiTheme="minorHAnsi" w:hAnsiTheme="minorHAnsi"/>
        <w:sz w:val="20"/>
        <w:szCs w:val="20"/>
      </w:rPr>
    </w:pPr>
    <w:r>
      <w:rPr>
        <w:rStyle w:val="PageNumber"/>
        <w:sz w:val="20"/>
        <w:szCs w:val="20"/>
      </w:rPr>
      <w:tab/>
    </w:r>
    <w:r w:rsidRPr="000C3874">
      <w:rPr>
        <w:rStyle w:val="PageNumber"/>
        <w:sz w:val="20"/>
        <w:szCs w:val="20"/>
      </w:rPr>
      <w:fldChar w:fldCharType="begin"/>
    </w:r>
    <w:r w:rsidRPr="000C3874">
      <w:rPr>
        <w:rStyle w:val="PageNumber"/>
        <w:sz w:val="20"/>
        <w:szCs w:val="20"/>
      </w:rPr>
      <w:instrText xml:space="preserve"> PAGE </w:instrText>
    </w:r>
    <w:r w:rsidRPr="000C3874">
      <w:rPr>
        <w:rStyle w:val="PageNumber"/>
        <w:sz w:val="20"/>
        <w:szCs w:val="20"/>
      </w:rPr>
      <w:fldChar w:fldCharType="separate"/>
    </w:r>
    <w:r w:rsidR="007A5D78">
      <w:rPr>
        <w:rStyle w:val="PageNumber"/>
        <w:noProof/>
        <w:sz w:val="20"/>
        <w:szCs w:val="20"/>
      </w:rPr>
      <w:t>146</w:t>
    </w:r>
    <w:r w:rsidRPr="000C3874">
      <w:rPr>
        <w:rStyle w:val="PageNumber"/>
        <w:sz w:val="20"/>
        <w:szCs w:val="20"/>
      </w:rPr>
      <w:fldChar w:fldCharType="end"/>
    </w:r>
    <w:r>
      <w:rPr>
        <w:rStyle w:val="PageNumber"/>
        <w:sz w:val="20"/>
        <w:szCs w:val="20"/>
      </w:rPr>
      <w:tab/>
    </w:r>
    <w:r w:rsidR="002F14AB">
      <w:rPr>
        <w:rFonts w:asciiTheme="minorHAnsi" w:hAnsiTheme="minorHAnsi"/>
        <w:snapToGrid w:val="0"/>
        <w:sz w:val="20"/>
        <w:szCs w:val="20"/>
      </w:rPr>
      <w:t>October 8, 2018</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28410" w14:textId="77777777" w:rsidR="004830EA" w:rsidRDefault="004830EA">
    <w:pPr>
      <w:pStyle w:val="Footer"/>
      <w:rPr>
        <w:sz w:val="16"/>
      </w:rPr>
    </w:pPr>
    <w:r>
      <w:rPr>
        <w:sz w:val="16"/>
      </w:rPr>
      <w:tab/>
    </w:r>
  </w:p>
  <w:p w14:paraId="58A1488E" w14:textId="1BB2C618" w:rsidR="004830EA" w:rsidRPr="00EF23D7" w:rsidRDefault="004830EA" w:rsidP="000C3874">
    <w:pPr>
      <w:pStyle w:val="Footer"/>
      <w:jc w:val="right"/>
      <w:rPr>
        <w:sz w:val="20"/>
        <w:szCs w:val="20"/>
      </w:rPr>
    </w:pPr>
    <w:r>
      <w:rPr>
        <w:noProof/>
        <w:sz w:val="20"/>
        <w:szCs w:val="20"/>
      </w:rPr>
      <mc:AlternateContent>
        <mc:Choice Requires="wps">
          <w:drawing>
            <wp:anchor distT="0" distB="0" distL="114300" distR="114300" simplePos="0" relativeHeight="251653120" behindDoc="0" locked="0" layoutInCell="0" allowOverlap="1" wp14:anchorId="02D5EE76" wp14:editId="5DE30FF0">
              <wp:simplePos x="0" y="0"/>
              <wp:positionH relativeFrom="column">
                <wp:posOffset>-45720</wp:posOffset>
              </wp:positionH>
              <wp:positionV relativeFrom="paragraph">
                <wp:posOffset>-66040</wp:posOffset>
              </wp:positionV>
              <wp:extent cx="5577840" cy="0"/>
              <wp:effectExtent l="11430" t="12700" r="11430" b="6350"/>
              <wp:wrapNone/>
              <wp:docPr id="4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7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F04F61" id="Line 9"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2pt" to="435.6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5JB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" o:allowincell="f"/>
          </w:pict>
        </mc:Fallback>
      </mc:AlternateContent>
    </w:r>
    <w:r w:rsidRPr="00322919">
      <w:rPr>
        <w:sz w:val="20"/>
        <w:szCs w:val="20"/>
      </w:rPr>
      <w:t>Appendix A-</w:t>
    </w:r>
    <w:r w:rsidRPr="00322919">
      <w:rPr>
        <w:rStyle w:val="PageNumber"/>
        <w:sz w:val="20"/>
        <w:szCs w:val="20"/>
      </w:rPr>
      <w:fldChar w:fldCharType="begin"/>
    </w:r>
    <w:r w:rsidRPr="00322919">
      <w:rPr>
        <w:rStyle w:val="PageNumber"/>
        <w:sz w:val="20"/>
        <w:szCs w:val="20"/>
      </w:rPr>
      <w:instrText xml:space="preserve"> PAGE </w:instrText>
    </w:r>
    <w:r w:rsidRPr="00322919">
      <w:rPr>
        <w:rStyle w:val="PageNumber"/>
        <w:sz w:val="20"/>
        <w:szCs w:val="20"/>
      </w:rPr>
      <w:fldChar w:fldCharType="separate"/>
    </w:r>
    <w:r w:rsidR="007A5D78">
      <w:rPr>
        <w:rStyle w:val="PageNumber"/>
        <w:noProof/>
        <w:sz w:val="20"/>
        <w:szCs w:val="20"/>
      </w:rPr>
      <w:t>12</w:t>
    </w:r>
    <w:r w:rsidRPr="00322919">
      <w:rPr>
        <w:rStyle w:val="PageNumber"/>
        <w:sz w:val="20"/>
        <w:szCs w:val="20"/>
      </w:rPr>
      <w:fldChar w:fldCharType="end"/>
    </w:r>
    <w:r w:rsidRPr="00322919">
      <w:rPr>
        <w:sz w:val="20"/>
        <w:szCs w:val="20"/>
      </w:rPr>
      <w:t xml:space="preserve"> </w:t>
    </w:r>
    <w:r w:rsidRPr="00322919">
      <w:rPr>
        <w:sz w:val="20"/>
        <w:szCs w:val="20"/>
      </w:rPr>
      <w:tab/>
    </w:r>
    <w:r w:rsidR="007A5D78" w:rsidRPr="004B5434">
      <w:rPr>
        <w:rFonts w:asciiTheme="minorHAnsi" w:hAnsiTheme="minorHAnsi"/>
        <w:sz w:val="20"/>
        <w:szCs w:val="20"/>
      </w:rPr>
      <w:t>October 8, 2018</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F3561" w14:textId="529C6D46" w:rsidR="004830EA" w:rsidRPr="00322919" w:rsidRDefault="004830EA" w:rsidP="00BF2D2F">
    <w:pPr>
      <w:pStyle w:val="Footer"/>
      <w:tabs>
        <w:tab w:val="clear" w:pos="4320"/>
        <w:tab w:val="clear" w:pos="8640"/>
        <w:tab w:val="center" w:pos="6480"/>
        <w:tab w:val="right" w:pos="12960"/>
      </w:tabs>
      <w:spacing w:after="0"/>
      <w:rPr>
        <w:sz w:val="20"/>
        <w:szCs w:val="20"/>
      </w:rPr>
    </w:pPr>
    <w:r>
      <w:rPr>
        <w:noProof/>
        <w:sz w:val="16"/>
      </w:rPr>
      <mc:AlternateContent>
        <mc:Choice Requires="wps">
          <w:drawing>
            <wp:anchor distT="0" distB="0" distL="114300" distR="114300" simplePos="0" relativeHeight="251681792" behindDoc="0" locked="0" layoutInCell="1" allowOverlap="1" wp14:anchorId="34D07479" wp14:editId="6BCA1331">
              <wp:simplePos x="0" y="0"/>
              <wp:positionH relativeFrom="column">
                <wp:posOffset>0</wp:posOffset>
              </wp:positionH>
              <wp:positionV relativeFrom="paragraph">
                <wp:posOffset>-128905</wp:posOffset>
              </wp:positionV>
              <wp:extent cx="8239125" cy="0"/>
              <wp:effectExtent l="9525" t="8890" r="9525" b="10160"/>
              <wp:wrapNone/>
              <wp:docPr id="23"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39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6F73F20" id="_x0000_t32" coordsize="21600,21600" o:spt="32" o:oned="t" path="m,l21600,21600e" filled="f">
              <v:path arrowok="t" fillok="f" o:connecttype="none"/>
              <o:lock v:ext="edit" shapetype="t"/>
            </v:shapetype>
            <v:shape id="AutoShape 41" o:spid="_x0000_s1026" type="#_x0000_t32" style="position:absolute;margin-left:0;margin-top:-10.15pt;width:648.7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"/>
          </w:pict>
        </mc:Fallback>
      </mc:AlternateContent>
    </w:r>
    <w:r>
      <w:rPr>
        <w:sz w:val="16"/>
      </w:rPr>
      <w:tab/>
    </w:r>
    <w:r w:rsidRPr="00322919">
      <w:rPr>
        <w:sz w:val="20"/>
        <w:szCs w:val="20"/>
      </w:rPr>
      <w:t>Appendix A-</w:t>
    </w:r>
    <w:r w:rsidRPr="00322919">
      <w:rPr>
        <w:rStyle w:val="PageNumber"/>
        <w:sz w:val="20"/>
        <w:szCs w:val="20"/>
      </w:rPr>
      <w:fldChar w:fldCharType="begin"/>
    </w:r>
    <w:r w:rsidRPr="00322919">
      <w:rPr>
        <w:rStyle w:val="PageNumber"/>
        <w:sz w:val="20"/>
        <w:szCs w:val="20"/>
      </w:rPr>
      <w:instrText xml:space="preserve"> PAGE </w:instrText>
    </w:r>
    <w:r w:rsidRPr="00322919">
      <w:rPr>
        <w:rStyle w:val="PageNumber"/>
        <w:sz w:val="20"/>
        <w:szCs w:val="20"/>
      </w:rPr>
      <w:fldChar w:fldCharType="separate"/>
    </w:r>
    <w:r w:rsidR="007A5D78">
      <w:rPr>
        <w:rStyle w:val="PageNumber"/>
        <w:noProof/>
        <w:sz w:val="20"/>
        <w:szCs w:val="20"/>
      </w:rPr>
      <w:t>14</w:t>
    </w:r>
    <w:r w:rsidRPr="00322919">
      <w:rPr>
        <w:rStyle w:val="PageNumber"/>
        <w:sz w:val="20"/>
        <w:szCs w:val="20"/>
      </w:rPr>
      <w:fldChar w:fldCharType="end"/>
    </w:r>
    <w:r w:rsidRPr="00322919">
      <w:rPr>
        <w:sz w:val="20"/>
        <w:szCs w:val="20"/>
      </w:rPr>
      <w:t xml:space="preserve"> </w:t>
    </w:r>
    <w:r w:rsidRPr="00322919">
      <w:rPr>
        <w:sz w:val="20"/>
        <w:szCs w:val="20"/>
      </w:rPr>
      <w:tab/>
    </w:r>
    <w:r w:rsidR="007A5D78" w:rsidRPr="004B5434">
      <w:rPr>
        <w:rFonts w:asciiTheme="minorHAnsi" w:hAnsiTheme="minorHAnsi"/>
        <w:sz w:val="20"/>
        <w:szCs w:val="20"/>
      </w:rPr>
      <w:t>October 8, 2018</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EDD32" w14:textId="153F3ED2" w:rsidR="004830EA" w:rsidRPr="00322919" w:rsidRDefault="004830EA" w:rsidP="00A97DCA">
    <w:pPr>
      <w:pStyle w:val="Footer"/>
      <w:pBdr>
        <w:top w:val="single" w:sz="4" w:space="1" w:color="auto"/>
      </w:pBdr>
      <w:rPr>
        <w:sz w:val="20"/>
        <w:szCs w:val="20"/>
      </w:rPr>
    </w:pPr>
    <w:r>
      <w:rPr>
        <w:sz w:val="16"/>
      </w:rPr>
      <w:tab/>
    </w:r>
    <w:r w:rsidRPr="00322919">
      <w:rPr>
        <w:sz w:val="20"/>
        <w:szCs w:val="20"/>
      </w:rPr>
      <w:t>Appendix A-</w:t>
    </w:r>
    <w:r w:rsidRPr="00322919">
      <w:rPr>
        <w:rStyle w:val="PageNumber"/>
        <w:sz w:val="20"/>
        <w:szCs w:val="20"/>
      </w:rPr>
      <w:fldChar w:fldCharType="begin"/>
    </w:r>
    <w:r w:rsidRPr="00322919">
      <w:rPr>
        <w:rStyle w:val="PageNumber"/>
        <w:sz w:val="20"/>
        <w:szCs w:val="20"/>
      </w:rPr>
      <w:instrText xml:space="preserve"> PAGE </w:instrText>
    </w:r>
    <w:r w:rsidRPr="00322919">
      <w:rPr>
        <w:rStyle w:val="PageNumber"/>
        <w:sz w:val="20"/>
        <w:szCs w:val="20"/>
      </w:rPr>
      <w:fldChar w:fldCharType="separate"/>
    </w:r>
    <w:r w:rsidR="007A5D78">
      <w:rPr>
        <w:rStyle w:val="PageNumber"/>
        <w:noProof/>
        <w:sz w:val="20"/>
        <w:szCs w:val="20"/>
      </w:rPr>
      <w:t>20</w:t>
    </w:r>
    <w:r w:rsidRPr="00322919">
      <w:rPr>
        <w:rStyle w:val="PageNumber"/>
        <w:sz w:val="20"/>
        <w:szCs w:val="20"/>
      </w:rPr>
      <w:fldChar w:fldCharType="end"/>
    </w:r>
    <w:r w:rsidRPr="00322919">
      <w:rPr>
        <w:sz w:val="20"/>
        <w:szCs w:val="20"/>
      </w:rPr>
      <w:t xml:space="preserve"> </w:t>
    </w:r>
    <w:r w:rsidRPr="00322919">
      <w:rPr>
        <w:sz w:val="20"/>
        <w:szCs w:val="20"/>
      </w:rPr>
      <w:tab/>
    </w:r>
    <w:r w:rsidR="007A5D78" w:rsidRPr="004B5434">
      <w:rPr>
        <w:rFonts w:asciiTheme="minorHAnsi" w:hAnsiTheme="minorHAnsi"/>
        <w:sz w:val="20"/>
        <w:szCs w:val="20"/>
      </w:rPr>
      <w:t>October 8,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2B5BDD" w14:textId="77777777" w:rsidR="0052157A" w:rsidRDefault="0052157A" w:rsidP="002671EA">
      <w:pPr>
        <w:spacing w:after="0"/>
      </w:pPr>
      <w:r>
        <w:separator/>
      </w:r>
    </w:p>
  </w:footnote>
  <w:footnote w:type="continuationSeparator" w:id="0">
    <w:p w14:paraId="2A3F4851" w14:textId="77777777" w:rsidR="0052157A" w:rsidRDefault="0052157A">
      <w:r>
        <w:continuationSeparator/>
      </w:r>
    </w:p>
  </w:footnote>
  <w:footnote w:id="1">
    <w:p w14:paraId="2E9B8F3F" w14:textId="77777777" w:rsidR="004830EA" w:rsidRDefault="004830EA" w:rsidP="00196955">
      <w:pPr>
        <w:pStyle w:val="FootnoteText"/>
        <w:ind w:left="270" w:hanging="270"/>
      </w:pPr>
      <w:r>
        <w:rPr>
          <w:rStyle w:val="FootnoteReference"/>
        </w:rPr>
        <w:footnoteRef/>
      </w:r>
      <w:r>
        <w:t xml:space="preserve">  </w:t>
      </w:r>
      <w:r>
        <w:tab/>
        <w:t xml:space="preserve">All </w:t>
      </w:r>
      <w:r w:rsidRPr="00C42099">
        <w:t>Guideline</w:t>
      </w:r>
      <w:r>
        <w:t xml:space="preserve"> citations refer to the December 2016 version, published in Federal Register 82 FR 5182 on January 17, 2017, unless noted otherwise.  EPA has provided a courtesy copy of the </w:t>
      </w:r>
      <w:r w:rsidRPr="00C42099">
        <w:t>Guideline</w:t>
      </w:r>
      <w:r>
        <w:t xml:space="preserve"> on SCRAM at: </w:t>
      </w:r>
      <w:hyperlink r:id="rId1" w:history="1">
        <w:r w:rsidRPr="00EC4185">
          <w:rPr>
            <w:rStyle w:val="Hyperlink"/>
          </w:rPr>
          <w:t>https://www3.epa.gov/ttn/scram/appendix_w/2016/AppendixW_2017.pdf</w:t>
        </w:r>
      </w:hyperlink>
    </w:p>
  </w:footnote>
  <w:footnote w:id="2">
    <w:p w14:paraId="241A4149" w14:textId="37CE7782" w:rsidR="004830EA" w:rsidRDefault="004830EA" w:rsidP="00097E09">
      <w:pPr>
        <w:pStyle w:val="FootnoteText"/>
        <w:ind w:left="270" w:hanging="270"/>
      </w:pPr>
      <w:r>
        <w:rPr>
          <w:rStyle w:val="FootnoteReference"/>
        </w:rPr>
        <w:footnoteRef/>
      </w:r>
      <w:r>
        <w:t xml:space="preserve"> </w:t>
      </w:r>
      <w:r>
        <w:tab/>
        <w:t xml:space="preserve">As noted in Section 9.2.1(a) of the </w:t>
      </w:r>
      <w:r w:rsidRPr="00C42099">
        <w:t>Guideline</w:t>
      </w:r>
      <w:r>
        <w:t>, “… it is not intended that [the] protocol be a binding, formal legal document.  Changes in such a protocol or deviations from the protocol are often necessary as the data collection and analysis progresses.  However, the protocol establishes the common understanding of how the demonstration required to meet regulatory requirements will be made.”</w:t>
      </w:r>
    </w:p>
  </w:footnote>
  <w:footnote w:id="3">
    <w:p w14:paraId="057BC238" w14:textId="06CB8A9A" w:rsidR="004830EA" w:rsidRDefault="004830EA" w:rsidP="002831D9">
      <w:pPr>
        <w:pStyle w:val="FootnoteText"/>
        <w:ind w:left="270" w:hanging="270"/>
      </w:pPr>
      <w:r>
        <w:rPr>
          <w:rStyle w:val="FootnoteReference"/>
        </w:rPr>
        <w:footnoteRef/>
      </w:r>
      <w:r>
        <w:t xml:space="preserve"> </w:t>
      </w:r>
      <w:r>
        <w:tab/>
        <w:t xml:space="preserve">A “project impact analysis” is called a “single-source impact analysis” in Section 9.2.3 of the </w:t>
      </w:r>
      <w:r w:rsidRPr="00C42099">
        <w:t>Guideline</w:t>
      </w:r>
      <w:r>
        <w:t>.</w:t>
      </w:r>
    </w:p>
  </w:footnote>
  <w:footnote w:id="4">
    <w:p w14:paraId="43C5387B" w14:textId="042BCBBB" w:rsidR="004830EA" w:rsidRDefault="004830EA" w:rsidP="00196955">
      <w:pPr>
        <w:pStyle w:val="FootnoteText"/>
        <w:ind w:left="270" w:hanging="270"/>
      </w:pPr>
      <w:r>
        <w:rPr>
          <w:rStyle w:val="FootnoteReference"/>
        </w:rPr>
        <w:footnoteRef/>
      </w:r>
      <w:r>
        <w:t xml:space="preserve"> </w:t>
      </w:r>
      <w:r>
        <w:tab/>
        <w:t xml:space="preserve">AERMOD does not currently check for spelling errors in the source IDs listed within a source group.  Therefore, you should check to make sure that modeled impacts were not inadvertently excluded from the reported results due to typographical errors.  The EUs selected for a given source group can typically be easily checked through the visual aids provided in a </w:t>
      </w:r>
      <w:proofErr w:type="gramStart"/>
      <w:r>
        <w:t>third party</w:t>
      </w:r>
      <w:proofErr w:type="gramEnd"/>
      <w:r>
        <w:t xml:space="preserve"> GUI.  </w:t>
      </w:r>
    </w:p>
  </w:footnote>
  <w:footnote w:id="5">
    <w:p w14:paraId="1E56AD1C" w14:textId="69E19B4D" w:rsidR="004830EA" w:rsidRDefault="004830EA" w:rsidP="002831D9">
      <w:pPr>
        <w:pStyle w:val="FootnoteText"/>
        <w:ind w:left="180" w:hanging="180"/>
      </w:pPr>
      <w:r>
        <w:rPr>
          <w:rStyle w:val="FootnoteReference"/>
        </w:rPr>
        <w:footnoteRef/>
      </w:r>
      <w:r>
        <w:t xml:space="preserve"> </w:t>
      </w:r>
      <w:r>
        <w:tab/>
        <w:t xml:space="preserve">Email from Jay McAlpine (R10) to Alan Schuler (ADEC); </w:t>
      </w:r>
      <w:r w:rsidRPr="00565C35">
        <w:rPr>
          <w:i/>
        </w:rPr>
        <w:t>minor NSR request response</w:t>
      </w:r>
      <w:r>
        <w:t xml:space="preserve">; March 28, 2017. </w:t>
      </w:r>
    </w:p>
  </w:footnote>
  <w:footnote w:id="6">
    <w:p w14:paraId="1153BF17" w14:textId="1C94677D" w:rsidR="004830EA" w:rsidRDefault="004830EA" w:rsidP="0055015E">
      <w:pPr>
        <w:pStyle w:val="FootnoteText"/>
        <w:ind w:left="270" w:hanging="270"/>
      </w:pPr>
      <w:r>
        <w:rPr>
          <w:rStyle w:val="FootnoteReference"/>
        </w:rPr>
        <w:footnoteRef/>
      </w:r>
      <w:r>
        <w:t xml:space="preserve"> </w:t>
      </w:r>
      <w:r>
        <w:tab/>
        <w:t xml:space="preserve">EPA Memorandum; </w:t>
      </w:r>
      <w:hyperlink r:id="rId2" w:history="1">
        <w:r w:rsidRPr="00602E23">
          <w:rPr>
            <w:rStyle w:val="Hyperlink"/>
            <w:i/>
          </w:rPr>
          <w:t>Additional Clarification Regarding Application of Appendix W Modeling Guidance for the 1-hour NO</w:t>
        </w:r>
        <w:r w:rsidRPr="00602E23">
          <w:rPr>
            <w:rStyle w:val="Hyperlink"/>
            <w:i/>
            <w:vertAlign w:val="subscript"/>
          </w:rPr>
          <w:t>2</w:t>
        </w:r>
        <w:r w:rsidRPr="00602E23">
          <w:rPr>
            <w:rStyle w:val="Hyperlink"/>
            <w:i/>
          </w:rPr>
          <w:t xml:space="preserve"> National Ambient Air Quality Standard</w:t>
        </w:r>
      </w:hyperlink>
      <w:r w:rsidRPr="00602E23">
        <w:t>, Tyler Fox</w:t>
      </w:r>
      <w:r>
        <w:t xml:space="preserve"> to Regional Air Division Directors</w:t>
      </w:r>
      <w:r w:rsidRPr="00602E23">
        <w:t>;</w:t>
      </w:r>
      <w:r>
        <w:t xml:space="preserve"> March 1, 2011.</w:t>
      </w:r>
    </w:p>
  </w:footnote>
  <w:footnote w:id="7">
    <w:p w14:paraId="7B488120" w14:textId="76EC8289" w:rsidR="004830EA" w:rsidRPr="00520A87" w:rsidRDefault="004830EA" w:rsidP="002831D9">
      <w:pPr>
        <w:spacing w:after="120"/>
        <w:ind w:left="270" w:hanging="270"/>
        <w:rPr>
          <w:snapToGrid w:val="0"/>
          <w:sz w:val="20"/>
          <w:szCs w:val="20"/>
        </w:rPr>
      </w:pPr>
      <w:r w:rsidRPr="009F36CE">
        <w:rPr>
          <w:rStyle w:val="FootnoteReference"/>
          <w:sz w:val="20"/>
          <w:szCs w:val="20"/>
        </w:rPr>
        <w:footnoteRef/>
      </w:r>
      <w:r>
        <w:t xml:space="preserve"> </w:t>
      </w:r>
      <w:r>
        <w:tab/>
      </w:r>
      <w:r>
        <w:rPr>
          <w:snapToGrid w:val="0"/>
          <w:sz w:val="20"/>
        </w:rPr>
        <w:t>S</w:t>
      </w:r>
      <w:r w:rsidRPr="00520A87">
        <w:rPr>
          <w:snapToGrid w:val="0"/>
          <w:sz w:val="20"/>
          <w:szCs w:val="20"/>
        </w:rPr>
        <w:t xml:space="preserve">ee </w:t>
      </w:r>
      <w:hyperlink r:id="rId3" w:history="1">
        <w:r w:rsidRPr="00520A87">
          <w:rPr>
            <w:rStyle w:val="Hyperlink"/>
            <w:sz w:val="20"/>
            <w:szCs w:val="20"/>
          </w:rPr>
          <w:t>http://dec.alaska.gov/air/air-permit/permit-regulations/</w:t>
        </w:r>
      </w:hyperlink>
      <w:r w:rsidRPr="00520A87">
        <w:rPr>
          <w:sz w:val="20"/>
          <w:szCs w:val="20"/>
        </w:rPr>
        <w:t xml:space="preserve">  </w:t>
      </w:r>
    </w:p>
  </w:footnote>
  <w:footnote w:id="8">
    <w:p w14:paraId="53E3CB1D" w14:textId="3B306A5D" w:rsidR="004830EA" w:rsidRPr="00C04EA3" w:rsidRDefault="004830EA" w:rsidP="002831D9">
      <w:pPr>
        <w:pStyle w:val="FootnoteText"/>
        <w:ind w:left="270" w:hanging="270"/>
      </w:pPr>
      <w:r>
        <w:rPr>
          <w:rStyle w:val="FootnoteReference"/>
        </w:rPr>
        <w:footnoteRef/>
      </w:r>
      <w:r>
        <w:t xml:space="preserve"> </w:t>
      </w:r>
      <w:r>
        <w:tab/>
        <w:t xml:space="preserve">A “project impact analysis” is called a “single-source impact analysis” in Section 9.2.3 of the </w:t>
      </w:r>
      <w:r w:rsidRPr="00C42099">
        <w:t>Guideline</w:t>
      </w:r>
      <w:r w:rsidRPr="00C04EA3">
        <w:t>.</w:t>
      </w:r>
    </w:p>
  </w:footnote>
  <w:footnote w:id="9">
    <w:p w14:paraId="278EB51E" w14:textId="4B6D3AD7" w:rsidR="004830EA" w:rsidRDefault="004830EA" w:rsidP="002831D9">
      <w:pPr>
        <w:pStyle w:val="FootnoteText"/>
        <w:ind w:left="270" w:hanging="270"/>
      </w:pPr>
      <w:r>
        <w:rPr>
          <w:rStyle w:val="FootnoteReference"/>
        </w:rPr>
        <w:footnoteRef/>
      </w:r>
      <w:r>
        <w:t xml:space="preserve"> </w:t>
      </w:r>
      <w:r>
        <w:tab/>
        <w:t>In January 2013, the District of Columbia Circuit Court of Appeals revoked the PM-2.5 SIL.  Regulatory changes may be forthcoming from EPA and/or ADEC.  Check EPA and ADEC websites periodically and before you begin a review to see if new regulations have been put in place.</w:t>
      </w:r>
    </w:p>
  </w:footnote>
  <w:footnote w:id="10">
    <w:p w14:paraId="78B81174" w14:textId="387727C4" w:rsidR="004830EA" w:rsidRDefault="004830EA" w:rsidP="002831D9">
      <w:pPr>
        <w:pStyle w:val="FootnoteText"/>
        <w:ind w:left="270" w:hanging="270"/>
      </w:pPr>
      <w:r>
        <w:rPr>
          <w:rStyle w:val="FootnoteReference"/>
        </w:rPr>
        <w:footnoteRef/>
      </w:r>
      <w:r>
        <w:t xml:space="preserve"> </w:t>
      </w:r>
      <w:r>
        <w:tab/>
      </w:r>
      <w:r w:rsidRPr="00D53E4B">
        <w:rPr>
          <w:i/>
        </w:rPr>
        <w:t>New Source Review Workshop Manual</w:t>
      </w:r>
      <w:r>
        <w:t xml:space="preserve">; Draft – October 1990. </w:t>
      </w:r>
    </w:p>
  </w:footnote>
  <w:footnote w:id="11">
    <w:p w14:paraId="76DD7527" w14:textId="7D008B8C" w:rsidR="004830EA" w:rsidRDefault="004830EA" w:rsidP="002831D9">
      <w:pPr>
        <w:pStyle w:val="FootnoteText"/>
        <w:ind w:left="270" w:hanging="270"/>
      </w:pPr>
      <w:r>
        <w:rPr>
          <w:rStyle w:val="FootnoteReference"/>
        </w:rPr>
        <w:footnoteRef/>
      </w:r>
      <w:r>
        <w:t xml:space="preserve"> </w:t>
      </w:r>
      <w:r>
        <w:tab/>
        <w:t xml:space="preserve">When Congress amended the Clean Air Act in 1977, the PM NAAQS were expressed in terms of Total Suspended Particulates (TSP).  </w:t>
      </w:r>
    </w:p>
  </w:footnote>
  <w:footnote w:id="12">
    <w:p w14:paraId="1FF96D58" w14:textId="7E3D16B6" w:rsidR="004830EA" w:rsidRDefault="004830EA" w:rsidP="002831D9">
      <w:pPr>
        <w:pStyle w:val="FootnoteText"/>
        <w:ind w:left="270" w:hanging="270"/>
      </w:pPr>
      <w:r>
        <w:rPr>
          <w:rStyle w:val="FootnoteReference"/>
        </w:rPr>
        <w:footnoteRef/>
      </w:r>
      <w:r>
        <w:t xml:space="preserve"> </w:t>
      </w:r>
      <w:r>
        <w:tab/>
        <w:t xml:space="preserve">The </w:t>
      </w:r>
      <w:r w:rsidRPr="00CA1045">
        <w:rPr>
          <w:szCs w:val="20"/>
        </w:rPr>
        <w:t>SO</w:t>
      </w:r>
      <w:r w:rsidRPr="00CA1045">
        <w:rPr>
          <w:szCs w:val="20"/>
          <w:vertAlign w:val="subscript"/>
        </w:rPr>
        <w:t>2</w:t>
      </w:r>
      <w:r>
        <w:t xml:space="preserve"> and PM increments established by Congress are listed Section 163 of the Clean Air Act.</w:t>
      </w:r>
    </w:p>
  </w:footnote>
  <w:footnote w:id="13">
    <w:p w14:paraId="595DE991" w14:textId="7F5232D7" w:rsidR="004830EA" w:rsidRDefault="004830EA" w:rsidP="002831D9">
      <w:pPr>
        <w:pStyle w:val="FootnoteText"/>
        <w:ind w:left="270" w:hanging="270"/>
      </w:pPr>
      <w:r>
        <w:rPr>
          <w:rStyle w:val="FootnoteReference"/>
        </w:rPr>
        <w:footnoteRef/>
      </w:r>
      <w:r>
        <w:t xml:space="preserve"> </w:t>
      </w:r>
      <w:r>
        <w:tab/>
        <w:t xml:space="preserve">AS 46.14.215 essentially incorporates a provision of the federal Title V permit program in 40 CFR 71.2, where the definition of “applicable requirement,” “means… (13) Any national ambient air quality standard or increment or visibility requirement under part C of title I of the [Clean Air Act], but only as it would apply to temporary sources permitted pursuant to section 504(e) of the [Clean Air Act].”  </w:t>
      </w:r>
    </w:p>
  </w:footnote>
  <w:footnote w:id="14">
    <w:p w14:paraId="31D7195E" w14:textId="5FC9C840" w:rsidR="004830EA" w:rsidRDefault="004830EA" w:rsidP="002831D9">
      <w:pPr>
        <w:pStyle w:val="FootnoteText"/>
        <w:ind w:left="270" w:hanging="270"/>
      </w:pPr>
      <w:r>
        <w:rPr>
          <w:rStyle w:val="FootnoteReference"/>
        </w:rPr>
        <w:footnoteRef/>
      </w:r>
      <w:r>
        <w:t xml:space="preserve"> </w:t>
      </w:r>
      <w:r>
        <w:tab/>
        <w:t xml:space="preserve">Congress allowed EPA to substitute particulate matter with an aerodynamic diameter of 10 microns or less (PM-10) for the PM increment provisions listed in the Clean Air Act as part of the 1990 Clean Air Act amendment.  EPA subsequently established the PM-2.5 increments through regulatory action. </w:t>
      </w:r>
    </w:p>
  </w:footnote>
  <w:footnote w:id="15">
    <w:p w14:paraId="2781985A" w14:textId="110AE56C" w:rsidR="004830EA" w:rsidRDefault="004830EA" w:rsidP="002831D9">
      <w:pPr>
        <w:pStyle w:val="FootnoteText"/>
        <w:ind w:left="270" w:hanging="270"/>
      </w:pPr>
      <w:r>
        <w:rPr>
          <w:rStyle w:val="FootnoteReference"/>
        </w:rPr>
        <w:footnoteRef/>
      </w:r>
      <w:r>
        <w:t xml:space="preserve"> </w:t>
      </w:r>
      <w:r>
        <w:tab/>
        <w:t xml:space="preserve">ADEC has also rescinded the annual PM-10 AAAQS in 18 AAC 50.010.  However, ADEC is unable to rescind the 24-hour </w:t>
      </w:r>
      <w:r w:rsidRPr="00E91523">
        <w:rPr>
          <w:sz w:val="24"/>
        </w:rPr>
        <w:t>SO</w:t>
      </w:r>
      <w:r w:rsidRPr="00E91523">
        <w:rPr>
          <w:sz w:val="24"/>
          <w:vertAlign w:val="subscript"/>
        </w:rPr>
        <w:t>2</w:t>
      </w:r>
      <w:r>
        <w:t xml:space="preserve"> and annual </w:t>
      </w:r>
      <w:r w:rsidRPr="00E91523">
        <w:rPr>
          <w:sz w:val="24"/>
        </w:rPr>
        <w:t>SO</w:t>
      </w:r>
      <w:r w:rsidRPr="00E91523">
        <w:rPr>
          <w:sz w:val="24"/>
          <w:vertAlign w:val="subscript"/>
        </w:rPr>
        <w:t>2</w:t>
      </w:r>
      <w:r>
        <w:t xml:space="preserve"> AAAQS until a year after EPA approves Alaska’s 1-hour </w:t>
      </w:r>
      <w:r w:rsidRPr="00A024AA">
        <w:rPr>
          <w:szCs w:val="20"/>
        </w:rPr>
        <w:t>SO</w:t>
      </w:r>
      <w:r w:rsidRPr="00A024AA">
        <w:rPr>
          <w:szCs w:val="20"/>
          <w:vertAlign w:val="subscript"/>
        </w:rPr>
        <w:t>2</w:t>
      </w:r>
      <w:r w:rsidRPr="00A024AA">
        <w:rPr>
          <w:szCs w:val="20"/>
        </w:rPr>
        <w:t xml:space="preserve"> </w:t>
      </w:r>
      <w:r>
        <w:t xml:space="preserve">SIP.  The 24-hour </w:t>
      </w:r>
      <w:r w:rsidRPr="00E91523">
        <w:rPr>
          <w:sz w:val="24"/>
        </w:rPr>
        <w:t>SO</w:t>
      </w:r>
      <w:r w:rsidRPr="00E91523">
        <w:rPr>
          <w:sz w:val="24"/>
          <w:vertAlign w:val="subscript"/>
        </w:rPr>
        <w:t>2</w:t>
      </w:r>
      <w:r>
        <w:t xml:space="preserve"> and annual </w:t>
      </w:r>
      <w:r w:rsidRPr="00E91523">
        <w:rPr>
          <w:sz w:val="24"/>
        </w:rPr>
        <w:t>SO</w:t>
      </w:r>
      <w:r w:rsidRPr="00E91523">
        <w:rPr>
          <w:sz w:val="24"/>
          <w:vertAlign w:val="subscript"/>
        </w:rPr>
        <w:t>2</w:t>
      </w:r>
      <w:r>
        <w:t xml:space="preserve"> AAAQS therefore remain effective, even though there </w:t>
      </w:r>
      <w:proofErr w:type="gramStart"/>
      <w:r>
        <w:t>is</w:t>
      </w:r>
      <w:proofErr w:type="gramEnd"/>
      <w:r>
        <w:t xml:space="preserve"> no equivalent federal air quality standards.   </w:t>
      </w:r>
    </w:p>
  </w:footnote>
  <w:footnote w:id="16">
    <w:p w14:paraId="50F259DE" w14:textId="5AD82A7E" w:rsidR="004830EA" w:rsidRDefault="004830EA" w:rsidP="002831D9">
      <w:pPr>
        <w:pStyle w:val="FootnoteText"/>
        <w:ind w:left="270" w:hanging="270"/>
      </w:pPr>
      <w:r>
        <w:rPr>
          <w:rStyle w:val="FootnoteReference"/>
        </w:rPr>
        <w:footnoteRef/>
      </w:r>
      <w:r>
        <w:t xml:space="preserve"> </w:t>
      </w:r>
      <w:r>
        <w:tab/>
        <w:t xml:space="preserve">EPA has issued </w:t>
      </w:r>
      <w:proofErr w:type="gramStart"/>
      <w:r>
        <w:t>a number of</w:t>
      </w:r>
      <w:proofErr w:type="gramEnd"/>
      <w:r>
        <w:t xml:space="preserve"> guidance documents over the past few decades that reference the 100 km notification range.  EPA summarized this long-standing policy in a January 11, </w:t>
      </w:r>
      <w:proofErr w:type="gramStart"/>
      <w:r>
        <w:t>2017</w:t>
      </w:r>
      <w:proofErr w:type="gramEnd"/>
      <w:r>
        <w:t xml:space="preserve"> letter from Anna Marie Wood (Director, Air Quality Policy Division) to Carol McCoy (Chief, Air Resources Division of the National Park Service). </w:t>
      </w:r>
    </w:p>
  </w:footnote>
  <w:footnote w:id="17">
    <w:p w14:paraId="351C9889" w14:textId="77777777" w:rsidR="004830EA" w:rsidRDefault="004830EA" w:rsidP="00A82641">
      <w:pPr>
        <w:pStyle w:val="FootnoteText"/>
        <w:ind w:left="270" w:hanging="270"/>
      </w:pPr>
      <w:r>
        <w:rPr>
          <w:rStyle w:val="FootnoteReference"/>
        </w:rPr>
        <w:footnoteRef/>
      </w:r>
      <w:r>
        <w:t xml:space="preserve"> </w:t>
      </w:r>
      <w:r>
        <w:tab/>
      </w:r>
      <w:r w:rsidRPr="006E281D">
        <w:rPr>
          <w:color w:val="000000"/>
        </w:rPr>
        <w:t>Annual emissions in this context are the combined emissions of SO</w:t>
      </w:r>
      <w:r w:rsidRPr="006E281D">
        <w:rPr>
          <w:color w:val="000000"/>
          <w:vertAlign w:val="subscript"/>
        </w:rPr>
        <w:t>2</w:t>
      </w:r>
      <w:r w:rsidRPr="006E281D">
        <w:rPr>
          <w:color w:val="000000"/>
        </w:rPr>
        <w:t>, NO</w:t>
      </w:r>
      <w:r>
        <w:rPr>
          <w:color w:val="000000"/>
        </w:rPr>
        <w:t>x</w:t>
      </w:r>
      <w:r w:rsidRPr="006E281D">
        <w:rPr>
          <w:color w:val="000000"/>
        </w:rPr>
        <w:t>, PM-10 and H</w:t>
      </w:r>
      <w:r w:rsidRPr="006E281D">
        <w:rPr>
          <w:color w:val="000000"/>
          <w:vertAlign w:val="subscript"/>
        </w:rPr>
        <w:t>2</w:t>
      </w:r>
      <w:r w:rsidRPr="006E281D">
        <w:rPr>
          <w:color w:val="000000"/>
        </w:rPr>
        <w:t>SO</w:t>
      </w:r>
      <w:r w:rsidRPr="006E281D">
        <w:rPr>
          <w:color w:val="000000"/>
          <w:vertAlign w:val="subscript"/>
        </w:rPr>
        <w:t>4</w:t>
      </w:r>
      <w:r w:rsidRPr="006E281D">
        <w:rPr>
          <w:color w:val="000000"/>
        </w:rPr>
        <w:t xml:space="preserve"> in tons per</w:t>
      </w:r>
      <w:r>
        <w:rPr>
          <w:color w:val="000000"/>
        </w:rPr>
        <w:t xml:space="preserve"> </w:t>
      </w:r>
      <w:r w:rsidRPr="006E281D">
        <w:rPr>
          <w:color w:val="000000"/>
        </w:rPr>
        <w:t>year, based on the 24-hour maximum allowable emissions, and distance is expressed in kilometers.</w:t>
      </w:r>
    </w:p>
  </w:footnote>
  <w:footnote w:id="18">
    <w:p w14:paraId="31C1F2E3" w14:textId="42014032" w:rsidR="004830EA" w:rsidRDefault="004830EA" w:rsidP="002831D9">
      <w:pPr>
        <w:pStyle w:val="FootnoteText"/>
        <w:ind w:left="270" w:hanging="270"/>
      </w:pPr>
      <w:r>
        <w:rPr>
          <w:rStyle w:val="FootnoteReference"/>
        </w:rPr>
        <w:footnoteRef/>
      </w:r>
      <w:r>
        <w:t xml:space="preserve"> </w:t>
      </w:r>
      <w:r>
        <w:tab/>
      </w:r>
      <w:r>
        <w:rPr>
          <w:snapToGrid w:val="0"/>
        </w:rPr>
        <w:t>Wind flows are disrupted by aerodynamic forces in the vicinity of buildings and other solid structures.  A “cavity” region is produced in the lee of the structure that has circulating eddies and a highly turbulent flow.  When pollutants are emitted from stacks located near this cavity region, the emissions can quickly be mixed down to ground level and result in high concentrations.  This effect is called “aerodynamic downwash”.</w:t>
      </w:r>
    </w:p>
  </w:footnote>
  <w:footnote w:id="19">
    <w:p w14:paraId="788FB891" w14:textId="380B16DA" w:rsidR="004830EA" w:rsidRDefault="004830EA" w:rsidP="002831D9">
      <w:pPr>
        <w:pStyle w:val="FootnoteText"/>
        <w:ind w:left="270" w:hanging="270"/>
      </w:pPr>
      <w:r>
        <w:rPr>
          <w:rStyle w:val="FootnoteReference"/>
        </w:rPr>
        <w:footnoteRef/>
      </w:r>
      <w:r>
        <w:t xml:space="preserve"> </w:t>
      </w:r>
      <w:r>
        <w:tab/>
        <w:t xml:space="preserve">DiCristofaro, D. and S. Hanna.  November 1989. </w:t>
      </w:r>
      <w:r w:rsidRPr="006A5BBB">
        <w:rPr>
          <w:i/>
        </w:rPr>
        <w:t>The Offshore Coastal Dispersion Model.  Volume 1: User’s Guide</w:t>
      </w:r>
      <w:r>
        <w:t>.  Report No. A085-1.  Prepared for Minerals Management Services, U.S. Dept. of the Interior. Herndon, VA</w:t>
      </w:r>
      <w:r w:rsidRPr="002D0AFD">
        <w:t xml:space="preserve"> </w:t>
      </w:r>
      <w:hyperlink r:id="rId4" w:history="1">
        <w:r w:rsidRPr="0051310B">
          <w:rPr>
            <w:rStyle w:val="Hyperlink"/>
          </w:rPr>
          <w:t>https://www3.epa.gov/ttn/scram/userg/regmod/ocdugsup.pd</w:t>
        </w:r>
        <w:r w:rsidRPr="00CE3864">
          <w:rPr>
            <w:rStyle w:val="Hyperlink"/>
          </w:rPr>
          <w:t>f</w:t>
        </w:r>
      </w:hyperlink>
      <w:r w:rsidDel="002D0AFD">
        <w:t xml:space="preserve"> </w:t>
      </w:r>
    </w:p>
  </w:footnote>
  <w:footnote w:id="20">
    <w:p w14:paraId="4B0E7E1D" w14:textId="0521314C" w:rsidR="004830EA" w:rsidRDefault="004830EA" w:rsidP="00B26967">
      <w:pPr>
        <w:pStyle w:val="FootnoteText"/>
        <w:ind w:left="270" w:hanging="270"/>
      </w:pPr>
      <w:r>
        <w:rPr>
          <w:rStyle w:val="FootnoteReference"/>
        </w:rPr>
        <w:footnoteRef/>
      </w:r>
      <w:r>
        <w:t xml:space="preserve"> </w:t>
      </w:r>
      <w:r>
        <w:tab/>
        <w:t xml:space="preserve">Additional revisions to AERMOD, such as algorithms for shoreline fumigation and elevated platform downwash, would likely be needed before EPA could replace OCD with AERMOD. </w:t>
      </w:r>
    </w:p>
  </w:footnote>
  <w:footnote w:id="21">
    <w:p w14:paraId="70B8922D" w14:textId="49009577" w:rsidR="004830EA" w:rsidRDefault="004830EA" w:rsidP="00191D7D">
      <w:pPr>
        <w:pStyle w:val="FootnoteText"/>
        <w:ind w:left="270" w:hanging="270"/>
      </w:pPr>
      <w:r>
        <w:rPr>
          <w:rStyle w:val="FootnoteReference"/>
        </w:rPr>
        <w:footnoteRef/>
      </w:r>
      <w:r>
        <w:t xml:space="preserve"> </w:t>
      </w:r>
      <w:r>
        <w:tab/>
        <w:t xml:space="preserve">R10 has already allowed the use of AERMOD-AERCOARE as an alternative modeling technique for a permit applicant:  Shell Offshore Incorporated (SOI).  SOI requested permission to use AERMOD-AERCOARE for a drilling/exploration project in the Beaufort and Chukchi Seas.  R10’s April 1, 2011 approval, and the subsequent May 6, 2011 concurrence from the EPA Model Clearinghouse, may be found on the Juneau network at: </w:t>
      </w:r>
      <w:hyperlink r:id="rId5" w:history="1">
        <w:r w:rsidRPr="006076BE">
          <w:rPr>
            <w:rStyle w:val="Hyperlink"/>
          </w:rPr>
          <w:t>\\jn-svrfile\groups\AQ\PERMITS\Modeling\Documents\AERMOD-COARE</w:t>
        </w:r>
      </w:hyperlink>
      <w:r>
        <w:t>.</w:t>
      </w:r>
    </w:p>
  </w:footnote>
  <w:footnote w:id="22">
    <w:p w14:paraId="3CA8852B" w14:textId="6B3237F4" w:rsidR="004830EA" w:rsidRDefault="004830EA" w:rsidP="00191D7D">
      <w:pPr>
        <w:pStyle w:val="FootnoteText"/>
        <w:ind w:left="270" w:hanging="270"/>
      </w:pPr>
      <w:r>
        <w:rPr>
          <w:rStyle w:val="FootnoteReference"/>
        </w:rPr>
        <w:footnoteRef/>
      </w:r>
      <w:r>
        <w:t xml:space="preserve"> </w:t>
      </w:r>
      <w:r>
        <w:tab/>
      </w:r>
      <w:r>
        <w:rPr>
          <w:snapToGrid w:val="0"/>
        </w:rPr>
        <w:t xml:space="preserve">See </w:t>
      </w:r>
      <w:r w:rsidRPr="004C7B6B">
        <w:rPr>
          <w:i/>
        </w:rPr>
        <w:t xml:space="preserve">Workbook </w:t>
      </w:r>
      <w:proofErr w:type="gramStart"/>
      <w:r>
        <w:rPr>
          <w:i/>
        </w:rPr>
        <w:t>F</w:t>
      </w:r>
      <w:r w:rsidRPr="004C7B6B">
        <w:rPr>
          <w:i/>
        </w:rPr>
        <w:t>or</w:t>
      </w:r>
      <w:proofErr w:type="gramEnd"/>
      <w:r w:rsidRPr="004C7B6B">
        <w:rPr>
          <w:i/>
        </w:rPr>
        <w:t xml:space="preserve"> Plume Visual Impact Screening and Analysis (Revised)</w:t>
      </w:r>
      <w:r w:rsidRPr="00191D7D">
        <w:t xml:space="preserve">; </w:t>
      </w:r>
      <w:r>
        <w:t xml:space="preserve">EPA-454/R-92-023; October 1992 at </w:t>
      </w:r>
      <w:r w:rsidRPr="00191D7D">
        <w:rPr>
          <w:rStyle w:val="Hyperlink"/>
        </w:rPr>
        <w:t>https://www3.epa.gov/ttn/scram/userg/screen/WB4PlumeVisualOCR.pdf</w:t>
      </w:r>
      <w:r>
        <w:rPr>
          <w:rStyle w:val="Hyperlink"/>
        </w:rPr>
        <w:t>.</w:t>
      </w:r>
    </w:p>
  </w:footnote>
  <w:footnote w:id="23">
    <w:p w14:paraId="49E85C6E" w14:textId="7678F315" w:rsidR="004830EA" w:rsidRDefault="004830EA" w:rsidP="00191D7D">
      <w:pPr>
        <w:pStyle w:val="FootnoteText"/>
        <w:ind w:left="270" w:hanging="270"/>
      </w:pPr>
      <w:r>
        <w:rPr>
          <w:rStyle w:val="FootnoteReference"/>
        </w:rPr>
        <w:footnoteRef/>
      </w:r>
      <w:r>
        <w:t xml:space="preserve"> </w:t>
      </w:r>
      <w:r>
        <w:tab/>
        <w:t xml:space="preserve">EPA listed CALPUFF as a preferred model for long-range transport in the October 2005 version of the </w:t>
      </w:r>
      <w:r w:rsidRPr="00C42099">
        <w:t>Guideline</w:t>
      </w:r>
      <w:r>
        <w:t xml:space="preserve">.  EPA changed the status from “preferred” to “screening technique” in the December 2016 version.  While this change means it may be less likely for an applicant to use CALPUFF to estimate their long-range impacts, ADEC left much of the previously developed CALPUFF discussion/references in the manual since it could still be helpful for those situations where CALPUFF is used. </w:t>
      </w:r>
    </w:p>
  </w:footnote>
  <w:footnote w:id="24">
    <w:p w14:paraId="11294A8C" w14:textId="7FF4F07B" w:rsidR="004830EA" w:rsidRDefault="004830EA" w:rsidP="00B731A7">
      <w:pPr>
        <w:pStyle w:val="FootnoteText"/>
        <w:ind w:left="270" w:hanging="270"/>
      </w:pPr>
      <w:r>
        <w:rPr>
          <w:rStyle w:val="FootnoteReference"/>
        </w:rPr>
        <w:footnoteRef/>
      </w:r>
      <w:r>
        <w:t xml:space="preserve"> </w:t>
      </w:r>
      <w:r>
        <w:tab/>
        <w:t>Check the “</w:t>
      </w:r>
      <w:proofErr w:type="spellStart"/>
      <w:r>
        <w:t>AirFacs</w:t>
      </w:r>
      <w:proofErr w:type="spellEnd"/>
      <w:r>
        <w:t>” directory on the Juneau server to see if there was a “pre-application” folder created for this project that may contain additional information of which you may need to be aware.</w:t>
      </w:r>
    </w:p>
  </w:footnote>
  <w:footnote w:id="25">
    <w:p w14:paraId="7D57F7C0" w14:textId="4DB269F1" w:rsidR="004830EA" w:rsidRDefault="004830EA" w:rsidP="00B731A7">
      <w:pPr>
        <w:pStyle w:val="FootnoteText"/>
        <w:ind w:left="270" w:hanging="270"/>
      </w:pPr>
      <w:r>
        <w:rPr>
          <w:rStyle w:val="FootnoteReference"/>
        </w:rPr>
        <w:footnoteRef/>
      </w:r>
      <w:r>
        <w:t xml:space="preserve"> </w:t>
      </w:r>
      <w:r>
        <w:tab/>
        <w:t xml:space="preserve">As discussed in Section 1, the checklists are available on the Juneau server at: </w:t>
      </w:r>
      <w:hyperlink r:id="rId6" w:history="1">
        <w:hyperlink r:id="rId7" w:history="1">
          <w:r>
            <w:rPr>
              <w:rStyle w:val="Hyperlink"/>
            </w:rPr>
            <w:t>G:\AQ\PERMITS\Modeling\Documents\Internal Review Procedures\Review Checklists</w:t>
          </w:r>
        </w:hyperlink>
        <w:r w:rsidRPr="00A87FF7">
          <w:rPr>
            <w:rStyle w:val="Hyperlink"/>
          </w:rPr>
          <w:t>.</w:t>
        </w:r>
      </w:hyperlink>
    </w:p>
  </w:footnote>
  <w:footnote w:id="26">
    <w:p w14:paraId="03CDD327" w14:textId="30FC8AFA" w:rsidR="004830EA" w:rsidRDefault="004830EA" w:rsidP="00213CF3">
      <w:pPr>
        <w:pStyle w:val="FootnoteText"/>
        <w:ind w:left="270" w:hanging="270"/>
      </w:pPr>
      <w:r>
        <w:rPr>
          <w:rStyle w:val="FootnoteReference"/>
        </w:rPr>
        <w:footnoteRef/>
      </w:r>
      <w:r>
        <w:t xml:space="preserve"> </w:t>
      </w:r>
      <w:r>
        <w:tab/>
        <w:t xml:space="preserve">Past projects may have relied on USGS Digital Elevation Model (DEM) terrain data. DEM data is no longer supported by the USGS and may not be as accurate as the newer NED data. </w:t>
      </w:r>
    </w:p>
  </w:footnote>
  <w:footnote w:id="27">
    <w:p w14:paraId="20B2CADE" w14:textId="66A2B0AA" w:rsidR="004830EA" w:rsidRDefault="004830EA" w:rsidP="00213CF3">
      <w:pPr>
        <w:pStyle w:val="FootnoteText"/>
        <w:ind w:left="270" w:hanging="270"/>
      </w:pPr>
      <w:r>
        <w:rPr>
          <w:rStyle w:val="FootnoteReference"/>
        </w:rPr>
        <w:footnoteRef/>
      </w:r>
      <w:r>
        <w:t xml:space="preserve"> </w:t>
      </w:r>
      <w:r>
        <w:tab/>
        <w:t xml:space="preserve">Land use information may be available at: </w:t>
      </w:r>
      <w:hyperlink r:id="rId8" w:history="1">
        <w:r w:rsidRPr="00B41B02">
          <w:rPr>
            <w:rStyle w:val="Hyperlink"/>
          </w:rPr>
          <w:t>http://eros.usgs.gov</w:t>
        </w:r>
      </w:hyperlink>
      <w:r>
        <w:t>.</w:t>
      </w:r>
    </w:p>
  </w:footnote>
  <w:footnote w:id="28">
    <w:p w14:paraId="2EAFD3F4" w14:textId="5044478A" w:rsidR="004830EA" w:rsidRDefault="004830EA" w:rsidP="00213CF3">
      <w:pPr>
        <w:pStyle w:val="FootnoteText"/>
        <w:ind w:left="270" w:hanging="270"/>
      </w:pPr>
      <w:r>
        <w:rPr>
          <w:rStyle w:val="FootnoteReference"/>
        </w:rPr>
        <w:footnoteRef/>
      </w:r>
      <w:r>
        <w:t xml:space="preserve"> </w:t>
      </w:r>
      <w:r>
        <w:tab/>
        <w:t xml:space="preserve">The term “ambient air” is defined in </w:t>
      </w:r>
      <w:hyperlink r:id="rId9" w:history="1">
        <w:r w:rsidRPr="00543CE6">
          <w:rPr>
            <w:rStyle w:val="Hyperlink"/>
          </w:rPr>
          <w:t>40 CFR 50.1</w:t>
        </w:r>
      </w:hyperlink>
      <w:r>
        <w:t>, which the Alaska Legislature adopted by reference in AS</w:t>
      </w:r>
      <w:r w:rsidRPr="008E3429">
        <w:t> </w:t>
      </w:r>
      <w:r>
        <w:t>46.14.90(2).</w:t>
      </w:r>
    </w:p>
  </w:footnote>
  <w:footnote w:id="29">
    <w:p w14:paraId="5CE9B2CB" w14:textId="0856AB22" w:rsidR="004830EA" w:rsidRDefault="004830EA" w:rsidP="00213CF3">
      <w:pPr>
        <w:pStyle w:val="FootnoteText"/>
        <w:ind w:left="180"/>
      </w:pPr>
      <w:r>
        <w:rPr>
          <w:rStyle w:val="FootnoteReference"/>
        </w:rPr>
        <w:footnoteRef/>
      </w:r>
      <w:r>
        <w:t xml:space="preserve"> Pre-construction monitoring could also be required for non-criteria pollutants – see 40 CFR 52.21(m)(ii). </w:t>
      </w:r>
    </w:p>
  </w:footnote>
  <w:footnote w:id="30">
    <w:p w14:paraId="52EF798A" w14:textId="36D576BD" w:rsidR="004830EA" w:rsidRDefault="004830EA" w:rsidP="00326D14">
      <w:pPr>
        <w:pStyle w:val="FootnoteText"/>
        <w:ind w:left="270" w:hanging="270"/>
      </w:pPr>
      <w:r>
        <w:rPr>
          <w:rStyle w:val="FootnoteReference"/>
        </w:rPr>
        <w:footnoteRef/>
      </w:r>
      <w:r>
        <w:t xml:space="preserve"> </w:t>
      </w:r>
      <w:r>
        <w:tab/>
        <w:t xml:space="preserve">QAPP and data reviews may someday be tracked through the AirTools database. </w:t>
      </w:r>
    </w:p>
  </w:footnote>
  <w:footnote w:id="31">
    <w:p w14:paraId="48167BFF" w14:textId="0F44DAAA" w:rsidR="004830EA" w:rsidRDefault="004830EA" w:rsidP="00326D14">
      <w:pPr>
        <w:pStyle w:val="FootnoteText"/>
        <w:ind w:left="270" w:hanging="270"/>
      </w:pPr>
      <w:r>
        <w:rPr>
          <w:rStyle w:val="FootnoteReference"/>
        </w:rPr>
        <w:footnoteRef/>
      </w:r>
      <w:r>
        <w:t xml:space="preserve"> </w:t>
      </w:r>
      <w:r>
        <w:tab/>
        <w:t>As previously discussed, applicants may not rely on modeling to avoid pre-construction PM-2.5 monitoring since the District of Columbia Circuit Court of Appeals vacated the PM-2.5 SMC.</w:t>
      </w:r>
    </w:p>
  </w:footnote>
  <w:footnote w:id="32">
    <w:p w14:paraId="0B82B5BE" w14:textId="63039B77" w:rsidR="004830EA" w:rsidRDefault="004830EA" w:rsidP="00326D14">
      <w:pPr>
        <w:pStyle w:val="FootnoteText"/>
        <w:ind w:left="270" w:hanging="270"/>
      </w:pPr>
      <w:r>
        <w:rPr>
          <w:rStyle w:val="FootnoteReference"/>
        </w:rPr>
        <w:footnoteRef/>
      </w:r>
      <w:r>
        <w:t xml:space="preserve"> </w:t>
      </w:r>
      <w:r>
        <w:tab/>
        <w:t xml:space="preserve">EPA periodically updates their </w:t>
      </w:r>
      <w:r w:rsidRPr="00AF2347">
        <w:rPr>
          <w:i/>
        </w:rPr>
        <w:t>AERMOD User’s Guide</w:t>
      </w:r>
      <w:r>
        <w:t>.  Therefore, check SCRAM (</w:t>
      </w:r>
      <w:hyperlink r:id="rId10" w:history="1">
        <w:r w:rsidRPr="00B33BF5">
          <w:rPr>
            <w:rStyle w:val="Hyperlink"/>
          </w:rPr>
          <w:t>https://www.epa.gov/scram</w:t>
        </w:r>
      </w:hyperlink>
      <w:r>
        <w:t xml:space="preserve">) for possible updates or addendums. </w:t>
      </w:r>
    </w:p>
  </w:footnote>
  <w:footnote w:id="33">
    <w:p w14:paraId="219FCFD0" w14:textId="4EA30F9E" w:rsidR="004830EA" w:rsidRDefault="004830EA" w:rsidP="00345F5E">
      <w:pPr>
        <w:pStyle w:val="FootnoteText"/>
        <w:ind w:left="270" w:hanging="270"/>
      </w:pPr>
      <w:r>
        <w:rPr>
          <w:rStyle w:val="FootnoteReference"/>
        </w:rPr>
        <w:footnoteRef/>
      </w:r>
      <w:r>
        <w:t xml:space="preserve"> </w:t>
      </w:r>
      <w:r>
        <w:tab/>
        <w:t>Auer., A.H.  1978.  Correlation of Land Use and Cover with Meteorological Anomalies.  J. of Applied Meteorology.  Volume 17, p. 6A-80 - 6A-87.</w:t>
      </w:r>
    </w:p>
  </w:footnote>
  <w:footnote w:id="34">
    <w:p w14:paraId="0AF420CD" w14:textId="609B0B9F" w:rsidR="004830EA" w:rsidRDefault="004830EA" w:rsidP="00345F5E">
      <w:pPr>
        <w:pStyle w:val="FootnoteText"/>
        <w:ind w:left="270" w:hanging="270"/>
      </w:pPr>
      <w:r>
        <w:rPr>
          <w:rStyle w:val="FootnoteReference"/>
        </w:rPr>
        <w:footnoteRef/>
      </w:r>
      <w:r>
        <w:t xml:space="preserve"> </w:t>
      </w:r>
      <w:r>
        <w:tab/>
        <w:t>The 24-hr and annual NAAQS for SO</w:t>
      </w:r>
      <w:r w:rsidRPr="00545D7B">
        <w:rPr>
          <w:vertAlign w:val="subscript"/>
        </w:rPr>
        <w:t>2</w:t>
      </w:r>
      <w:r>
        <w:t xml:space="preserve"> were revoked on June</w:t>
      </w:r>
      <w:r w:rsidRPr="00A022D7">
        <w:t> </w:t>
      </w:r>
      <w:r>
        <w:t>22, 2010 (</w:t>
      </w:r>
      <w:hyperlink r:id="rId11" w:history="1">
        <w:r w:rsidRPr="0025210F">
          <w:rPr>
            <w:rStyle w:val="Hyperlink"/>
          </w:rPr>
          <w:t>75 FR 35520</w:t>
        </w:r>
      </w:hyperlink>
      <w:r>
        <w:t>), with the final rule effective on August</w:t>
      </w:r>
      <w:r w:rsidRPr="00A022D7">
        <w:t> </w:t>
      </w:r>
      <w:r>
        <w:t xml:space="preserve">23, 2010.   However, the air quality standards remain applicable at the State level until a year after EPA approves the State’s 1-hour </w:t>
      </w:r>
      <w:r w:rsidRPr="00A024AA">
        <w:rPr>
          <w:szCs w:val="20"/>
        </w:rPr>
        <w:t>SO</w:t>
      </w:r>
      <w:r w:rsidRPr="00A024AA">
        <w:rPr>
          <w:szCs w:val="20"/>
          <w:vertAlign w:val="subscript"/>
        </w:rPr>
        <w:t>2</w:t>
      </w:r>
      <w:r w:rsidRPr="00A024AA">
        <w:rPr>
          <w:szCs w:val="20"/>
        </w:rPr>
        <w:t xml:space="preserve"> </w:t>
      </w:r>
      <w:r>
        <w:t xml:space="preserve">designations – which has not yet occurred.  The 24-hr and annual </w:t>
      </w:r>
      <w:r w:rsidRPr="00A024AA">
        <w:rPr>
          <w:szCs w:val="20"/>
        </w:rPr>
        <w:t>SO</w:t>
      </w:r>
      <w:r w:rsidRPr="00A024AA">
        <w:rPr>
          <w:szCs w:val="20"/>
          <w:vertAlign w:val="subscript"/>
        </w:rPr>
        <w:t>2</w:t>
      </w:r>
      <w:r w:rsidRPr="00A024AA">
        <w:rPr>
          <w:szCs w:val="20"/>
        </w:rPr>
        <w:t xml:space="preserve"> </w:t>
      </w:r>
      <w:r>
        <w:rPr>
          <w:szCs w:val="20"/>
        </w:rPr>
        <w:t>increments also remain in place at both the Federal and State level, even though the NAAQS have been revoked</w:t>
      </w:r>
      <w:r>
        <w:t>.</w:t>
      </w:r>
    </w:p>
  </w:footnote>
  <w:footnote w:id="35">
    <w:p w14:paraId="644D9E42" w14:textId="3FAFADDC" w:rsidR="004830EA" w:rsidRDefault="004830EA" w:rsidP="003D1599">
      <w:pPr>
        <w:pStyle w:val="FootnoteText"/>
        <w:ind w:left="270" w:hanging="270"/>
      </w:pPr>
      <w:r>
        <w:rPr>
          <w:rStyle w:val="FootnoteReference"/>
        </w:rPr>
        <w:footnoteRef/>
      </w:r>
      <w:r>
        <w:t xml:space="preserve"> </w:t>
      </w:r>
      <w:r>
        <w:tab/>
      </w:r>
      <w:hyperlink r:id="rId12" w:history="1">
        <w:r w:rsidRPr="00E8349D">
          <w:rPr>
            <w:rStyle w:val="Hyperlink"/>
            <w:i/>
            <w:snapToGrid w:val="0"/>
          </w:rPr>
          <w:t>AERSCREEN User’s Guide</w:t>
        </w:r>
      </w:hyperlink>
      <w:r>
        <w:rPr>
          <w:snapToGrid w:val="0"/>
        </w:rPr>
        <w:t xml:space="preserve">; </w:t>
      </w:r>
      <w:r>
        <w:rPr>
          <w:rFonts w:ascii="CG Times" w:hAnsi="CG Times"/>
          <w:spacing w:val="-3"/>
        </w:rPr>
        <w:t>EPA</w:t>
      </w:r>
      <w:r>
        <w:rPr>
          <w:rFonts w:ascii="CG Times" w:hAnsi="CG Times"/>
          <w:spacing w:val="-3"/>
        </w:rPr>
        <w:noBreakHyphen/>
        <w:t>454/B-16-004</w:t>
      </w:r>
      <w:r>
        <w:rPr>
          <w:snapToGrid w:val="0"/>
        </w:rPr>
        <w:t>;</w:t>
      </w:r>
      <w:r w:rsidRPr="00D57B84" w:rsidDel="00EA0C41">
        <w:rPr>
          <w:snapToGrid w:val="0"/>
        </w:rPr>
        <w:t xml:space="preserve"> </w:t>
      </w:r>
      <w:r>
        <w:rPr>
          <w:snapToGrid w:val="0"/>
        </w:rPr>
        <w:t xml:space="preserve">December 2016.  </w:t>
      </w:r>
    </w:p>
  </w:footnote>
  <w:footnote w:id="36">
    <w:p w14:paraId="246D9530" w14:textId="51AD999A" w:rsidR="004830EA" w:rsidRDefault="004830EA" w:rsidP="003D1599">
      <w:pPr>
        <w:pStyle w:val="FootnoteText"/>
        <w:ind w:left="270" w:hanging="270"/>
      </w:pPr>
      <w:r>
        <w:rPr>
          <w:rStyle w:val="FootnoteReference"/>
        </w:rPr>
        <w:footnoteRef/>
      </w:r>
      <w:r>
        <w:t xml:space="preserve"> </w:t>
      </w:r>
      <w:r>
        <w:tab/>
        <w:t xml:space="preserve">Source: </w:t>
      </w:r>
      <w:hyperlink r:id="rId13" w:history="1">
        <w:r w:rsidRPr="00D27E11">
          <w:rPr>
            <w:rStyle w:val="Hyperlink"/>
          </w:rPr>
          <w:t>http://rockyweb.cr.usgs.gov/outreach/gps/</w:t>
        </w:r>
      </w:hyperlink>
      <w:r>
        <w:t>, accessed on September 24, 2012.</w:t>
      </w:r>
    </w:p>
  </w:footnote>
  <w:footnote w:id="37">
    <w:p w14:paraId="71521756" w14:textId="782D08AF" w:rsidR="004830EA" w:rsidRDefault="004830EA" w:rsidP="00EA5AD7">
      <w:pPr>
        <w:pStyle w:val="FootnoteText"/>
        <w:ind w:left="270" w:hanging="270"/>
      </w:pPr>
      <w:r>
        <w:rPr>
          <w:rStyle w:val="FootnoteReference"/>
        </w:rPr>
        <w:footnoteRef/>
      </w:r>
      <w:r>
        <w:t xml:space="preserve"> </w:t>
      </w:r>
      <w:r>
        <w:tab/>
        <w:t xml:space="preserve">Prognostic meteorological data runs are currently conducted on a Unix/Linux platform, rather than a MS Windows operating system. The datasets are also extremely large. The datasets therefore require off-network storage. </w:t>
      </w:r>
    </w:p>
  </w:footnote>
  <w:footnote w:id="38">
    <w:p w14:paraId="574631C5" w14:textId="4183EEE8" w:rsidR="004830EA" w:rsidRDefault="004830EA" w:rsidP="007D0D18">
      <w:pPr>
        <w:pStyle w:val="FootnoteText"/>
        <w:spacing w:after="0"/>
        <w:ind w:left="270" w:hanging="270"/>
      </w:pPr>
      <w:r>
        <w:rPr>
          <w:rStyle w:val="FootnoteReference"/>
        </w:rPr>
        <w:footnoteRef/>
      </w:r>
      <w:r>
        <w:t xml:space="preserve"> </w:t>
      </w:r>
      <w:r>
        <w:tab/>
      </w:r>
      <w:r w:rsidRPr="00AD6F48">
        <w:rPr>
          <w:i/>
        </w:rPr>
        <w:t>Meteorological Monitoring Guidance for Regulatory Modeling Applications</w:t>
      </w:r>
      <w:r>
        <w:t>; EPA–454/R–99–005; February 2000. (</w:t>
      </w:r>
      <w:hyperlink r:id="rId14" w:history="1">
        <w:r w:rsidRPr="00D27E11">
          <w:rPr>
            <w:rStyle w:val="Hyperlink"/>
          </w:rPr>
          <w:t>https://www3.epa.gov/ttn/scram/guidance/met/mmgrma.pdf</w:t>
        </w:r>
      </w:hyperlink>
      <w:r>
        <w:t>).</w:t>
      </w:r>
    </w:p>
  </w:footnote>
  <w:footnote w:id="39">
    <w:p w14:paraId="18A3A97D" w14:textId="77777777" w:rsidR="004830EA" w:rsidRDefault="004830EA" w:rsidP="00D15C25">
      <w:pPr>
        <w:pStyle w:val="FootnoteText"/>
        <w:ind w:left="270" w:hanging="270"/>
      </w:pPr>
      <w:r>
        <w:rPr>
          <w:rStyle w:val="FootnoteReference"/>
        </w:rPr>
        <w:footnoteRef/>
      </w:r>
      <w:r>
        <w:t xml:space="preserve"> </w:t>
      </w:r>
      <w:r>
        <w:tab/>
        <w:t>The Washington Department of Ecology is in the process of reviewing the nation’s first request to use prognostic meteorological data for a near-field PSD modeling analysis, but the results of this review are still pending.</w:t>
      </w:r>
    </w:p>
  </w:footnote>
  <w:footnote w:id="40">
    <w:p w14:paraId="59A9EFE8" w14:textId="77777777" w:rsidR="004830EA" w:rsidRDefault="004830EA" w:rsidP="00D15C25">
      <w:pPr>
        <w:pStyle w:val="FootnoteText"/>
        <w:ind w:left="270" w:hanging="270"/>
      </w:pPr>
      <w:r>
        <w:rPr>
          <w:rStyle w:val="FootnoteReference"/>
        </w:rPr>
        <w:footnoteRef/>
      </w:r>
      <w:r>
        <w:t xml:space="preserve"> </w:t>
      </w:r>
      <w:r>
        <w:tab/>
        <w:t xml:space="preserve">The January 10, 2018 FAQ may be found at: </w:t>
      </w:r>
      <w:hyperlink r:id="rId15" w:history="1">
        <w:r w:rsidRPr="00115061">
          <w:rPr>
            <w:rStyle w:val="Hyperlink"/>
          </w:rPr>
          <w:t>http://dec.alaska.gov/media/8234/faq-re-2017-guideline-adoption-final.pdf</w:t>
        </w:r>
      </w:hyperlink>
      <w:r>
        <w:t xml:space="preserve"> </w:t>
      </w:r>
    </w:p>
  </w:footnote>
  <w:footnote w:id="41">
    <w:p w14:paraId="243D4AAD" w14:textId="1E9A42EB" w:rsidR="004830EA" w:rsidRDefault="004830EA" w:rsidP="00024726">
      <w:pPr>
        <w:pStyle w:val="FootnoteText"/>
        <w:ind w:left="270" w:hanging="270"/>
      </w:pPr>
      <w:r>
        <w:rPr>
          <w:rStyle w:val="FootnoteReference"/>
        </w:rPr>
        <w:footnoteRef/>
      </w:r>
      <w:r>
        <w:t xml:space="preserve"> </w:t>
      </w:r>
      <w:r>
        <w:tab/>
        <w:t xml:space="preserve">The use of turbulence measurements, such as standard deviation of horizontal wind direction (sigma-theta) data and/or sigma-w data requires case-specific approval under Section 3.2.2 of the </w:t>
      </w:r>
      <w:r w:rsidRPr="00C42099">
        <w:t>Guideline</w:t>
      </w:r>
      <w:r w:rsidRPr="006F523E">
        <w:rPr>
          <w:i/>
        </w:rPr>
        <w:t xml:space="preserve"> </w:t>
      </w:r>
      <w:r>
        <w:t xml:space="preserve">when used in an AERMOD analysis in conjunction with the </w:t>
      </w:r>
      <w:proofErr w:type="spellStart"/>
      <w:r>
        <w:t>ADJ_u</w:t>
      </w:r>
      <w:proofErr w:type="spellEnd"/>
      <w:r>
        <w:t>* option for adjusting the surface friction velocity.</w:t>
      </w:r>
    </w:p>
  </w:footnote>
  <w:footnote w:id="42">
    <w:p w14:paraId="14DECA8F" w14:textId="1F0606B7" w:rsidR="004830EA" w:rsidRDefault="004830EA" w:rsidP="00024726">
      <w:pPr>
        <w:pStyle w:val="FootnoteText"/>
        <w:ind w:left="270" w:hanging="270"/>
      </w:pPr>
      <w:r>
        <w:rPr>
          <w:rStyle w:val="FootnoteReference"/>
        </w:rPr>
        <w:footnoteRef/>
      </w:r>
      <w:r>
        <w:t xml:space="preserve"> </w:t>
      </w:r>
      <w:r>
        <w:tab/>
        <w:t xml:space="preserve">QAPP and data reviews may someday be tracked through the AirTools database. </w:t>
      </w:r>
    </w:p>
  </w:footnote>
  <w:footnote w:id="43">
    <w:p w14:paraId="68D780BA" w14:textId="6B4E9042" w:rsidR="004830EA" w:rsidRDefault="004830EA" w:rsidP="00024726">
      <w:pPr>
        <w:pStyle w:val="FootnoteText"/>
        <w:ind w:left="270" w:hanging="270"/>
      </w:pPr>
      <w:r>
        <w:rPr>
          <w:rStyle w:val="FootnoteReference"/>
        </w:rPr>
        <w:footnoteRef/>
      </w:r>
      <w:r>
        <w:t xml:space="preserve"> </w:t>
      </w:r>
      <w:r>
        <w:tab/>
      </w:r>
      <w:r>
        <w:rPr>
          <w:snapToGrid w:val="0"/>
        </w:rPr>
        <w:t xml:space="preserve">ADEC has occasionally allowed applicants to run AERMOD with MAKEMET-generated meteorology.  See the AERSCREEN and AERMOD discussions in Appendix A, and the AERSCREEN User’s Guide, for additional details. </w:t>
      </w:r>
    </w:p>
  </w:footnote>
  <w:footnote w:id="44">
    <w:p w14:paraId="1F600C03" w14:textId="564054B0" w:rsidR="004830EA" w:rsidRDefault="004830EA" w:rsidP="007A2275">
      <w:pPr>
        <w:pStyle w:val="FootnoteText"/>
        <w:ind w:left="270" w:hanging="270"/>
      </w:pPr>
      <w:r>
        <w:rPr>
          <w:rStyle w:val="FootnoteReference"/>
        </w:rPr>
        <w:footnoteRef/>
      </w:r>
      <w:r>
        <w:t xml:space="preserve"> </w:t>
      </w:r>
      <w:r>
        <w:tab/>
        <w:t xml:space="preserve">Representative FAA AWOS data may generally be used in lieu of NWS ASOS data. </w:t>
      </w:r>
    </w:p>
  </w:footnote>
  <w:footnote w:id="45">
    <w:p w14:paraId="369533F6" w14:textId="740568F7" w:rsidR="004830EA" w:rsidRDefault="004830EA" w:rsidP="00CD4BE3">
      <w:pPr>
        <w:pStyle w:val="FootnoteText"/>
        <w:ind w:left="270" w:hanging="270"/>
      </w:pPr>
      <w:r>
        <w:rPr>
          <w:rStyle w:val="FootnoteReference"/>
        </w:rPr>
        <w:footnoteRef/>
      </w:r>
      <w:r>
        <w:t xml:space="preserve"> </w:t>
      </w:r>
      <w:r>
        <w:tab/>
        <w:t xml:space="preserve">Section 8.4.2(a) of the Guideline states, “When processing prognostic meteorological data for AERMOD, the Mesoscale Model Interface Program (MMIF) should be used to process data for input to AERMET.”  Section 8.4.5.1(b) of the Guideline states, “When using MMIF to process prognostic data for regulatory applications, the data should be processed to generate AERMET </w:t>
      </w:r>
      <w:proofErr w:type="gramStart"/>
      <w:r>
        <w:t>inputs</w:t>
      </w:r>
      <w:proofErr w:type="gramEnd"/>
      <w:r>
        <w:t xml:space="preserve"> and the data subsequently processed through AERMET for input to AERMOD.” </w:t>
      </w:r>
    </w:p>
  </w:footnote>
  <w:footnote w:id="46">
    <w:p w14:paraId="1A7AC9A7" w14:textId="2EC0DD2E" w:rsidR="004830EA" w:rsidRDefault="004830EA" w:rsidP="00CD4BE3">
      <w:pPr>
        <w:pStyle w:val="FootnoteText"/>
        <w:ind w:left="270" w:hanging="270"/>
      </w:pPr>
      <w:r>
        <w:rPr>
          <w:rStyle w:val="FootnoteReference"/>
        </w:rPr>
        <w:footnoteRef/>
      </w:r>
      <w:r>
        <w:t xml:space="preserve"> </w:t>
      </w:r>
      <w:r>
        <w:tab/>
      </w:r>
      <w:r w:rsidRPr="00B74D6B">
        <w:rPr>
          <w:i/>
        </w:rPr>
        <w:t>User’s Guide for the AERMOD Meteorological Preprocessor (AERMET)</w:t>
      </w:r>
      <w:r>
        <w:t>; EPA-454/B-18-002;</w:t>
      </w:r>
      <w:r>
        <w:br/>
      </w:r>
      <w:proofErr w:type="gramStart"/>
      <w:r>
        <w:t>April,</w:t>
      </w:r>
      <w:proofErr w:type="gramEnd"/>
      <w:r>
        <w:t xml:space="preserve"> 2018.</w:t>
      </w:r>
    </w:p>
  </w:footnote>
  <w:footnote w:id="47">
    <w:p w14:paraId="7396D013" w14:textId="5B46B890" w:rsidR="004830EA" w:rsidRDefault="004830EA" w:rsidP="00324C98">
      <w:pPr>
        <w:pStyle w:val="FootnoteText"/>
        <w:ind w:left="270" w:hanging="270"/>
      </w:pPr>
      <w:r>
        <w:rPr>
          <w:rStyle w:val="FootnoteReference"/>
        </w:rPr>
        <w:footnoteRef/>
      </w:r>
      <w:r>
        <w:t xml:space="preserve"> </w:t>
      </w:r>
      <w:r>
        <w:tab/>
        <w:t xml:space="preserve">EPA Memorandum; </w:t>
      </w:r>
      <w:hyperlink r:id="rId16" w:history="1">
        <w:r w:rsidRPr="00696117">
          <w:rPr>
            <w:rStyle w:val="Hyperlink"/>
            <w:i/>
          </w:rPr>
          <w:t>Use of ASOS Meteorological Data in AERMOD Dispersion Modeling</w:t>
        </w:r>
      </w:hyperlink>
      <w:r>
        <w:rPr>
          <w:i/>
        </w:rPr>
        <w:t>,</w:t>
      </w:r>
      <w:r>
        <w:t xml:space="preserve"> Tyler Fox to Regional Modeling Contacts; March</w:t>
      </w:r>
      <w:r w:rsidRPr="005C59FF">
        <w:t> </w:t>
      </w:r>
      <w:r>
        <w:t>8, 2013.</w:t>
      </w:r>
    </w:p>
  </w:footnote>
  <w:footnote w:id="48">
    <w:p w14:paraId="7BB962E2" w14:textId="03FB18C2" w:rsidR="004830EA" w:rsidRDefault="004830EA" w:rsidP="00324C98">
      <w:pPr>
        <w:pStyle w:val="FootnoteText"/>
        <w:spacing w:after="0"/>
        <w:ind w:left="270" w:hanging="270"/>
      </w:pPr>
      <w:r>
        <w:rPr>
          <w:rStyle w:val="FootnoteReference"/>
        </w:rPr>
        <w:footnoteRef/>
      </w:r>
      <w:r>
        <w:t xml:space="preserve"> </w:t>
      </w:r>
      <w:r>
        <w:tab/>
        <w:t xml:space="preserve">The data are available at </w:t>
      </w:r>
      <w:hyperlink r:id="rId17" w:history="1">
        <w:r w:rsidRPr="00324750">
          <w:rPr>
            <w:rStyle w:val="Hyperlink"/>
          </w:rPr>
          <w:t>ftp://ftp.ncdc.noaa.gov/pub/data/asos-onemin/</w:t>
        </w:r>
      </w:hyperlink>
      <w:r>
        <w:t xml:space="preserve"> (since this is an ftp site you may need to copy and paste this link into Windows Explorer (or its equivalent) rather than clicking the link and opening a web browser).</w:t>
      </w:r>
    </w:p>
  </w:footnote>
  <w:footnote w:id="49">
    <w:p w14:paraId="1B90ED50" w14:textId="3B4717D7" w:rsidR="004830EA" w:rsidRDefault="004830EA" w:rsidP="00324C98">
      <w:pPr>
        <w:pStyle w:val="FootnoteText"/>
        <w:ind w:left="270" w:hanging="270"/>
      </w:pPr>
      <w:r>
        <w:rPr>
          <w:rStyle w:val="FootnoteReference"/>
        </w:rPr>
        <w:footnoteRef/>
      </w:r>
      <w:r>
        <w:t xml:space="preserve"> </w:t>
      </w:r>
      <w:r>
        <w:tab/>
      </w:r>
      <w:r w:rsidRPr="00884332">
        <w:rPr>
          <w:i/>
        </w:rPr>
        <w:t>AERMINUTE User’s Guide</w:t>
      </w:r>
      <w:r>
        <w:t xml:space="preserve">; EPA-454/B-15-006; October 2015. </w:t>
      </w:r>
    </w:p>
  </w:footnote>
  <w:footnote w:id="50">
    <w:p w14:paraId="4026D432" w14:textId="384A00D1" w:rsidR="004830EA" w:rsidRDefault="004830EA" w:rsidP="00B26967">
      <w:pPr>
        <w:pStyle w:val="FootnoteText"/>
        <w:ind w:left="270" w:hanging="270"/>
      </w:pPr>
      <w:r>
        <w:rPr>
          <w:rStyle w:val="FootnoteReference"/>
        </w:rPr>
        <w:footnoteRef/>
      </w:r>
      <w:r>
        <w:t xml:space="preserve"> </w:t>
      </w:r>
      <w:r>
        <w:tab/>
        <w:t xml:space="preserve">As discussed in Section </w:t>
      </w:r>
      <w:r>
        <w:fldChar w:fldCharType="begin"/>
      </w:r>
      <w:r>
        <w:instrText xml:space="preserve"> REF _Ref482000547 \w \h </w:instrText>
      </w:r>
      <w:r>
        <w:fldChar w:fldCharType="separate"/>
      </w:r>
      <w:r>
        <w:t>2.6.3.1</w:t>
      </w:r>
      <w:r>
        <w:fldChar w:fldCharType="end"/>
      </w:r>
      <w:r>
        <w:t xml:space="preserve"> of this manual, and EPA’s AERMET guidance, sigma-w data should not generally be used when using the Adjusted-u* algorithm in AERMET. </w:t>
      </w:r>
    </w:p>
  </w:footnote>
  <w:footnote w:id="51">
    <w:p w14:paraId="608AA146" w14:textId="6B37CBC2" w:rsidR="004830EA" w:rsidRDefault="004830EA" w:rsidP="00B26967">
      <w:pPr>
        <w:pStyle w:val="FootnoteText"/>
        <w:ind w:left="270" w:hanging="270"/>
      </w:pPr>
      <w:r>
        <w:rPr>
          <w:rStyle w:val="FootnoteReference"/>
        </w:rPr>
        <w:footnoteRef/>
      </w:r>
      <w:r>
        <w:t xml:space="preserve"> </w:t>
      </w:r>
      <w:r>
        <w:tab/>
        <w:t>T</w:t>
      </w:r>
      <w:r>
        <w:rPr>
          <w:snapToGrid w:val="0"/>
        </w:rPr>
        <w:t xml:space="preserve">he required wind speed resolution for vertical wind speed in Table 5-1 of EPA’s </w:t>
      </w:r>
      <w:r w:rsidRPr="00110F32">
        <w:rPr>
          <w:i/>
          <w:snapToGrid w:val="0"/>
        </w:rPr>
        <w:t>Meteorological Monitoring Guidance for Regulatory Modeling Applications</w:t>
      </w:r>
      <w:r>
        <w:rPr>
          <w:snapToGrid w:val="0"/>
        </w:rPr>
        <w:t xml:space="preserve"> is 0.1 m/s. </w:t>
      </w:r>
    </w:p>
  </w:footnote>
  <w:footnote w:id="52">
    <w:p w14:paraId="12136D38" w14:textId="15050906" w:rsidR="004830EA" w:rsidRDefault="004830EA" w:rsidP="00B26967">
      <w:pPr>
        <w:pStyle w:val="FootnoteText"/>
        <w:ind w:left="270" w:hanging="270"/>
      </w:pPr>
      <w:r>
        <w:rPr>
          <w:rStyle w:val="FootnoteReference"/>
        </w:rPr>
        <w:footnoteRef/>
      </w:r>
      <w:r>
        <w:t xml:space="preserve"> </w:t>
      </w:r>
      <w:r>
        <w:tab/>
      </w:r>
      <w:r w:rsidRPr="000739C5">
        <w:t>AERMOD Implementation Guide (</w:t>
      </w:r>
      <w:r>
        <w:t>April 2018</w:t>
      </w:r>
      <w:r w:rsidRPr="000739C5">
        <w:t xml:space="preserve">) at </w:t>
      </w:r>
      <w:hyperlink r:id="rId18" w:history="1">
        <w:r w:rsidRPr="00A1616C">
          <w:rPr>
            <w:rStyle w:val="Hyperlink"/>
          </w:rPr>
          <w:t>https://www3.epa.gov/ttn/scram/models/aermod/aermod_implementation_guide.pdf</w:t>
        </w:r>
      </w:hyperlink>
      <w:r>
        <w:t xml:space="preserve">  </w:t>
      </w:r>
    </w:p>
  </w:footnote>
  <w:footnote w:id="53">
    <w:p w14:paraId="0E51AD3A" w14:textId="6753259B" w:rsidR="004830EA" w:rsidRDefault="004830EA">
      <w:pPr>
        <w:pStyle w:val="FootnoteText"/>
      </w:pPr>
      <w:r>
        <w:rPr>
          <w:rStyle w:val="FootnoteReference"/>
        </w:rPr>
        <w:footnoteRef/>
      </w:r>
      <w:r>
        <w:t xml:space="preserve">   Stull, R., 1988: </w:t>
      </w:r>
      <w:r w:rsidRPr="005F14C4">
        <w:rPr>
          <w:i/>
        </w:rPr>
        <w:t>An Introduction to Boundary Layer Meteorology</w:t>
      </w:r>
      <w:r>
        <w:t>, Kluwer Academic Publishers.</w:t>
      </w:r>
    </w:p>
  </w:footnote>
  <w:footnote w:id="54">
    <w:p w14:paraId="6E6F402B" w14:textId="03178B03" w:rsidR="004830EA" w:rsidRDefault="004830EA" w:rsidP="00336975">
      <w:pPr>
        <w:pStyle w:val="FootnoteText"/>
      </w:pPr>
      <w:r>
        <w:rPr>
          <w:rStyle w:val="FootnoteReference"/>
        </w:rPr>
        <w:footnoteRef/>
      </w:r>
      <w:r>
        <w:t xml:space="preserve">   </w:t>
      </w:r>
      <w:hyperlink r:id="rId19" w:history="1">
        <w:r w:rsidRPr="00972937">
          <w:rPr>
            <w:rStyle w:val="Hyperlink"/>
            <w:i/>
          </w:rPr>
          <w:t>AERSURFACE User’s Guide</w:t>
        </w:r>
      </w:hyperlink>
      <w:r>
        <w:t xml:space="preserve">; </w:t>
      </w:r>
      <w:r w:rsidRPr="00336975">
        <w:t>EPA-454/B-08-001</w:t>
      </w:r>
      <w:r>
        <w:t xml:space="preserve">; </w:t>
      </w:r>
      <w:r w:rsidRPr="00336975">
        <w:t>January 2008</w:t>
      </w:r>
      <w:r>
        <w:t xml:space="preserve"> </w:t>
      </w:r>
      <w:r w:rsidRPr="00336975">
        <w:t>(Revised 01/16/2013)</w:t>
      </w:r>
      <w:r>
        <w:t>.</w:t>
      </w:r>
    </w:p>
  </w:footnote>
  <w:footnote w:id="55">
    <w:p w14:paraId="3CFD9101" w14:textId="3B1DD8EB" w:rsidR="004830EA" w:rsidRDefault="004830EA" w:rsidP="00F67B54">
      <w:pPr>
        <w:pStyle w:val="FootnoteText"/>
        <w:ind w:left="270" w:hanging="270"/>
      </w:pPr>
      <w:r>
        <w:rPr>
          <w:rStyle w:val="FootnoteReference"/>
        </w:rPr>
        <w:footnoteRef/>
      </w:r>
      <w:r>
        <w:t xml:space="preserve"> </w:t>
      </w:r>
      <w:r>
        <w:tab/>
      </w:r>
      <w:r w:rsidRPr="00F67B54">
        <w:rPr>
          <w:i/>
        </w:rPr>
        <w:t>ADEC Guidance re AERMET Geometric Means: How to Calculate the Geometric Mean Bowen ratio and the Inverse-Distance Weighted Geometric Mean Surface Roughness Length in Alaska</w:t>
      </w:r>
      <w:r>
        <w:t xml:space="preserve">; </w:t>
      </w:r>
      <w:r w:rsidRPr="00096EF3">
        <w:t xml:space="preserve">Revised </w:t>
      </w:r>
      <w:r>
        <w:t>June</w:t>
      </w:r>
      <w:r w:rsidRPr="005C59FF">
        <w:t> </w:t>
      </w:r>
      <w:r>
        <w:t>17, 2009.</w:t>
      </w:r>
    </w:p>
  </w:footnote>
  <w:footnote w:id="56">
    <w:p w14:paraId="22143224" w14:textId="2E97925D" w:rsidR="004830EA" w:rsidRDefault="004830EA" w:rsidP="00315C2A">
      <w:pPr>
        <w:pStyle w:val="FootnoteText"/>
        <w:ind w:left="270" w:hanging="270"/>
      </w:pPr>
      <w:r>
        <w:rPr>
          <w:rStyle w:val="FootnoteReference"/>
        </w:rPr>
        <w:footnoteRef/>
      </w:r>
      <w:r>
        <w:t xml:space="preserve"> </w:t>
      </w:r>
      <w:r>
        <w:tab/>
      </w:r>
      <w:hyperlink r:id="rId20" w:history="1">
        <w:r w:rsidRPr="007C738B">
          <w:rPr>
            <w:rStyle w:val="Hyperlink"/>
          </w:rPr>
          <w:t>https://www3.epa.gov/ttn/scram/models/relat/mmif/MMIF_Guidance.pdf</w:t>
        </w:r>
      </w:hyperlink>
      <w:r>
        <w:t xml:space="preserve">; </w:t>
      </w:r>
      <w:r w:rsidRPr="00336975">
        <w:t>EPA-454/B-</w:t>
      </w:r>
      <w:r>
        <w:t>18</w:t>
      </w:r>
      <w:r w:rsidRPr="00336975">
        <w:t>-00</w:t>
      </w:r>
      <w:r>
        <w:t>5; April 2018.</w:t>
      </w:r>
    </w:p>
  </w:footnote>
  <w:footnote w:id="57">
    <w:p w14:paraId="47B83F20" w14:textId="17A1A083" w:rsidR="004830EA" w:rsidRDefault="004830EA" w:rsidP="00315C2A">
      <w:pPr>
        <w:pStyle w:val="FootnoteText"/>
        <w:ind w:left="270" w:hanging="270"/>
      </w:pPr>
      <w:r>
        <w:rPr>
          <w:rStyle w:val="FootnoteReference"/>
        </w:rPr>
        <w:footnoteRef/>
      </w:r>
      <w:r>
        <w:t xml:space="preserve"> </w:t>
      </w:r>
      <w:r>
        <w:tab/>
      </w:r>
      <w:hyperlink r:id="rId21" w:history="1">
        <w:r w:rsidRPr="007C738B">
          <w:rPr>
            <w:rStyle w:val="Hyperlink"/>
          </w:rPr>
          <w:t>https://www3.epa.gov/ttn/scram/models/relat/mmif/MMIF_Evaluation_TSD.pdf</w:t>
        </w:r>
      </w:hyperlink>
      <w:r>
        <w:t>; EPA-454/R-18-002; April 2018.</w:t>
      </w:r>
    </w:p>
  </w:footnote>
  <w:footnote w:id="58">
    <w:p w14:paraId="752C5920" w14:textId="4BE94039" w:rsidR="004830EA" w:rsidRDefault="004830EA" w:rsidP="00024726">
      <w:pPr>
        <w:pStyle w:val="FootnoteText"/>
        <w:ind w:left="270" w:hanging="270"/>
      </w:pPr>
      <w:r>
        <w:rPr>
          <w:rStyle w:val="FootnoteReference"/>
        </w:rPr>
        <w:footnoteRef/>
      </w:r>
      <w:r>
        <w:t xml:space="preserve"> </w:t>
      </w:r>
      <w:r>
        <w:tab/>
      </w:r>
      <w:hyperlink r:id="rId22" w:history="1">
        <w:r w:rsidRPr="00C609F4">
          <w:rPr>
            <w:rStyle w:val="Hyperlink"/>
            <w:i/>
          </w:rPr>
          <w:t>User’s Manual – THE MESOSCALE MODEL INTERFACE PROGRAM (MMIF)</w:t>
        </w:r>
        <w:r w:rsidRPr="00C609F4">
          <w:rPr>
            <w:rStyle w:val="Hyperlink"/>
          </w:rPr>
          <w:t>;</w:t>
        </w:r>
      </w:hyperlink>
      <w:r>
        <w:t xml:space="preserve"> Ramboll Environ US Corporation; December 9, 2016.</w:t>
      </w:r>
    </w:p>
  </w:footnote>
  <w:footnote w:id="59">
    <w:p w14:paraId="34643925" w14:textId="21F79D80" w:rsidR="004830EA" w:rsidRDefault="004830EA" w:rsidP="00024726">
      <w:pPr>
        <w:pStyle w:val="FootnoteText"/>
        <w:ind w:left="270" w:hanging="270"/>
      </w:pPr>
      <w:r>
        <w:rPr>
          <w:rStyle w:val="FootnoteReference"/>
        </w:rPr>
        <w:footnoteRef/>
      </w:r>
      <w:r>
        <w:t xml:space="preserve"> </w:t>
      </w:r>
      <w:r>
        <w:tab/>
        <w:t>Email from Jerrold McAlpine (R10) to R10 air modeling community;</w:t>
      </w:r>
      <w:r w:rsidRPr="00024726">
        <w:rPr>
          <w:i/>
        </w:rPr>
        <w:t xml:space="preserve"> MMIF guidance Update</w:t>
      </w:r>
      <w:r>
        <w:t xml:space="preserve">; </w:t>
      </w:r>
      <w:r w:rsidRPr="00024726">
        <w:rPr>
          <w:szCs w:val="20"/>
        </w:rPr>
        <w:t>April 26</w:t>
      </w:r>
      <w:r>
        <w:t>, 2018.</w:t>
      </w:r>
    </w:p>
  </w:footnote>
  <w:footnote w:id="60">
    <w:p w14:paraId="14D11192" w14:textId="03569417" w:rsidR="004830EA" w:rsidRDefault="004830EA" w:rsidP="00990AFC">
      <w:pPr>
        <w:pStyle w:val="FootnoteText"/>
        <w:ind w:left="270" w:hanging="270"/>
      </w:pPr>
      <w:r>
        <w:rPr>
          <w:rStyle w:val="FootnoteReference"/>
        </w:rPr>
        <w:footnoteRef/>
      </w:r>
      <w:r>
        <w:t xml:space="preserve"> </w:t>
      </w:r>
      <w:r>
        <w:tab/>
      </w:r>
      <w:hyperlink r:id="rId23" w:history="1">
        <w:r w:rsidRPr="00B33BF5">
          <w:rPr>
            <w:rStyle w:val="Hyperlink"/>
          </w:rPr>
          <w:t>https://www3.epa.gov/ttn/scram/reports/Haul_Road_Workgroup-Final_Report_Package-20120302.pdf</w:t>
        </w:r>
      </w:hyperlink>
      <w:r>
        <w:rPr>
          <w:rStyle w:val="Hyperlink"/>
        </w:rPr>
        <w:t xml:space="preserve"> </w:t>
      </w:r>
    </w:p>
  </w:footnote>
  <w:footnote w:id="61">
    <w:p w14:paraId="2444A64E" w14:textId="5BB0009E" w:rsidR="004830EA" w:rsidRDefault="004830EA" w:rsidP="00990AFC">
      <w:pPr>
        <w:pStyle w:val="FootnoteText"/>
        <w:ind w:left="270" w:hanging="270"/>
      </w:pPr>
      <w:r>
        <w:rPr>
          <w:rStyle w:val="FootnoteReference"/>
        </w:rPr>
        <w:footnoteRef/>
      </w:r>
      <w:r>
        <w:t xml:space="preserve"> </w:t>
      </w:r>
      <w:r>
        <w:tab/>
        <w:t>The flow rate and exhaust temperature assumptions are based on an ADEC analysis of IC engine exhaust parameters.</w:t>
      </w:r>
    </w:p>
  </w:footnote>
  <w:footnote w:id="62">
    <w:p w14:paraId="0D33476A" w14:textId="01141720" w:rsidR="004830EA" w:rsidRDefault="004830EA" w:rsidP="00990AFC">
      <w:pPr>
        <w:pStyle w:val="FootnoteText"/>
        <w:ind w:left="270" w:hanging="270"/>
      </w:pPr>
      <w:r>
        <w:rPr>
          <w:rStyle w:val="FootnoteReference"/>
        </w:rPr>
        <w:footnoteRef/>
      </w:r>
      <w:r>
        <w:t xml:space="preserve"> </w:t>
      </w:r>
      <w:r>
        <w:tab/>
        <w:t xml:space="preserve">The entire process will take either one set of up and down motion of the piston (commonly referred as a “two-stroke” design) or two sets of up and down motion (commonly referred as a “four-stroke” design). </w:t>
      </w:r>
    </w:p>
  </w:footnote>
  <w:footnote w:id="63">
    <w:p w14:paraId="78ACBDCC" w14:textId="53F39314" w:rsidR="004830EA" w:rsidRDefault="004830EA" w:rsidP="00990AFC">
      <w:pPr>
        <w:pStyle w:val="FootnoteText"/>
        <w:keepNext/>
        <w:keepLines/>
        <w:ind w:left="270" w:hanging="270"/>
      </w:pPr>
      <w:r>
        <w:rPr>
          <w:rStyle w:val="FootnoteReference"/>
        </w:rPr>
        <w:footnoteRef/>
      </w:r>
      <w:r>
        <w:t xml:space="preserve"> </w:t>
      </w:r>
      <w:r>
        <w:tab/>
        <w:t xml:space="preserve">F-factors may be used to estimate the stack flow rate for external combustion sources, such as boilers and heaters.  They should </w:t>
      </w:r>
      <w:r w:rsidRPr="008972FD">
        <w:rPr>
          <w:i/>
          <w:u w:val="single"/>
        </w:rPr>
        <w:t>not</w:t>
      </w:r>
      <w:r>
        <w:t xml:space="preserve"> typically be used to estimate the stack flow rate for internal combustion sources, such as compression ignition engines and turbines, unless the amount of excess air associated with the compression process is known.  </w:t>
      </w:r>
    </w:p>
  </w:footnote>
  <w:footnote w:id="64">
    <w:p w14:paraId="15FA358C" w14:textId="0C9AA6CE" w:rsidR="004830EA" w:rsidRDefault="004830EA" w:rsidP="00990AFC">
      <w:pPr>
        <w:pStyle w:val="FootnoteText"/>
        <w:ind w:left="270" w:hanging="270"/>
      </w:pPr>
      <w:r>
        <w:rPr>
          <w:rStyle w:val="FootnoteReference"/>
        </w:rPr>
        <w:footnoteRef/>
      </w:r>
      <w:r>
        <w:t xml:space="preserve"> </w:t>
      </w:r>
      <w:r>
        <w:tab/>
        <w:t>The standard temperature used with “F-factors” is 20</w:t>
      </w:r>
      <w:r w:rsidRPr="00303D92">
        <w:rPr>
          <w:vertAlign w:val="superscript"/>
        </w:rPr>
        <w:t>o</w:t>
      </w:r>
      <w:r>
        <w:t>C (68</w:t>
      </w:r>
      <w:r w:rsidRPr="00303D92">
        <w:rPr>
          <w:vertAlign w:val="superscript"/>
        </w:rPr>
        <w:t>o</w:t>
      </w:r>
      <w:r>
        <w:t>F) or 293K.</w:t>
      </w:r>
    </w:p>
  </w:footnote>
  <w:footnote w:id="65">
    <w:p w14:paraId="3AE4E7D8" w14:textId="2434E339" w:rsidR="004830EA" w:rsidRDefault="004830EA" w:rsidP="00990AFC">
      <w:pPr>
        <w:pStyle w:val="FootnoteText"/>
        <w:ind w:left="270" w:hanging="270"/>
      </w:pPr>
      <w:r>
        <w:rPr>
          <w:rStyle w:val="FootnoteReference"/>
        </w:rPr>
        <w:footnoteRef/>
      </w:r>
      <w:r>
        <w:t xml:space="preserve"> </w:t>
      </w:r>
      <w:r>
        <w:tab/>
        <w:t>The flow rate and exhaust temperature assumptions are based on an ADEC analysis of boiler exhaust parameters.</w:t>
      </w:r>
    </w:p>
  </w:footnote>
  <w:footnote w:id="66">
    <w:p w14:paraId="7A9F14D8" w14:textId="7A4254BE" w:rsidR="004830EA" w:rsidRDefault="004830EA" w:rsidP="006A2939">
      <w:pPr>
        <w:pStyle w:val="FootnoteText"/>
        <w:ind w:left="270" w:hanging="270"/>
      </w:pPr>
      <w:r>
        <w:rPr>
          <w:rStyle w:val="FootnoteReference"/>
        </w:rPr>
        <w:footnoteRef/>
      </w:r>
      <w:r>
        <w:t xml:space="preserve"> </w:t>
      </w:r>
      <w:r>
        <w:tab/>
        <w:t xml:space="preserve">The equation for adjusting the flare stack height was originally published by M. </w:t>
      </w:r>
      <w:proofErr w:type="spellStart"/>
      <w:r>
        <w:t>Beychok</w:t>
      </w:r>
      <w:proofErr w:type="spellEnd"/>
      <w:r>
        <w:t xml:space="preserve"> in </w:t>
      </w:r>
      <w:r w:rsidRPr="00B019B0">
        <w:rPr>
          <w:i/>
        </w:rPr>
        <w:t>Fundamentals of Stack Gas Dispersion</w:t>
      </w:r>
      <w:r>
        <w:t xml:space="preserve"> (1979).</w:t>
      </w:r>
    </w:p>
  </w:footnote>
  <w:footnote w:id="67">
    <w:p w14:paraId="38D83931" w14:textId="77777777" w:rsidR="004830EA" w:rsidRDefault="004830EA" w:rsidP="002B6EF9">
      <w:pPr>
        <w:pStyle w:val="FootnoteText"/>
        <w:ind w:left="270" w:hanging="270"/>
      </w:pPr>
      <w:r w:rsidRPr="00ED5B16">
        <w:rPr>
          <w:rStyle w:val="FootnoteReference"/>
        </w:rPr>
        <w:footnoteRef/>
      </w:r>
      <w:r>
        <w:t xml:space="preserve"> </w:t>
      </w:r>
      <w:r>
        <w:tab/>
        <w:t xml:space="preserve">EPA letter from Edward F. Tuerk (Acting Assistant Administrator for Air, Noise and Radiation) to Allyn M. Davis (Director, Air and Hazardous Materials Division); </w:t>
      </w:r>
      <w:r w:rsidRPr="00ED5B16">
        <w:rPr>
          <w:i/>
        </w:rPr>
        <w:t>PSD Evaluation of Secondary Emissions for Houston Lighting and Power</w:t>
      </w:r>
      <w:r>
        <w:t xml:space="preserve">; March 17, 1981.  </w:t>
      </w:r>
    </w:p>
  </w:footnote>
  <w:footnote w:id="68">
    <w:p w14:paraId="23CCC537" w14:textId="77777777" w:rsidR="004830EA" w:rsidRPr="008B21C8" w:rsidRDefault="004830EA" w:rsidP="008244E1">
      <w:pPr>
        <w:pStyle w:val="FootnoteText"/>
        <w:ind w:left="270" w:hanging="270"/>
      </w:pPr>
      <w:r w:rsidRPr="000B520C">
        <w:rPr>
          <w:rStyle w:val="FootnoteReference"/>
        </w:rPr>
        <w:footnoteRef/>
      </w:r>
      <w:r w:rsidRPr="008B21C8">
        <w:t xml:space="preserve"> </w:t>
      </w:r>
      <w:r>
        <w:tab/>
      </w:r>
      <w:r w:rsidRPr="008B21C8">
        <w:t>Policy and Procedure 04.02.10</w:t>
      </w:r>
      <w:r>
        <w:t>4</w:t>
      </w:r>
      <w:r w:rsidRPr="008B21C8">
        <w:t xml:space="preserve">: </w:t>
      </w:r>
      <w:r>
        <w:rPr>
          <w:i/>
        </w:rPr>
        <w:t>Construction Phase Air Emissions at Oil Fields</w:t>
      </w:r>
      <w:r w:rsidRPr="00651FCF">
        <w:t xml:space="preserve">; </w:t>
      </w:r>
      <w:r w:rsidRPr="008B21C8">
        <w:t>November</w:t>
      </w:r>
      <w:r>
        <w:t> 20</w:t>
      </w:r>
      <w:r w:rsidRPr="008B21C8">
        <w:t>, 2006.</w:t>
      </w:r>
    </w:p>
  </w:footnote>
  <w:footnote w:id="69">
    <w:p w14:paraId="59B3C414" w14:textId="0625D8E1" w:rsidR="004830EA" w:rsidRDefault="004830EA" w:rsidP="006A2939">
      <w:pPr>
        <w:pStyle w:val="FootnoteText"/>
        <w:ind w:left="270" w:hanging="270"/>
      </w:pPr>
      <w:r>
        <w:rPr>
          <w:rStyle w:val="FootnoteReference"/>
        </w:rPr>
        <w:footnoteRef/>
      </w:r>
      <w:r>
        <w:t xml:space="preserve"> </w:t>
      </w:r>
      <w:r>
        <w:tab/>
        <w:t xml:space="preserve">Schulman, L., D. </w:t>
      </w:r>
      <w:proofErr w:type="spellStart"/>
      <w:r>
        <w:t>Strimaitis</w:t>
      </w:r>
      <w:proofErr w:type="spellEnd"/>
      <w:r>
        <w:t>, and J. Scire, 2000: “Development and Evaluation of the PRIME Plume Rise and Building Downwash Model”, Journal of the Air and Waste Management Association, 50:378-390 (reprinted by permission of Taylor and Francis (</w:t>
      </w:r>
      <w:hyperlink r:id="rId24" w:history="1">
        <w:r w:rsidRPr="005B3B22">
          <w:rPr>
            <w:rStyle w:val="Hyperlink"/>
          </w:rPr>
          <w:t>http://www.tandfonline.com</w:t>
        </w:r>
      </w:hyperlink>
      <w:r>
        <w:t>)</w:t>
      </w:r>
    </w:p>
  </w:footnote>
  <w:footnote w:id="70">
    <w:p w14:paraId="60760CE1" w14:textId="76AE21D8" w:rsidR="004830EA" w:rsidRDefault="004830EA" w:rsidP="008A5D54">
      <w:pPr>
        <w:pStyle w:val="FootnoteText"/>
        <w:ind w:left="270" w:hanging="270"/>
      </w:pPr>
      <w:r>
        <w:rPr>
          <w:rStyle w:val="FootnoteReference"/>
        </w:rPr>
        <w:footnoteRef/>
      </w:r>
      <w:r>
        <w:t xml:space="preserve"> </w:t>
      </w:r>
      <w:r>
        <w:tab/>
      </w:r>
      <w:r w:rsidRPr="00D57B84">
        <w:rPr>
          <w:i/>
        </w:rPr>
        <w:t>User’s Guide to the Building Profile Input Program</w:t>
      </w:r>
      <w:r>
        <w:t>; EPA-454/R-93-038; Revised April 21, 2004.</w:t>
      </w:r>
    </w:p>
  </w:footnote>
  <w:footnote w:id="71">
    <w:p w14:paraId="2BD8F6DF" w14:textId="6F0ED442" w:rsidR="004830EA" w:rsidRDefault="004830EA" w:rsidP="008A5D54">
      <w:pPr>
        <w:pStyle w:val="FootnoteText"/>
        <w:ind w:left="270" w:hanging="270"/>
      </w:pPr>
      <w:r>
        <w:rPr>
          <w:rStyle w:val="FootnoteReference"/>
        </w:rPr>
        <w:footnoteRef/>
      </w:r>
      <w:r>
        <w:t xml:space="preserve"> </w:t>
      </w:r>
      <w:r>
        <w:tab/>
        <w:t xml:space="preserve">The BPIP program used with AERMOD’s predecessor, ISCST3, does not incorporate the PRIME algorithms and any results from it cannot be used with AERMOD. </w:t>
      </w:r>
    </w:p>
  </w:footnote>
  <w:footnote w:id="72">
    <w:p w14:paraId="0DB510B7" w14:textId="4CC01793" w:rsidR="004830EA" w:rsidRDefault="004830EA" w:rsidP="00597BEC">
      <w:pPr>
        <w:pStyle w:val="FootnoteText"/>
        <w:ind w:left="270" w:hanging="270"/>
      </w:pPr>
      <w:r>
        <w:rPr>
          <w:rStyle w:val="FootnoteReference"/>
        </w:rPr>
        <w:footnoteRef/>
      </w:r>
      <w:r>
        <w:t xml:space="preserve"> </w:t>
      </w:r>
      <w:r>
        <w:tab/>
        <w:t xml:space="preserve">Email from Dave Bray (R10) to Herman Wong (R10) with a cc to Alan Schuler (ADEC) and Rob Wilson (R10); </w:t>
      </w:r>
      <w:r w:rsidRPr="0038608B">
        <w:rPr>
          <w:i/>
        </w:rPr>
        <w:t>RE: Stack Modification Question</w:t>
      </w:r>
      <w:r>
        <w:t xml:space="preserve">; August 27, 2003. </w:t>
      </w:r>
    </w:p>
  </w:footnote>
  <w:footnote w:id="73">
    <w:p w14:paraId="5DF84A22" w14:textId="045651B5" w:rsidR="004830EA" w:rsidRDefault="004830EA" w:rsidP="00597BEC">
      <w:pPr>
        <w:pStyle w:val="FootnoteText"/>
        <w:ind w:left="270" w:hanging="270"/>
      </w:pPr>
      <w:r>
        <w:rPr>
          <w:rStyle w:val="FootnoteReference"/>
        </w:rPr>
        <w:footnoteRef/>
      </w:r>
      <w:r>
        <w:t xml:space="preserve"> </w:t>
      </w:r>
      <w:r>
        <w:tab/>
        <w:t xml:space="preserve">Dave Bray (R10) provided a short history and comments regarding the federal </w:t>
      </w:r>
      <w:r w:rsidRPr="004D5401">
        <w:rPr>
          <w:szCs w:val="20"/>
        </w:rPr>
        <w:t>SO</w:t>
      </w:r>
      <w:r w:rsidRPr="004D5401">
        <w:rPr>
          <w:szCs w:val="20"/>
          <w:vertAlign w:val="subscript"/>
        </w:rPr>
        <w:t>2</w:t>
      </w:r>
      <w:r w:rsidRPr="004D5401">
        <w:rPr>
          <w:szCs w:val="20"/>
        </w:rPr>
        <w:t xml:space="preserve"> </w:t>
      </w:r>
      <w:r>
        <w:t xml:space="preserve">dispersion technique provision in a December 29, </w:t>
      </w:r>
      <w:proofErr w:type="gramStart"/>
      <w:r>
        <w:t>2015</w:t>
      </w:r>
      <w:proofErr w:type="gramEnd"/>
      <w:r>
        <w:t xml:space="preserve"> email to the R10 state modelers.  A copy of this email may be found on the Juneau server at:  </w:t>
      </w:r>
      <w:hyperlink r:id="rId25" w:history="1">
        <w:r w:rsidRPr="003B3843">
          <w:rPr>
            <w:rStyle w:val="Hyperlink"/>
          </w:rPr>
          <w:t>G:\AQ\PERMITS\Modeling\Documents\Dispersion Technique Discussion (Dec 29 2015).pdf</w:t>
        </w:r>
      </w:hyperlink>
      <w:r>
        <w:t>.</w:t>
      </w:r>
    </w:p>
  </w:footnote>
  <w:footnote w:id="74">
    <w:p w14:paraId="48BF6386" w14:textId="10D94136" w:rsidR="004830EA" w:rsidRDefault="004830EA" w:rsidP="00597BEC">
      <w:pPr>
        <w:pStyle w:val="FootnoteText"/>
        <w:ind w:left="270" w:hanging="270"/>
      </w:pPr>
      <w:r>
        <w:rPr>
          <w:rStyle w:val="FootnoteReference"/>
        </w:rPr>
        <w:footnoteRef/>
      </w:r>
      <w:r>
        <w:t xml:space="preserve"> </w:t>
      </w:r>
      <w:r>
        <w:tab/>
        <w:t xml:space="preserve">Section 4.2.3.4(d) of the </w:t>
      </w:r>
      <w:hyperlink r:id="rId26" w:history="1">
        <w:r w:rsidRPr="00C42099">
          <w:rPr>
            <w:rStyle w:val="Hyperlink"/>
          </w:rPr>
          <w:t>Guideline</w:t>
        </w:r>
      </w:hyperlink>
      <w:r>
        <w:t xml:space="preserve">. </w:t>
      </w:r>
    </w:p>
  </w:footnote>
  <w:footnote w:id="75">
    <w:p w14:paraId="2D16E0E6" w14:textId="79A762C5" w:rsidR="004830EA" w:rsidRDefault="004830EA" w:rsidP="00597BEC">
      <w:pPr>
        <w:pStyle w:val="FootnoteText"/>
        <w:ind w:left="270" w:hanging="270"/>
      </w:pPr>
      <w:r>
        <w:rPr>
          <w:rStyle w:val="FootnoteReference"/>
        </w:rPr>
        <w:footnoteRef/>
      </w:r>
      <w:r>
        <w:t xml:space="preserve"> </w:t>
      </w:r>
      <w:r>
        <w:tab/>
        <w:t xml:space="preserve">Email from Jay McAlpine (R10) to Alan Schuler (ADEC); </w:t>
      </w:r>
      <w:r w:rsidRPr="00140A37">
        <w:rPr>
          <w:i/>
        </w:rPr>
        <w:t>RE: ARM vs. ARM2</w:t>
      </w:r>
      <w:r>
        <w:t xml:space="preserve">; March 24, 2017. </w:t>
      </w:r>
    </w:p>
  </w:footnote>
  <w:footnote w:id="76">
    <w:p w14:paraId="170778D3" w14:textId="3D0697FA" w:rsidR="004830EA" w:rsidRDefault="004830EA" w:rsidP="00597BEC">
      <w:pPr>
        <w:pStyle w:val="FootnoteText"/>
        <w:ind w:left="270" w:hanging="270"/>
      </w:pPr>
      <w:r>
        <w:rPr>
          <w:rStyle w:val="FootnoteReference"/>
        </w:rPr>
        <w:footnoteRef/>
      </w:r>
      <w:r>
        <w:t xml:space="preserve"> </w:t>
      </w:r>
      <w:r>
        <w:tab/>
        <w:t xml:space="preserve">Cole, H.S. and J.E. Summerhays.  </w:t>
      </w:r>
      <w:r w:rsidRPr="00597BEC">
        <w:rPr>
          <w:i/>
        </w:rPr>
        <w:t>A Review of Techniques Available for Estimating Short-Term NO2 Concentrations</w:t>
      </w:r>
      <w:r>
        <w:t>.  J. of Air Pollution Control Association.  1979. pp. 812-817.</w:t>
      </w:r>
    </w:p>
  </w:footnote>
  <w:footnote w:id="77">
    <w:p w14:paraId="32F988E4" w14:textId="410122AB" w:rsidR="004830EA" w:rsidRDefault="004830EA" w:rsidP="00597BEC">
      <w:pPr>
        <w:pStyle w:val="FootnoteText"/>
        <w:ind w:left="270" w:hanging="270"/>
      </w:pPr>
      <w:r>
        <w:rPr>
          <w:rStyle w:val="FootnoteReference"/>
        </w:rPr>
        <w:footnoteRef/>
      </w:r>
      <w:r>
        <w:t xml:space="preserve"> </w:t>
      </w:r>
      <w:r>
        <w:tab/>
        <w:t xml:space="preserve">Hanrahan, P.L. </w:t>
      </w:r>
      <w:r w:rsidRPr="00597BEC">
        <w:rPr>
          <w:i/>
        </w:rPr>
        <w:t>The Plume Volume Molar Ratio Method for Determining NO2/NOx Ratios in Modeling – Part I: Methodology</w:t>
      </w:r>
      <w:r>
        <w:t xml:space="preserve">.  J. of Air &amp; Waste Management Association.  Volume 49, November 1999.  pp. 1324-1331.  </w:t>
      </w:r>
    </w:p>
  </w:footnote>
  <w:footnote w:id="78">
    <w:p w14:paraId="2A056E18" w14:textId="639BD395" w:rsidR="004830EA" w:rsidRDefault="004830EA" w:rsidP="00597BEC">
      <w:pPr>
        <w:pStyle w:val="FootnoteText"/>
        <w:ind w:left="270" w:hanging="270"/>
      </w:pPr>
      <w:r>
        <w:rPr>
          <w:rStyle w:val="FootnoteReference"/>
        </w:rPr>
        <w:footnoteRef/>
      </w:r>
      <w:r>
        <w:t xml:space="preserve"> </w:t>
      </w:r>
      <w:r>
        <w:tab/>
        <w:t xml:space="preserve">Hanrahan, P.L. </w:t>
      </w:r>
      <w:r w:rsidRPr="00597BEC">
        <w:rPr>
          <w:i/>
        </w:rPr>
        <w:t>The Plume Volume Molar Ratio Method for Determining NO2/NOx Ratios in Modeling – Part II: Evaluation Studies</w:t>
      </w:r>
      <w:r>
        <w:t>.  J. of Air &amp; Waste Management Association.  Volume 49, November 1999. pp. 1332-1338.</w:t>
      </w:r>
    </w:p>
  </w:footnote>
  <w:footnote w:id="79">
    <w:p w14:paraId="71EC93DE" w14:textId="491AFC66" w:rsidR="004830EA" w:rsidRDefault="004830EA" w:rsidP="00D64F4F">
      <w:pPr>
        <w:pStyle w:val="FootnoteText"/>
        <w:ind w:left="270" w:hanging="270"/>
      </w:pPr>
      <w:r>
        <w:rPr>
          <w:rStyle w:val="FootnoteReference"/>
        </w:rPr>
        <w:footnoteRef/>
      </w:r>
      <w:r>
        <w:t xml:space="preserve"> </w:t>
      </w:r>
      <w:r>
        <w:tab/>
      </w:r>
      <w:r w:rsidRPr="00B74D6B">
        <w:rPr>
          <w:i/>
        </w:rPr>
        <w:t>Applicability of Appendix W Modeling Guidance for the 1-hour NO</w:t>
      </w:r>
      <w:r w:rsidRPr="00B74D6B">
        <w:rPr>
          <w:i/>
          <w:vertAlign w:val="subscript"/>
        </w:rPr>
        <w:t>2</w:t>
      </w:r>
      <w:r w:rsidRPr="00B74D6B">
        <w:rPr>
          <w:i/>
        </w:rPr>
        <w:t xml:space="preserve"> National Ambient Air Quality Standard</w:t>
      </w:r>
      <w:r>
        <w:t>, June 28, 2010. (</w:t>
      </w:r>
      <w:hyperlink r:id="rId27" w:history="1">
        <w:r w:rsidRPr="00A6242C">
          <w:rPr>
            <w:rStyle w:val="Hyperlink"/>
          </w:rPr>
          <w:t>https://www3.epa.gov/ttn/scram/guidance/clarification/ClarificationMemo_AppendixW_Hourly-NO2-NAAQS_FINAL_06-28-2010.pdf</w:t>
        </w:r>
      </w:hyperlink>
      <w:r>
        <w:t>)</w:t>
      </w:r>
    </w:p>
  </w:footnote>
  <w:footnote w:id="80">
    <w:p w14:paraId="30FB8EDA" w14:textId="7C70CCE6" w:rsidR="004830EA" w:rsidRDefault="004830EA" w:rsidP="00D64F4F">
      <w:pPr>
        <w:pStyle w:val="FootnoteText"/>
        <w:ind w:left="270" w:hanging="270"/>
      </w:pPr>
      <w:r>
        <w:rPr>
          <w:rStyle w:val="FootnoteReference"/>
        </w:rPr>
        <w:footnoteRef/>
      </w:r>
      <w:r>
        <w:t xml:space="preserve"> </w:t>
      </w:r>
      <w:r>
        <w:tab/>
      </w:r>
      <w:hyperlink r:id="rId28" w:history="1">
        <w:r>
          <w:rPr>
            <w:rStyle w:val="Hyperlink"/>
          </w:rPr>
          <w:t>http://dec.alaska.gov/air/air-permit/dispersion-modeling/</w:t>
        </w:r>
      </w:hyperlink>
    </w:p>
  </w:footnote>
  <w:footnote w:id="81">
    <w:p w14:paraId="63695A3D" w14:textId="1AA3122A" w:rsidR="004830EA" w:rsidRDefault="004830EA" w:rsidP="004A5D51">
      <w:pPr>
        <w:pStyle w:val="FootnoteText"/>
        <w:ind w:left="270" w:hanging="270"/>
      </w:pPr>
      <w:r>
        <w:rPr>
          <w:rStyle w:val="FootnoteReference"/>
        </w:rPr>
        <w:footnoteRef/>
      </w:r>
      <w:r>
        <w:t xml:space="preserve">   </w:t>
      </w:r>
      <w:hyperlink r:id="rId29" w:history="1">
        <w:r>
          <w:rPr>
            <w:rStyle w:val="Hyperlink"/>
          </w:rPr>
          <w:t>https://www.epa.gov/scram/nitrogen-dioxidenitrogen-oxide-stack-ratio-isr-database</w:t>
        </w:r>
      </w:hyperlink>
    </w:p>
  </w:footnote>
  <w:footnote w:id="82">
    <w:p w14:paraId="5C6FE785" w14:textId="7E743856" w:rsidR="004830EA" w:rsidRDefault="004830EA" w:rsidP="00D64F4F">
      <w:pPr>
        <w:pStyle w:val="FootnoteText"/>
        <w:ind w:left="270" w:hanging="270"/>
      </w:pPr>
      <w:r w:rsidRPr="00712174">
        <w:rPr>
          <w:rStyle w:val="FootnoteReference"/>
        </w:rPr>
        <w:footnoteRef/>
      </w:r>
      <w:r>
        <w:t xml:space="preserve"> </w:t>
      </w:r>
      <w:r>
        <w:tab/>
        <w:t xml:space="preserve">The NOx and </w:t>
      </w:r>
      <w:r w:rsidRPr="003172D1">
        <w:t>SO</w:t>
      </w:r>
      <w:r w:rsidRPr="003172D1">
        <w:rPr>
          <w:vertAlign w:val="subscript"/>
        </w:rPr>
        <w:t>2</w:t>
      </w:r>
      <w:r>
        <w:t xml:space="preserve"> emissions are also referred as “precursor emissions” in a PM-2.5 assessment. </w:t>
      </w:r>
    </w:p>
  </w:footnote>
  <w:footnote w:id="83">
    <w:p w14:paraId="639FE40C" w14:textId="23F6DEA2" w:rsidR="004830EA" w:rsidRDefault="004830EA" w:rsidP="000564D6">
      <w:pPr>
        <w:pStyle w:val="FootnoteText"/>
        <w:ind w:left="270" w:hanging="270"/>
      </w:pPr>
      <w:r>
        <w:rPr>
          <w:rStyle w:val="FootnoteReference"/>
        </w:rPr>
        <w:footnoteRef/>
      </w:r>
      <w:r>
        <w:t xml:space="preserve"> </w:t>
      </w:r>
      <w:r>
        <w:tab/>
        <w:t>Federal Register, Vol. 73, No. 96, May 16, 2008.</w:t>
      </w:r>
    </w:p>
  </w:footnote>
  <w:footnote w:id="84">
    <w:p w14:paraId="1F724C0D" w14:textId="43D02D5C" w:rsidR="004830EA" w:rsidRDefault="004830EA" w:rsidP="00375997">
      <w:pPr>
        <w:pStyle w:val="FootnoteText"/>
        <w:ind w:left="270" w:hanging="270"/>
      </w:pPr>
      <w:r>
        <w:rPr>
          <w:rStyle w:val="FootnoteReference"/>
        </w:rPr>
        <w:footnoteRef/>
      </w:r>
      <w:r>
        <w:t xml:space="preserve"> </w:t>
      </w:r>
      <w:r>
        <w:tab/>
        <w:t xml:space="preserve">EPA Memorandum; </w:t>
      </w:r>
      <w:r w:rsidRPr="00375997">
        <w:rPr>
          <w:i/>
        </w:rPr>
        <w:t>Use of Photochemical Grid Models for Single-Source Ozone and secondary PM</w:t>
      </w:r>
      <w:r w:rsidRPr="00375997">
        <w:rPr>
          <w:i/>
          <w:vertAlign w:val="subscript"/>
        </w:rPr>
        <w:t>2.5</w:t>
      </w:r>
      <w:r w:rsidRPr="00375997">
        <w:rPr>
          <w:i/>
        </w:rPr>
        <w:t xml:space="preserve"> impacts for Permit Program Related Assessments and for NAAQS Attainment Demonstrations for Ozone, PM</w:t>
      </w:r>
      <w:r w:rsidRPr="00375997">
        <w:rPr>
          <w:i/>
          <w:vertAlign w:val="subscript"/>
        </w:rPr>
        <w:t>2.5</w:t>
      </w:r>
      <w:r w:rsidRPr="00375997">
        <w:rPr>
          <w:i/>
        </w:rPr>
        <w:t xml:space="preserve"> and Regional Haze</w:t>
      </w:r>
      <w:r>
        <w:t xml:space="preserve">, Tyler Fox to EPA Regional Modeling Contacts; August 4, 2017. </w:t>
      </w:r>
    </w:p>
  </w:footnote>
  <w:footnote w:id="85">
    <w:p w14:paraId="208D1E09" w14:textId="77B499B7" w:rsidR="004830EA" w:rsidRDefault="004830EA" w:rsidP="00FE2DEB">
      <w:pPr>
        <w:pStyle w:val="FootnoteText"/>
        <w:ind w:left="270" w:hanging="270"/>
      </w:pPr>
      <w:r>
        <w:rPr>
          <w:rStyle w:val="FootnoteReference"/>
        </w:rPr>
        <w:footnoteRef/>
      </w:r>
      <w:r>
        <w:t xml:space="preserve"> </w:t>
      </w:r>
      <w:r>
        <w:tab/>
        <w:t xml:space="preserve">EPA Memorandum; </w:t>
      </w:r>
      <w:r w:rsidRPr="00FE2DEB">
        <w:rPr>
          <w:i/>
        </w:rPr>
        <w:t>Guidance on the Development of Modeled Emission Rates for Precursors (MERPs) as a Tier I Demonstration Tool for Ozone and PM</w:t>
      </w:r>
      <w:r w:rsidRPr="00FE2DEB">
        <w:rPr>
          <w:i/>
          <w:vertAlign w:val="subscript"/>
        </w:rPr>
        <w:t>2.5</w:t>
      </w:r>
      <w:r w:rsidRPr="00FE2DEB">
        <w:rPr>
          <w:i/>
        </w:rPr>
        <w:t xml:space="preserve"> under the PSD Permitting Program</w:t>
      </w:r>
      <w:r>
        <w:t xml:space="preserve">, Richard A. Wayland to Regional Air Division Directors; December 2, 2016. </w:t>
      </w:r>
    </w:p>
  </w:footnote>
  <w:footnote w:id="86">
    <w:p w14:paraId="0445789A" w14:textId="7E7EAFE1" w:rsidR="004830EA" w:rsidRDefault="004830EA" w:rsidP="00B27FF9">
      <w:pPr>
        <w:pStyle w:val="FootnoteText"/>
        <w:ind w:left="270" w:hanging="270"/>
      </w:pPr>
      <w:r>
        <w:rPr>
          <w:rStyle w:val="FootnoteReference"/>
        </w:rPr>
        <w:footnoteRef/>
      </w:r>
      <w:r>
        <w:t xml:space="preserve"> </w:t>
      </w:r>
      <w:r>
        <w:tab/>
        <w:t xml:space="preserve">Letter from Denise Koch (ADEC Air Quality Director) to George Bridgers (EPA Air Quality Modeling Group); </w:t>
      </w:r>
      <w:r w:rsidRPr="00B27FF9">
        <w:rPr>
          <w:i/>
        </w:rPr>
        <w:t>Modeled Emission Rates for Precursors Proposal</w:t>
      </w:r>
      <w:r>
        <w:t xml:space="preserve">; March 15, 2017. </w:t>
      </w:r>
    </w:p>
  </w:footnote>
  <w:footnote w:id="87">
    <w:p w14:paraId="13D0A6B7" w14:textId="43A66F30" w:rsidR="004830EA" w:rsidRDefault="004830EA" w:rsidP="0072432D">
      <w:pPr>
        <w:pStyle w:val="FootnoteText"/>
        <w:ind w:left="270" w:hanging="270"/>
      </w:pPr>
      <w:r>
        <w:rPr>
          <w:rStyle w:val="FootnoteReference"/>
        </w:rPr>
        <w:footnoteRef/>
      </w:r>
      <w:r>
        <w:t xml:space="preserve"> </w:t>
      </w:r>
      <w:r>
        <w:tab/>
      </w:r>
      <w:r>
        <w:rPr>
          <w:i/>
        </w:rPr>
        <w:t>Guidance for PM</w:t>
      </w:r>
      <w:r w:rsidRPr="00DA16F6">
        <w:rPr>
          <w:i/>
          <w:vertAlign w:val="subscript"/>
        </w:rPr>
        <w:t>2.5</w:t>
      </w:r>
      <w:r>
        <w:rPr>
          <w:i/>
        </w:rPr>
        <w:t xml:space="preserve"> Permit Modeling</w:t>
      </w:r>
      <w:r>
        <w:t>;</w:t>
      </w:r>
      <w:r w:rsidRPr="0059367D">
        <w:t xml:space="preserve"> </w:t>
      </w:r>
      <w:r>
        <w:t xml:space="preserve">EPA-454/B-14-001; </w:t>
      </w:r>
      <w:r w:rsidRPr="0059367D">
        <w:t>Ma</w:t>
      </w:r>
      <w:r>
        <w:t>y</w:t>
      </w:r>
      <w:r w:rsidRPr="0059367D">
        <w:t xml:space="preserve"> 201</w:t>
      </w:r>
      <w:r>
        <w:t>4.</w:t>
      </w:r>
    </w:p>
  </w:footnote>
  <w:footnote w:id="88">
    <w:p w14:paraId="2A0270E0" w14:textId="1B611665" w:rsidR="004830EA" w:rsidRDefault="004830EA" w:rsidP="007C68CD">
      <w:pPr>
        <w:pStyle w:val="FootnoteText"/>
        <w:ind w:left="270" w:hanging="270"/>
      </w:pPr>
      <w:r>
        <w:rPr>
          <w:rStyle w:val="FootnoteReference"/>
        </w:rPr>
        <w:footnoteRef/>
      </w:r>
      <w:r>
        <w:t xml:space="preserve"> </w:t>
      </w:r>
      <w:r>
        <w:tab/>
        <w:t xml:space="preserve">Email from Jay McAlpine (R10) to Alan Schuler (ADEC); </w:t>
      </w:r>
      <w:r w:rsidRPr="00BE5FF5">
        <w:rPr>
          <w:i/>
        </w:rPr>
        <w:t>RE: new EPA clarification memo release – photochemical modeling alternative model demo.</w:t>
      </w:r>
      <w:r>
        <w:t xml:space="preserve">; August 7, 2017. </w:t>
      </w:r>
    </w:p>
  </w:footnote>
  <w:footnote w:id="89">
    <w:p w14:paraId="787889DC" w14:textId="43EA4210" w:rsidR="004830EA" w:rsidRPr="00BB7885" w:rsidRDefault="004830EA" w:rsidP="00377D68">
      <w:pPr>
        <w:ind w:left="270" w:hanging="270"/>
        <w:rPr>
          <w:sz w:val="20"/>
          <w:szCs w:val="20"/>
        </w:rPr>
      </w:pPr>
      <w:r w:rsidRPr="000D4ABA">
        <w:rPr>
          <w:rStyle w:val="FootnoteReference"/>
          <w:sz w:val="20"/>
          <w:szCs w:val="20"/>
        </w:rPr>
        <w:footnoteRef/>
      </w:r>
      <w:r w:rsidRPr="000D4ABA">
        <w:rPr>
          <w:sz w:val="20"/>
          <w:szCs w:val="20"/>
        </w:rPr>
        <w:t xml:space="preserve"> </w:t>
      </w:r>
      <w:r>
        <w:rPr>
          <w:sz w:val="20"/>
          <w:szCs w:val="20"/>
        </w:rPr>
        <w:tab/>
      </w:r>
      <w:r w:rsidRPr="00BB7885">
        <w:rPr>
          <w:i/>
          <w:sz w:val="20"/>
          <w:szCs w:val="20"/>
        </w:rPr>
        <w:t>Modeling Fugitive Dust Impacts from Surface Coal Mining Operations – Phase II Model Evaluation Protocol</w:t>
      </w:r>
      <w:r w:rsidRPr="00BB7885">
        <w:rPr>
          <w:sz w:val="20"/>
          <w:szCs w:val="20"/>
        </w:rPr>
        <w:t xml:space="preserve">; EPA-454/R-94-025; October 1994. Available at </w:t>
      </w:r>
      <w:hyperlink r:id="rId30" w:history="1">
        <w:r w:rsidRPr="00BB7885">
          <w:rPr>
            <w:rStyle w:val="Hyperlink"/>
            <w:sz w:val="20"/>
            <w:szCs w:val="20"/>
          </w:rPr>
          <w:t>https://nepis.epa.gov/</w:t>
        </w:r>
      </w:hyperlink>
      <w:r w:rsidRPr="00BB7885">
        <w:rPr>
          <w:rStyle w:val="Hyperlink"/>
          <w:sz w:val="20"/>
          <w:szCs w:val="20"/>
        </w:rPr>
        <w:t xml:space="preserve"> </w:t>
      </w:r>
      <w:r w:rsidRPr="000D4ABA">
        <w:rPr>
          <w:rStyle w:val="Hyperlink"/>
          <w:color w:val="000000" w:themeColor="text1"/>
          <w:sz w:val="20"/>
          <w:szCs w:val="20"/>
          <w:u w:val="none"/>
        </w:rPr>
        <w:t xml:space="preserve">or on the Juneau server at: </w:t>
      </w:r>
      <w:hyperlink r:id="rId31" w:history="1">
        <w:r w:rsidRPr="00EB6041">
          <w:rPr>
            <w:rStyle w:val="Hyperlink"/>
            <w:sz w:val="20"/>
            <w:szCs w:val="20"/>
          </w:rPr>
          <w:t>G:\AQ\PERMITS\Modeling\Documents\Haul Roads - Coal Mines</w:t>
        </w:r>
      </w:hyperlink>
      <w:r w:rsidRPr="000D4ABA">
        <w:rPr>
          <w:color w:val="000000" w:themeColor="text1"/>
          <w:sz w:val="20"/>
          <w:szCs w:val="20"/>
        </w:rPr>
        <w:t xml:space="preserve">. </w:t>
      </w:r>
    </w:p>
  </w:footnote>
  <w:footnote w:id="90">
    <w:p w14:paraId="434DB7F4" w14:textId="509EF1C8" w:rsidR="004830EA" w:rsidRDefault="004830EA" w:rsidP="00377D68">
      <w:pPr>
        <w:pStyle w:val="FootnoteText"/>
        <w:ind w:left="270" w:hanging="270"/>
      </w:pPr>
      <w:r>
        <w:rPr>
          <w:rStyle w:val="FootnoteReference"/>
        </w:rPr>
        <w:footnoteRef/>
      </w:r>
      <w:r>
        <w:t xml:space="preserve"> </w:t>
      </w:r>
      <w:r>
        <w:tab/>
        <w:t xml:space="preserve">Wesley, M., P. </w:t>
      </w:r>
      <w:proofErr w:type="spellStart"/>
      <w:r>
        <w:t>Doskey</w:t>
      </w:r>
      <w:proofErr w:type="spellEnd"/>
      <w:r>
        <w:t xml:space="preserve">, and J. Shannon, June 2002: </w:t>
      </w:r>
      <w:r w:rsidRPr="001570A0">
        <w:rPr>
          <w:i/>
        </w:rPr>
        <w:t>Deposition Parameterizations for the Industrial Source Complex (ISC3) Model</w:t>
      </w:r>
      <w:r>
        <w:t>.  ANL Report ANL/ER/TR-01/003, Argonne National Laboratory, Argonne, IL 60439.</w:t>
      </w:r>
    </w:p>
  </w:footnote>
  <w:footnote w:id="91">
    <w:p w14:paraId="7C54DD1C" w14:textId="0091C557" w:rsidR="004830EA" w:rsidRDefault="004830EA" w:rsidP="00377D68">
      <w:pPr>
        <w:pStyle w:val="FootnoteText"/>
        <w:ind w:left="270" w:hanging="270"/>
      </w:pPr>
      <w:r>
        <w:rPr>
          <w:rStyle w:val="FootnoteReference"/>
        </w:rPr>
        <w:footnoteRef/>
      </w:r>
      <w:r>
        <w:t xml:space="preserve"> </w:t>
      </w:r>
      <w:r>
        <w:tab/>
        <w:t xml:space="preserve">APP does not generally track run times, but staff once noted a five-fold increase in the run time when adding Method 1 deposition to a PM-10 sensitivity analysis.  </w:t>
      </w:r>
    </w:p>
  </w:footnote>
  <w:footnote w:id="92">
    <w:p w14:paraId="091E8A37" w14:textId="6711D40E" w:rsidR="004830EA" w:rsidRDefault="004830EA" w:rsidP="00377D68">
      <w:pPr>
        <w:pStyle w:val="FootnoteText"/>
        <w:ind w:left="270" w:hanging="270"/>
      </w:pPr>
      <w:r>
        <w:rPr>
          <w:rStyle w:val="FootnoteReference"/>
        </w:rPr>
        <w:footnoteRef/>
      </w:r>
      <w:r>
        <w:t xml:space="preserve"> </w:t>
      </w:r>
      <w:r>
        <w:tab/>
        <w:t xml:space="preserve">EPA has written a number of guidance documents regarding ambient air issues which may be found in their Modeling Clearinghouse Information Storage and Retrieval System (MCHISRS) or EPA Region 7’s “Title V, NSR/PSD Policy and Guidance Database” (see </w:t>
      </w:r>
      <w:hyperlink r:id="rId32" w:history="1">
        <w:r w:rsidRPr="005453EF">
          <w:rPr>
            <w:rStyle w:val="Hyperlink"/>
          </w:rPr>
          <w:t>http://cfpub.epa.gov/oarweb/MCHISRS/</w:t>
        </w:r>
      </w:hyperlink>
      <w:r>
        <w:t xml:space="preserve"> and </w:t>
      </w:r>
      <w:hyperlink r:id="rId33" w:history="1">
        <w:r>
          <w:rPr>
            <w:rStyle w:val="Hyperlink"/>
          </w:rPr>
          <w:t>https://www.epa.gov/home/advanced-search</w:t>
        </w:r>
      </w:hyperlink>
      <w:r>
        <w:t>).  The documents routinely use the phrase “fence or other physical barrier” when discussing an acceptable means for precluding public access at onshore locations. The phrase originated in a December</w:t>
      </w:r>
      <w:r w:rsidRPr="008E3429">
        <w:t> </w:t>
      </w:r>
      <w:r>
        <w:t xml:space="preserve">19, </w:t>
      </w:r>
      <w:proofErr w:type="gramStart"/>
      <w:r>
        <w:t>1980</w:t>
      </w:r>
      <w:proofErr w:type="gramEnd"/>
      <w:r>
        <w:t xml:space="preserve"> letter from EPA Administrator Douglas Costle to Senator Jennings Randolph. </w:t>
      </w:r>
    </w:p>
  </w:footnote>
  <w:footnote w:id="93">
    <w:p w14:paraId="37F083A1" w14:textId="21FF70E9" w:rsidR="004830EA" w:rsidRDefault="004830EA" w:rsidP="00377D68">
      <w:pPr>
        <w:pStyle w:val="FootnoteText"/>
        <w:ind w:left="270" w:hanging="270"/>
      </w:pPr>
      <w:r>
        <w:rPr>
          <w:rStyle w:val="FootnoteReference"/>
        </w:rPr>
        <w:footnoteRef/>
      </w:r>
      <w:r>
        <w:t xml:space="preserve"> </w:t>
      </w:r>
      <w:r>
        <w:tab/>
        <w:t>The Ninth</w:t>
      </w:r>
      <w:r w:rsidRPr="00FF690B">
        <w:t xml:space="preserve"> Circuit C</w:t>
      </w:r>
      <w:r>
        <w:t xml:space="preserve">ourt of Appeals confirmed in August 2012 (REDOIL v. EPA), that </w:t>
      </w:r>
      <w:proofErr w:type="spellStart"/>
      <w:r>
        <w:t>Costle’s</w:t>
      </w:r>
      <w:proofErr w:type="spellEnd"/>
      <w:r>
        <w:t xml:space="preserve"> 1980 letter was “clearly written with overland situations in mind.”  They further stated that an Environmental Appeal Board’s assessment that EPA requires some leeway in determining how to apply the ambient air regulation to an overwater situation “is just common sense.” </w:t>
      </w:r>
    </w:p>
  </w:footnote>
  <w:footnote w:id="94">
    <w:p w14:paraId="1796EF5F" w14:textId="53D926A9" w:rsidR="004830EA" w:rsidRDefault="004830EA" w:rsidP="00B01FCC">
      <w:pPr>
        <w:pStyle w:val="FootnoteText"/>
      </w:pPr>
      <w:r>
        <w:rPr>
          <w:rStyle w:val="FootnoteReference"/>
        </w:rPr>
        <w:footnoteRef/>
      </w:r>
      <w:r>
        <w:t xml:space="preserve"> </w:t>
      </w:r>
      <w:r w:rsidRPr="004B0B13">
        <w:t>TIFF is a tag-based file format for storing raster images</w:t>
      </w:r>
      <w:r>
        <w:t xml:space="preserve"> and is independent of computer architecture.  Additional cartographic tags are added to the TIFF format to tie a raster image to a known space model or map projection (from </w:t>
      </w:r>
      <w:hyperlink r:id="rId34" w:history="1">
        <w:r w:rsidRPr="00A6242C">
          <w:rPr>
            <w:rStyle w:val="Hyperlink"/>
          </w:rPr>
          <w:t>http://www.gisdevelopment.net/technology/ip/mi03117pf.htm</w:t>
        </w:r>
      </w:hyperlink>
      <w:r>
        <w:t>).</w:t>
      </w:r>
    </w:p>
  </w:footnote>
  <w:footnote w:id="95">
    <w:p w14:paraId="1469E04A" w14:textId="6329CE20" w:rsidR="004830EA" w:rsidRDefault="004830EA" w:rsidP="00377D68">
      <w:pPr>
        <w:pStyle w:val="FootnoteText"/>
        <w:ind w:left="270" w:hanging="270"/>
      </w:pPr>
      <w:r>
        <w:rPr>
          <w:rStyle w:val="FootnoteReference"/>
        </w:rPr>
        <w:footnoteRef/>
      </w:r>
      <w:r>
        <w:t xml:space="preserve"> </w:t>
      </w:r>
      <w:r>
        <w:tab/>
        <w:t xml:space="preserve">U.S. Geological Survey’s The National Map website at </w:t>
      </w:r>
      <w:hyperlink r:id="rId35" w:history="1">
        <w:r w:rsidRPr="00C2781A">
          <w:rPr>
            <w:rStyle w:val="Hyperlink"/>
          </w:rPr>
          <w:t>http://nationalmap.gov/elevation.html</w:t>
        </w:r>
      </w:hyperlink>
      <w:r>
        <w:t>.</w:t>
      </w:r>
    </w:p>
  </w:footnote>
  <w:footnote w:id="96">
    <w:p w14:paraId="3CCE2304" w14:textId="6A9FC2B3" w:rsidR="004830EA" w:rsidRDefault="004830EA" w:rsidP="00377D68">
      <w:pPr>
        <w:pStyle w:val="FootnoteText"/>
        <w:ind w:left="270" w:hanging="270"/>
      </w:pPr>
      <w:r>
        <w:rPr>
          <w:rStyle w:val="FootnoteReference"/>
        </w:rPr>
        <w:footnoteRef/>
      </w:r>
      <w:r>
        <w:t xml:space="preserve"> </w:t>
      </w:r>
      <w:r>
        <w:tab/>
      </w:r>
      <w:proofErr w:type="spellStart"/>
      <w:r>
        <w:t>ifsar</w:t>
      </w:r>
      <w:proofErr w:type="spellEnd"/>
      <w:r>
        <w:t xml:space="preserve"> – interferometric synthetic aperture radar</w:t>
      </w:r>
    </w:p>
  </w:footnote>
  <w:footnote w:id="97">
    <w:p w14:paraId="4B2229C4" w14:textId="79C337D7" w:rsidR="004830EA" w:rsidRDefault="004830EA" w:rsidP="00A0123E">
      <w:pPr>
        <w:pStyle w:val="FootnoteText"/>
        <w:spacing w:after="0"/>
        <w:ind w:left="270" w:hanging="270"/>
      </w:pPr>
      <w:r>
        <w:rPr>
          <w:rStyle w:val="FootnoteReference"/>
        </w:rPr>
        <w:footnoteRef/>
      </w:r>
      <w:r>
        <w:t xml:space="preserve"> </w:t>
      </w:r>
      <w:r>
        <w:tab/>
        <w:t xml:space="preserve">EPA Memorandum; </w:t>
      </w:r>
      <w:r w:rsidRPr="00B74D6B">
        <w:rPr>
          <w:i/>
        </w:rPr>
        <w:t>Applicability of PSD Increments to Building Rooftops</w:t>
      </w:r>
      <w:r>
        <w:t>, Joseph Cannon (Air and Radiation Assistant Administrator) to Charles Jeter (EPA Region IV Administrator); June 11, 1984.</w:t>
      </w:r>
    </w:p>
  </w:footnote>
  <w:footnote w:id="98">
    <w:p w14:paraId="6129CEBC" w14:textId="1AB1CD60" w:rsidR="004830EA" w:rsidRDefault="004830EA" w:rsidP="00A0123E">
      <w:pPr>
        <w:pStyle w:val="FootnoteText"/>
        <w:ind w:left="270" w:hanging="270"/>
      </w:pPr>
      <w:r>
        <w:rPr>
          <w:rStyle w:val="FootnoteReference"/>
        </w:rPr>
        <w:footnoteRef/>
      </w:r>
      <w:r>
        <w:t xml:space="preserve"> </w:t>
      </w:r>
      <w:r>
        <w:tab/>
        <w:t>Federal Register, Vol. 75, No. 26, February 9, 2010.</w:t>
      </w:r>
    </w:p>
  </w:footnote>
  <w:footnote w:id="99">
    <w:p w14:paraId="1BECF70A" w14:textId="50745A1C" w:rsidR="004830EA" w:rsidRDefault="004830EA" w:rsidP="00A0123E">
      <w:pPr>
        <w:pStyle w:val="FootnoteText"/>
        <w:ind w:left="270" w:hanging="270"/>
      </w:pPr>
      <w:r>
        <w:rPr>
          <w:rStyle w:val="FootnoteReference"/>
        </w:rPr>
        <w:footnoteRef/>
      </w:r>
      <w:r>
        <w:t xml:space="preserve"> </w:t>
      </w:r>
      <w:r>
        <w:tab/>
      </w:r>
      <w:hyperlink r:id="rId36" w:history="1">
        <w:r>
          <w:rPr>
            <w:rStyle w:val="Hyperlink"/>
          </w:rPr>
          <w:t>https://www.epa.gov/scram/clean-air-act-permit-modeling-guidance</w:t>
        </w:r>
      </w:hyperlink>
    </w:p>
  </w:footnote>
  <w:footnote w:id="100">
    <w:p w14:paraId="0C4C7381" w14:textId="3719E4B4" w:rsidR="004830EA" w:rsidRDefault="004830EA" w:rsidP="00DB48B6">
      <w:pPr>
        <w:pStyle w:val="FootnoteText"/>
        <w:ind w:left="270" w:hanging="270"/>
      </w:pPr>
      <w:r>
        <w:rPr>
          <w:rStyle w:val="FootnoteReference"/>
        </w:rPr>
        <w:footnoteRef/>
      </w:r>
      <w:r>
        <w:tab/>
        <w:t xml:space="preserve">As previously noted, a “project impact analysis” is called a “single source impact analysis” in Section 9.2.3 of the </w:t>
      </w:r>
      <w:r w:rsidRPr="00C42099">
        <w:t>Guideline</w:t>
      </w:r>
      <w:r>
        <w:t xml:space="preserve">. </w:t>
      </w:r>
    </w:p>
  </w:footnote>
  <w:footnote w:id="101">
    <w:p w14:paraId="2EC72FE0" w14:textId="2940D55A" w:rsidR="004830EA" w:rsidRDefault="004830EA" w:rsidP="00A0123E">
      <w:pPr>
        <w:pStyle w:val="FootnoteText"/>
        <w:ind w:left="270" w:hanging="270"/>
      </w:pPr>
      <w:r>
        <w:rPr>
          <w:rStyle w:val="FootnoteReference"/>
        </w:rPr>
        <w:footnoteRef/>
      </w:r>
      <w:r>
        <w:t xml:space="preserve"> </w:t>
      </w:r>
      <w:r>
        <w:tab/>
        <w:t xml:space="preserve">The SIL for PM-2.5 was vacated January 22, </w:t>
      </w:r>
      <w:proofErr w:type="gramStart"/>
      <w:r>
        <w:t>2013</w:t>
      </w:r>
      <w:proofErr w:type="gramEnd"/>
      <w:r>
        <w:t xml:space="preserve"> by the District of Columbia Circuit Court.</w:t>
      </w:r>
    </w:p>
  </w:footnote>
  <w:footnote w:id="102">
    <w:p w14:paraId="68E96268" w14:textId="66FF2650" w:rsidR="004830EA" w:rsidRDefault="004830EA" w:rsidP="00D82ECA">
      <w:pPr>
        <w:pStyle w:val="FootnoteText"/>
        <w:ind w:left="270" w:hanging="270"/>
      </w:pPr>
      <w:r>
        <w:rPr>
          <w:rStyle w:val="FootnoteReference"/>
        </w:rPr>
        <w:footnoteRef/>
      </w:r>
      <w:r>
        <w:t xml:space="preserve"> </w:t>
      </w:r>
      <w:r>
        <w:tab/>
        <w:t xml:space="preserve">ADEC did develop and store the </w:t>
      </w:r>
      <w:r w:rsidRPr="00FF4B2F">
        <w:rPr>
          <w:szCs w:val="20"/>
        </w:rPr>
        <w:t>NO</w:t>
      </w:r>
      <w:r w:rsidRPr="00FF4B2F">
        <w:rPr>
          <w:szCs w:val="20"/>
          <w:vertAlign w:val="subscript"/>
        </w:rPr>
        <w:t>2</w:t>
      </w:r>
      <w:r w:rsidRPr="00FF4B2F">
        <w:rPr>
          <w:szCs w:val="20"/>
        </w:rPr>
        <w:t>,</w:t>
      </w:r>
      <w:r>
        <w:t xml:space="preserve"> PM-10 and </w:t>
      </w:r>
      <w:r w:rsidRPr="00FF4B2F">
        <w:rPr>
          <w:szCs w:val="20"/>
        </w:rPr>
        <w:t>SO</w:t>
      </w:r>
      <w:r w:rsidRPr="00FF4B2F">
        <w:rPr>
          <w:szCs w:val="20"/>
          <w:vertAlign w:val="subscript"/>
        </w:rPr>
        <w:t>2</w:t>
      </w:r>
      <w:r w:rsidRPr="00FF4B2F">
        <w:rPr>
          <w:szCs w:val="20"/>
        </w:rPr>
        <w:t xml:space="preserve"> </w:t>
      </w:r>
      <w:r>
        <w:rPr>
          <w:szCs w:val="20"/>
        </w:rPr>
        <w:t xml:space="preserve">PSD </w:t>
      </w:r>
      <w:r>
        <w:t xml:space="preserve">baseline emissions and stack parameters for the Unalaska area, which are located in the City of Unalaska AIRFACS folder on the Juneau server at: </w:t>
      </w:r>
      <w:hyperlink r:id="rId37" w:history="1">
        <w:r>
          <w:rPr>
            <w:rStyle w:val="Hyperlink"/>
          </w:rPr>
          <w:t>G:\AQ\PERMITS\AIRFACS\Unalaska City of\Dutch Harbor Power Plant\PSD Baseline Inventories</w:t>
        </w:r>
      </w:hyperlink>
      <w:r>
        <w:t>.</w:t>
      </w:r>
    </w:p>
  </w:footnote>
  <w:footnote w:id="103">
    <w:p w14:paraId="09A7F3EC" w14:textId="77777777" w:rsidR="004830EA" w:rsidRDefault="004830EA" w:rsidP="0071493D">
      <w:pPr>
        <w:pStyle w:val="FootnoteText"/>
        <w:ind w:left="270" w:hanging="270"/>
      </w:pPr>
      <w:r>
        <w:rPr>
          <w:rStyle w:val="FootnoteReference"/>
        </w:rPr>
        <w:footnoteRef/>
      </w:r>
      <w:r>
        <w:t xml:space="preserve"> </w:t>
      </w:r>
      <w:r>
        <w:tab/>
        <w:t xml:space="preserve">EPA’s visibility workbook (VISCREEN User’s Guide) may be found in the “Screening Models” section of SCRAM (see </w:t>
      </w:r>
      <w:hyperlink r:id="rId38" w:history="1">
        <w:r>
          <w:rPr>
            <w:rStyle w:val="Hyperlink"/>
          </w:rPr>
          <w:t>https://www.epa.gov/scram/air-quality-dispersion-modeling-screening-models</w:t>
        </w:r>
      </w:hyperlink>
      <w:r>
        <w:t xml:space="preserve">). </w:t>
      </w:r>
    </w:p>
  </w:footnote>
  <w:footnote w:id="104">
    <w:p w14:paraId="320D5503" w14:textId="77777777" w:rsidR="004830EA" w:rsidRDefault="004830EA" w:rsidP="0071493D">
      <w:pPr>
        <w:pStyle w:val="FootnoteText"/>
        <w:ind w:left="270" w:hanging="270"/>
      </w:pPr>
      <w:r>
        <w:rPr>
          <w:rStyle w:val="FootnoteReference"/>
        </w:rPr>
        <w:footnoteRef/>
      </w:r>
      <w:r>
        <w:t xml:space="preserve"> </w:t>
      </w:r>
      <w:r>
        <w:tab/>
      </w:r>
      <w:hyperlink r:id="rId39" w:history="1">
        <w:r w:rsidRPr="00BD7138">
          <w:rPr>
            <w:rStyle w:val="Hyperlink"/>
            <w:i/>
          </w:rPr>
          <w:t>Interagency Workgroup on Air Quality Modeling (IWAQM) Phase 2 Summary Report and Recommendations for Modeling Long Range Transport Impacts</w:t>
        </w:r>
      </w:hyperlink>
      <w:r>
        <w:t>; EPA-454/R-92-019; December 1998.</w:t>
      </w:r>
    </w:p>
  </w:footnote>
  <w:footnote w:id="105">
    <w:p w14:paraId="44832B75" w14:textId="77777777" w:rsidR="004830EA" w:rsidRDefault="004830EA" w:rsidP="0071493D">
      <w:pPr>
        <w:pStyle w:val="FootnoteText"/>
        <w:ind w:left="270" w:hanging="270"/>
      </w:pPr>
      <w:r>
        <w:rPr>
          <w:rStyle w:val="FootnoteReference"/>
        </w:rPr>
        <w:footnoteRef/>
      </w:r>
      <w:r>
        <w:t xml:space="preserve"> </w:t>
      </w:r>
      <w:r>
        <w:tab/>
        <w:t xml:space="preserve">See </w:t>
      </w:r>
      <w:hyperlink r:id="rId40" w:history="1">
        <w:r w:rsidRPr="007D1503">
          <w:rPr>
            <w:rStyle w:val="Hyperlink"/>
          </w:rPr>
          <w:t>https://www.nature.nps.gov/air/Permits/flag/index.cfm</w:t>
        </w:r>
      </w:hyperlink>
      <w:r>
        <w:t xml:space="preserve"> </w:t>
      </w:r>
    </w:p>
  </w:footnote>
  <w:footnote w:id="106">
    <w:p w14:paraId="67389354" w14:textId="4E7CE4F1" w:rsidR="004830EA" w:rsidRDefault="004830EA" w:rsidP="00ED3D63">
      <w:pPr>
        <w:pStyle w:val="FootnoteText"/>
        <w:ind w:left="270" w:hanging="270"/>
      </w:pPr>
      <w:r>
        <w:rPr>
          <w:rStyle w:val="FootnoteReference"/>
        </w:rPr>
        <w:footnoteRef/>
      </w:r>
      <w:r>
        <w:t xml:space="preserve"> </w:t>
      </w:r>
      <w:r>
        <w:tab/>
        <w:t xml:space="preserve">EPA Memorandum, </w:t>
      </w:r>
      <w:r w:rsidRPr="00ED3D63">
        <w:rPr>
          <w:i/>
        </w:rPr>
        <w:t>Guidance on Significant Impact Levels for Ozone and Fine Particulates in the Prevention of Significant Deterioration Permitting Program</w:t>
      </w:r>
      <w:r>
        <w:t xml:space="preserve">, Peter Tsirigotis to Regional Air Division Directors; April 17, 2018. </w:t>
      </w:r>
    </w:p>
  </w:footnote>
  <w:footnote w:id="107">
    <w:p w14:paraId="027396C4" w14:textId="5D6E15E6" w:rsidR="004830EA" w:rsidRDefault="004830EA">
      <w:pPr>
        <w:pStyle w:val="FootnoteText"/>
      </w:pPr>
      <w:r>
        <w:rPr>
          <w:rStyle w:val="FootnoteReference"/>
        </w:rPr>
        <w:footnoteRef/>
      </w:r>
      <w:r>
        <w:t xml:space="preserve"> The Department of the Interior split the Mineral Management Service (MMS) into three new federal agencies in 2011.  The responsibility for managing OCD currently lies with the Bureau of Ocean Energy Management (BOEM). </w:t>
      </w:r>
    </w:p>
  </w:footnote>
  <w:footnote w:id="108">
    <w:p w14:paraId="7709A948" w14:textId="7E241B69" w:rsidR="004830EA" w:rsidRDefault="004830EA">
      <w:pPr>
        <w:pStyle w:val="FootnoteText"/>
      </w:pPr>
      <w:r>
        <w:rPr>
          <w:rStyle w:val="FootnoteReference"/>
        </w:rPr>
        <w:footnoteRef/>
      </w:r>
      <w:r>
        <w:t xml:space="preserve"> The conversations with Mr. </w:t>
      </w:r>
      <w:proofErr w:type="spellStart"/>
      <w:r>
        <w:t>Herkhof</w:t>
      </w:r>
      <w:proofErr w:type="spellEnd"/>
      <w:r>
        <w:t xml:space="preserve"> occurred in March 2000.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65C9E" w14:textId="77777777" w:rsidR="004B5434" w:rsidRDefault="004B54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97D18" w14:textId="77777777" w:rsidR="004B5434" w:rsidRDefault="004B54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C2A69" w14:textId="77777777" w:rsidR="004B5434" w:rsidRDefault="004B543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A7ED7" w14:textId="77777777" w:rsidR="004830EA" w:rsidRPr="00CB06FB" w:rsidRDefault="004830EA" w:rsidP="008C262A">
    <w:pPr>
      <w:pStyle w:val="Header"/>
      <w:pBdr>
        <w:bottom w:val="single" w:sz="4" w:space="6" w:color="auto"/>
      </w:pBdr>
      <w:tabs>
        <w:tab w:val="clear" w:pos="4320"/>
      </w:tabs>
      <w:spacing w:after="0"/>
      <w:rPr>
        <w:sz w:val="20"/>
        <w:szCs w:val="20"/>
      </w:rPr>
    </w:pPr>
    <w:r>
      <w:rPr>
        <w:sz w:val="16"/>
      </w:rPr>
      <w:tab/>
    </w:r>
    <w:r w:rsidRPr="00CB06FB">
      <w:rPr>
        <w:sz w:val="20"/>
        <w:szCs w:val="20"/>
      </w:rPr>
      <w:t xml:space="preserve">ADEC Modeling Review Procedures Manual </w:t>
    </w:r>
  </w:p>
  <w:p w14:paraId="6F50EB59" w14:textId="77777777" w:rsidR="004830EA" w:rsidRDefault="004830EA" w:rsidP="00752CC4">
    <w:pPr>
      <w:spacing w:after="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ECD7D" w14:textId="77777777" w:rsidR="004830EA" w:rsidRPr="00F11063" w:rsidRDefault="004830EA" w:rsidP="00BF2D2F">
    <w:pPr>
      <w:pStyle w:val="Header"/>
      <w:tabs>
        <w:tab w:val="clear" w:pos="4320"/>
        <w:tab w:val="clear" w:pos="8640"/>
        <w:tab w:val="right" w:pos="13680"/>
      </w:tabs>
      <w:spacing w:after="0"/>
      <w:rPr>
        <w:sz w:val="20"/>
        <w:szCs w:val="20"/>
      </w:rPr>
    </w:pPr>
    <w:r>
      <w:rPr>
        <w:sz w:val="16"/>
      </w:rPr>
      <w:tab/>
    </w:r>
    <w:r w:rsidRPr="00F11063">
      <w:rPr>
        <w:sz w:val="20"/>
        <w:szCs w:val="20"/>
      </w:rPr>
      <w:t xml:space="preserve">ADEC Modeling Review Procedures Manual </w:t>
    </w:r>
  </w:p>
  <w:p w14:paraId="007E1E70" w14:textId="7B8E84CD" w:rsidR="004830EA" w:rsidRDefault="004830EA">
    <w:r>
      <w:rPr>
        <w:noProof/>
      </w:rPr>
      <mc:AlternateContent>
        <mc:Choice Requires="wps">
          <w:drawing>
            <wp:anchor distT="0" distB="0" distL="114300" distR="114300" simplePos="0" relativeHeight="251678720" behindDoc="0" locked="0" layoutInCell="0" allowOverlap="1" wp14:anchorId="6429DB57" wp14:editId="0E2D5124">
              <wp:simplePos x="0" y="0"/>
              <wp:positionH relativeFrom="column">
                <wp:posOffset>345440</wp:posOffset>
              </wp:positionH>
              <wp:positionV relativeFrom="paragraph">
                <wp:posOffset>99060</wp:posOffset>
              </wp:positionV>
              <wp:extent cx="8341360" cy="0"/>
              <wp:effectExtent l="12065" t="8890" r="9525" b="10160"/>
              <wp:wrapNone/>
              <wp:docPr id="48"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41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562CFE" id="Line 39"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pt,7.8pt" to="684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wrT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" o:allowincell="f"/>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4DE09" w14:textId="77777777" w:rsidR="004830EA" w:rsidRPr="00F11063" w:rsidRDefault="004830EA" w:rsidP="00FD65F9">
    <w:pPr>
      <w:pStyle w:val="Header"/>
      <w:pBdr>
        <w:bottom w:val="single" w:sz="4" w:space="4" w:color="auto"/>
      </w:pBdr>
      <w:tabs>
        <w:tab w:val="clear" w:pos="4320"/>
      </w:tabs>
      <w:spacing w:after="0"/>
      <w:rPr>
        <w:sz w:val="20"/>
        <w:szCs w:val="20"/>
      </w:rPr>
    </w:pPr>
    <w:r>
      <w:rPr>
        <w:sz w:val="16"/>
      </w:rPr>
      <w:tab/>
    </w:r>
    <w:r w:rsidRPr="00F11063">
      <w:rPr>
        <w:sz w:val="20"/>
        <w:szCs w:val="20"/>
      </w:rPr>
      <w:t xml:space="preserve">ADEC Modeling Review Procedures Manual </w:t>
    </w:r>
  </w:p>
  <w:p w14:paraId="0CB6E746" w14:textId="77777777" w:rsidR="004830EA" w:rsidRDefault="004830EA" w:rsidP="00651E45">
    <w:pPr>
      <w:pStyle w:val="Header"/>
      <w:tabs>
        <w:tab w:val="clear" w:pos="8640"/>
        <w:tab w:val="right" w:pos="8460"/>
      </w:tabs>
      <w:spacing w:after="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61285"/>
    <w:multiLevelType w:val="singleLevel"/>
    <w:tmpl w:val="6FBE69C4"/>
    <w:lvl w:ilvl="0">
      <w:numFmt w:val="bullet"/>
      <w:lvlText w:val=""/>
      <w:lvlJc w:val="left"/>
      <w:pPr>
        <w:tabs>
          <w:tab w:val="num" w:pos="720"/>
        </w:tabs>
        <w:ind w:left="720" w:hanging="480"/>
      </w:pPr>
      <w:rPr>
        <w:rFonts w:ascii="Wingdings" w:hAnsi="Wingdings" w:hint="default"/>
        <w:b/>
        <w:sz w:val="28"/>
      </w:rPr>
    </w:lvl>
  </w:abstractNum>
  <w:abstractNum w:abstractNumId="1" w15:restartNumberingAfterBreak="0">
    <w:nsid w:val="00305861"/>
    <w:multiLevelType w:val="hybridMultilevel"/>
    <w:tmpl w:val="C1D24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7005D0"/>
    <w:multiLevelType w:val="singleLevel"/>
    <w:tmpl w:val="6FBE69C4"/>
    <w:lvl w:ilvl="0">
      <w:numFmt w:val="bullet"/>
      <w:lvlText w:val=""/>
      <w:lvlJc w:val="left"/>
      <w:pPr>
        <w:tabs>
          <w:tab w:val="num" w:pos="720"/>
        </w:tabs>
        <w:ind w:left="720" w:hanging="480"/>
      </w:pPr>
      <w:rPr>
        <w:rFonts w:ascii="Wingdings" w:hAnsi="Wingdings" w:hint="default"/>
        <w:b/>
        <w:sz w:val="28"/>
      </w:rPr>
    </w:lvl>
  </w:abstractNum>
  <w:abstractNum w:abstractNumId="3" w15:restartNumberingAfterBreak="0">
    <w:nsid w:val="01136729"/>
    <w:multiLevelType w:val="multilevel"/>
    <w:tmpl w:val="CB1A471A"/>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780"/>
        </w:tabs>
        <w:ind w:left="780" w:hanging="4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4" w15:restartNumberingAfterBreak="0">
    <w:nsid w:val="017222A1"/>
    <w:multiLevelType w:val="singleLevel"/>
    <w:tmpl w:val="6FBE69C4"/>
    <w:lvl w:ilvl="0">
      <w:numFmt w:val="bullet"/>
      <w:lvlText w:val=""/>
      <w:lvlJc w:val="left"/>
      <w:pPr>
        <w:tabs>
          <w:tab w:val="num" w:pos="720"/>
        </w:tabs>
        <w:ind w:left="720" w:hanging="480"/>
      </w:pPr>
      <w:rPr>
        <w:rFonts w:ascii="Wingdings" w:hAnsi="Wingdings" w:hint="default"/>
        <w:b/>
        <w:sz w:val="28"/>
      </w:rPr>
    </w:lvl>
  </w:abstractNum>
  <w:abstractNum w:abstractNumId="5" w15:restartNumberingAfterBreak="0">
    <w:nsid w:val="04055E2B"/>
    <w:multiLevelType w:val="hybridMultilevel"/>
    <w:tmpl w:val="9F8660AA"/>
    <w:lvl w:ilvl="0" w:tplc="9276662A">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4682FF0"/>
    <w:multiLevelType w:val="multilevel"/>
    <w:tmpl w:val="297E30F8"/>
    <w:lvl w:ilvl="0">
      <w:start w:val="1"/>
      <w:numFmt w:val="decimal"/>
      <w:pStyle w:val="StyleHeading1Left0Firstline0"/>
      <w:lvlText w:val="%1."/>
      <w:lvlJc w:val="left"/>
      <w:pPr>
        <w:tabs>
          <w:tab w:val="num" w:pos="720"/>
        </w:tabs>
        <w:ind w:left="720" w:hanging="72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062A39D6"/>
    <w:multiLevelType w:val="singleLevel"/>
    <w:tmpl w:val="6FBE69C4"/>
    <w:lvl w:ilvl="0">
      <w:numFmt w:val="bullet"/>
      <w:lvlText w:val=""/>
      <w:lvlJc w:val="left"/>
      <w:pPr>
        <w:tabs>
          <w:tab w:val="num" w:pos="720"/>
        </w:tabs>
        <w:ind w:left="720" w:hanging="480"/>
      </w:pPr>
      <w:rPr>
        <w:rFonts w:ascii="Wingdings" w:hAnsi="Wingdings" w:hint="default"/>
        <w:b/>
        <w:sz w:val="28"/>
      </w:rPr>
    </w:lvl>
  </w:abstractNum>
  <w:abstractNum w:abstractNumId="8" w15:restartNumberingAfterBreak="0">
    <w:nsid w:val="074635E5"/>
    <w:multiLevelType w:val="hybridMultilevel"/>
    <w:tmpl w:val="BF6E9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9AF406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DE3B98"/>
    <w:multiLevelType w:val="singleLevel"/>
    <w:tmpl w:val="6FBE69C4"/>
    <w:lvl w:ilvl="0">
      <w:numFmt w:val="bullet"/>
      <w:lvlText w:val=""/>
      <w:lvlJc w:val="left"/>
      <w:pPr>
        <w:tabs>
          <w:tab w:val="num" w:pos="720"/>
        </w:tabs>
        <w:ind w:left="720" w:hanging="480"/>
      </w:pPr>
      <w:rPr>
        <w:rFonts w:ascii="Wingdings" w:hAnsi="Wingdings" w:hint="default"/>
        <w:b/>
        <w:sz w:val="28"/>
      </w:rPr>
    </w:lvl>
  </w:abstractNum>
  <w:abstractNum w:abstractNumId="11" w15:restartNumberingAfterBreak="0">
    <w:nsid w:val="0CC7604D"/>
    <w:multiLevelType w:val="hybridMultilevel"/>
    <w:tmpl w:val="690085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DE669D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EE47A31"/>
    <w:multiLevelType w:val="singleLevel"/>
    <w:tmpl w:val="0D0CF98E"/>
    <w:lvl w:ilvl="0">
      <w:start w:val="2"/>
      <w:numFmt w:val="decimal"/>
      <w:lvlText w:val=""/>
      <w:lvlJc w:val="left"/>
      <w:pPr>
        <w:tabs>
          <w:tab w:val="num" w:pos="360"/>
        </w:tabs>
        <w:ind w:left="360" w:hanging="360"/>
      </w:pPr>
      <w:rPr>
        <w:rFonts w:hint="default"/>
      </w:rPr>
    </w:lvl>
  </w:abstractNum>
  <w:abstractNum w:abstractNumId="14" w15:restartNumberingAfterBreak="0">
    <w:nsid w:val="10B47CDD"/>
    <w:multiLevelType w:val="hybridMultilevel"/>
    <w:tmpl w:val="D97053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19B09FD"/>
    <w:multiLevelType w:val="singleLevel"/>
    <w:tmpl w:val="6FBE69C4"/>
    <w:lvl w:ilvl="0">
      <w:numFmt w:val="bullet"/>
      <w:lvlText w:val=""/>
      <w:lvlJc w:val="left"/>
      <w:pPr>
        <w:tabs>
          <w:tab w:val="num" w:pos="720"/>
        </w:tabs>
        <w:ind w:left="720" w:hanging="480"/>
      </w:pPr>
      <w:rPr>
        <w:rFonts w:ascii="Wingdings" w:hAnsi="Wingdings" w:hint="default"/>
        <w:b/>
        <w:sz w:val="28"/>
      </w:rPr>
    </w:lvl>
  </w:abstractNum>
  <w:abstractNum w:abstractNumId="16" w15:restartNumberingAfterBreak="0">
    <w:nsid w:val="11A81515"/>
    <w:multiLevelType w:val="hybridMultilevel"/>
    <w:tmpl w:val="FE56BA0E"/>
    <w:lvl w:ilvl="0" w:tplc="04090001">
      <w:start w:val="1"/>
      <w:numFmt w:val="bullet"/>
      <w:lvlText w:val=""/>
      <w:lvlJc w:val="left"/>
      <w:pPr>
        <w:tabs>
          <w:tab w:val="num" w:pos="1560"/>
        </w:tabs>
        <w:ind w:left="1560" w:hanging="360"/>
      </w:pPr>
      <w:rPr>
        <w:rFonts w:ascii="Symbol" w:hAnsi="Symbol" w:hint="default"/>
      </w:rPr>
    </w:lvl>
    <w:lvl w:ilvl="1" w:tplc="04090003" w:tentative="1">
      <w:start w:val="1"/>
      <w:numFmt w:val="bullet"/>
      <w:lvlText w:val="o"/>
      <w:lvlJc w:val="left"/>
      <w:pPr>
        <w:tabs>
          <w:tab w:val="num" w:pos="2280"/>
        </w:tabs>
        <w:ind w:left="2280" w:hanging="360"/>
      </w:pPr>
      <w:rPr>
        <w:rFonts w:ascii="Courier New" w:hAnsi="Courier New" w:cs="Courier New" w:hint="default"/>
      </w:rPr>
    </w:lvl>
    <w:lvl w:ilvl="2" w:tplc="04090005" w:tentative="1">
      <w:start w:val="1"/>
      <w:numFmt w:val="bullet"/>
      <w:lvlText w:val=""/>
      <w:lvlJc w:val="left"/>
      <w:pPr>
        <w:tabs>
          <w:tab w:val="num" w:pos="3000"/>
        </w:tabs>
        <w:ind w:left="3000" w:hanging="360"/>
      </w:pPr>
      <w:rPr>
        <w:rFonts w:ascii="Wingdings" w:hAnsi="Wingdings" w:hint="default"/>
      </w:rPr>
    </w:lvl>
    <w:lvl w:ilvl="3" w:tplc="04090001" w:tentative="1">
      <w:start w:val="1"/>
      <w:numFmt w:val="bullet"/>
      <w:lvlText w:val=""/>
      <w:lvlJc w:val="left"/>
      <w:pPr>
        <w:tabs>
          <w:tab w:val="num" w:pos="3720"/>
        </w:tabs>
        <w:ind w:left="3720" w:hanging="360"/>
      </w:pPr>
      <w:rPr>
        <w:rFonts w:ascii="Symbol" w:hAnsi="Symbol" w:hint="default"/>
      </w:rPr>
    </w:lvl>
    <w:lvl w:ilvl="4" w:tplc="04090003" w:tentative="1">
      <w:start w:val="1"/>
      <w:numFmt w:val="bullet"/>
      <w:lvlText w:val="o"/>
      <w:lvlJc w:val="left"/>
      <w:pPr>
        <w:tabs>
          <w:tab w:val="num" w:pos="4440"/>
        </w:tabs>
        <w:ind w:left="4440" w:hanging="360"/>
      </w:pPr>
      <w:rPr>
        <w:rFonts w:ascii="Courier New" w:hAnsi="Courier New" w:cs="Courier New" w:hint="default"/>
      </w:rPr>
    </w:lvl>
    <w:lvl w:ilvl="5" w:tplc="04090005" w:tentative="1">
      <w:start w:val="1"/>
      <w:numFmt w:val="bullet"/>
      <w:lvlText w:val=""/>
      <w:lvlJc w:val="left"/>
      <w:pPr>
        <w:tabs>
          <w:tab w:val="num" w:pos="5160"/>
        </w:tabs>
        <w:ind w:left="5160" w:hanging="360"/>
      </w:pPr>
      <w:rPr>
        <w:rFonts w:ascii="Wingdings" w:hAnsi="Wingdings" w:hint="default"/>
      </w:rPr>
    </w:lvl>
    <w:lvl w:ilvl="6" w:tplc="04090001" w:tentative="1">
      <w:start w:val="1"/>
      <w:numFmt w:val="bullet"/>
      <w:lvlText w:val=""/>
      <w:lvlJc w:val="left"/>
      <w:pPr>
        <w:tabs>
          <w:tab w:val="num" w:pos="5880"/>
        </w:tabs>
        <w:ind w:left="5880" w:hanging="360"/>
      </w:pPr>
      <w:rPr>
        <w:rFonts w:ascii="Symbol" w:hAnsi="Symbol" w:hint="default"/>
      </w:rPr>
    </w:lvl>
    <w:lvl w:ilvl="7" w:tplc="04090003" w:tentative="1">
      <w:start w:val="1"/>
      <w:numFmt w:val="bullet"/>
      <w:lvlText w:val="o"/>
      <w:lvlJc w:val="left"/>
      <w:pPr>
        <w:tabs>
          <w:tab w:val="num" w:pos="6600"/>
        </w:tabs>
        <w:ind w:left="6600" w:hanging="360"/>
      </w:pPr>
      <w:rPr>
        <w:rFonts w:ascii="Courier New" w:hAnsi="Courier New" w:cs="Courier New" w:hint="default"/>
      </w:rPr>
    </w:lvl>
    <w:lvl w:ilvl="8" w:tplc="04090005" w:tentative="1">
      <w:start w:val="1"/>
      <w:numFmt w:val="bullet"/>
      <w:lvlText w:val=""/>
      <w:lvlJc w:val="left"/>
      <w:pPr>
        <w:tabs>
          <w:tab w:val="num" w:pos="7320"/>
        </w:tabs>
        <w:ind w:left="7320" w:hanging="360"/>
      </w:pPr>
      <w:rPr>
        <w:rFonts w:ascii="Wingdings" w:hAnsi="Wingdings" w:hint="default"/>
      </w:rPr>
    </w:lvl>
  </w:abstractNum>
  <w:abstractNum w:abstractNumId="17" w15:restartNumberingAfterBreak="0">
    <w:nsid w:val="11D260F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126563CE"/>
    <w:multiLevelType w:val="hybridMultilevel"/>
    <w:tmpl w:val="4BB615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4DE3244"/>
    <w:multiLevelType w:val="singleLevel"/>
    <w:tmpl w:val="6FBE69C4"/>
    <w:lvl w:ilvl="0">
      <w:numFmt w:val="bullet"/>
      <w:lvlText w:val=""/>
      <w:lvlJc w:val="left"/>
      <w:pPr>
        <w:tabs>
          <w:tab w:val="num" w:pos="720"/>
        </w:tabs>
        <w:ind w:left="720" w:hanging="480"/>
      </w:pPr>
      <w:rPr>
        <w:rFonts w:ascii="Wingdings" w:hAnsi="Wingdings" w:hint="default"/>
        <w:b/>
        <w:sz w:val="28"/>
      </w:rPr>
    </w:lvl>
  </w:abstractNum>
  <w:abstractNum w:abstractNumId="20" w15:restartNumberingAfterBreak="0">
    <w:nsid w:val="15F33FA8"/>
    <w:multiLevelType w:val="singleLevel"/>
    <w:tmpl w:val="576C6452"/>
    <w:lvl w:ilvl="0">
      <w:numFmt w:val="bullet"/>
      <w:pStyle w:val="CheckReminder"/>
      <w:lvlText w:val=""/>
      <w:lvlJc w:val="left"/>
      <w:pPr>
        <w:tabs>
          <w:tab w:val="num" w:pos="720"/>
        </w:tabs>
        <w:ind w:left="720" w:hanging="480"/>
      </w:pPr>
      <w:rPr>
        <w:rFonts w:ascii="Wingdings" w:hAnsi="Wingdings" w:hint="default"/>
        <w:b/>
        <w:sz w:val="28"/>
      </w:rPr>
    </w:lvl>
  </w:abstractNum>
  <w:abstractNum w:abstractNumId="21" w15:restartNumberingAfterBreak="0">
    <w:nsid w:val="164A44D9"/>
    <w:multiLevelType w:val="singleLevel"/>
    <w:tmpl w:val="0409000F"/>
    <w:lvl w:ilvl="0">
      <w:start w:val="1"/>
      <w:numFmt w:val="decimal"/>
      <w:lvlText w:val="%1."/>
      <w:lvlJc w:val="left"/>
      <w:pPr>
        <w:tabs>
          <w:tab w:val="num" w:pos="360"/>
        </w:tabs>
        <w:ind w:left="360" w:hanging="360"/>
      </w:pPr>
    </w:lvl>
  </w:abstractNum>
  <w:abstractNum w:abstractNumId="22" w15:restartNumberingAfterBreak="0">
    <w:nsid w:val="17B3654B"/>
    <w:multiLevelType w:val="hybridMultilevel"/>
    <w:tmpl w:val="E1AAC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8E6700D"/>
    <w:multiLevelType w:val="singleLevel"/>
    <w:tmpl w:val="6FBE69C4"/>
    <w:lvl w:ilvl="0">
      <w:numFmt w:val="bullet"/>
      <w:lvlText w:val=""/>
      <w:lvlJc w:val="left"/>
      <w:pPr>
        <w:tabs>
          <w:tab w:val="num" w:pos="720"/>
        </w:tabs>
        <w:ind w:left="720" w:hanging="480"/>
      </w:pPr>
      <w:rPr>
        <w:rFonts w:ascii="Wingdings" w:hAnsi="Wingdings" w:hint="default"/>
        <w:b/>
        <w:sz w:val="28"/>
      </w:rPr>
    </w:lvl>
  </w:abstractNum>
  <w:abstractNum w:abstractNumId="24" w15:restartNumberingAfterBreak="0">
    <w:nsid w:val="1B9C5DFA"/>
    <w:multiLevelType w:val="singleLevel"/>
    <w:tmpl w:val="6FBE69C4"/>
    <w:lvl w:ilvl="0">
      <w:numFmt w:val="bullet"/>
      <w:lvlText w:val=""/>
      <w:lvlJc w:val="left"/>
      <w:pPr>
        <w:tabs>
          <w:tab w:val="num" w:pos="720"/>
        </w:tabs>
        <w:ind w:left="720" w:hanging="480"/>
      </w:pPr>
      <w:rPr>
        <w:rFonts w:ascii="Wingdings" w:hAnsi="Wingdings" w:hint="default"/>
        <w:b/>
        <w:sz w:val="28"/>
      </w:rPr>
    </w:lvl>
  </w:abstractNum>
  <w:abstractNum w:abstractNumId="25" w15:restartNumberingAfterBreak="0">
    <w:nsid w:val="22250DB4"/>
    <w:multiLevelType w:val="hybridMultilevel"/>
    <w:tmpl w:val="AA6C6F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24C70DC"/>
    <w:multiLevelType w:val="multilevel"/>
    <w:tmpl w:val="9C8E80D2"/>
    <w:lvl w:ilvl="0">
      <w:start w:val="1"/>
      <w:numFmt w:val="decimal"/>
      <w:pStyle w:val="Heading1"/>
      <w:lvlText w:val="%1."/>
      <w:lvlJc w:val="left"/>
      <w:pPr>
        <w:tabs>
          <w:tab w:val="num" w:pos="810"/>
        </w:tabs>
        <w:ind w:left="810" w:hanging="720"/>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1080"/>
        </w:tabs>
        <w:ind w:left="1080" w:hanging="720"/>
      </w:pPr>
      <w:rPr>
        <w:rFonts w:hint="default"/>
      </w:rPr>
    </w:lvl>
    <w:lvl w:ilvl="3">
      <w:start w:val="1"/>
      <w:numFmt w:val="decimal"/>
      <w:pStyle w:val="Heading4"/>
      <w:lvlText w:val="%1.%2.%3.%4"/>
      <w:lvlJc w:val="left"/>
      <w:pPr>
        <w:tabs>
          <w:tab w:val="num" w:pos="2034"/>
        </w:tabs>
        <w:ind w:left="203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7" w15:restartNumberingAfterBreak="0">
    <w:nsid w:val="22723050"/>
    <w:multiLevelType w:val="hybridMultilevel"/>
    <w:tmpl w:val="7ED42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35B07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239C4E71"/>
    <w:multiLevelType w:val="hybridMultilevel"/>
    <w:tmpl w:val="C024984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25AE2FA6"/>
    <w:multiLevelType w:val="hybridMultilevel"/>
    <w:tmpl w:val="63064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77621A3"/>
    <w:multiLevelType w:val="singleLevel"/>
    <w:tmpl w:val="6FBE69C4"/>
    <w:lvl w:ilvl="0">
      <w:numFmt w:val="bullet"/>
      <w:lvlText w:val=""/>
      <w:lvlJc w:val="left"/>
      <w:pPr>
        <w:tabs>
          <w:tab w:val="num" w:pos="720"/>
        </w:tabs>
        <w:ind w:left="720" w:hanging="480"/>
      </w:pPr>
      <w:rPr>
        <w:rFonts w:ascii="Wingdings" w:hAnsi="Wingdings" w:hint="default"/>
        <w:b/>
        <w:sz w:val="28"/>
      </w:rPr>
    </w:lvl>
  </w:abstractNum>
  <w:abstractNum w:abstractNumId="32" w15:restartNumberingAfterBreak="0">
    <w:nsid w:val="2A13506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2B6035D5"/>
    <w:multiLevelType w:val="hybridMultilevel"/>
    <w:tmpl w:val="B83C6AB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D1D5E69"/>
    <w:multiLevelType w:val="hybridMultilevel"/>
    <w:tmpl w:val="61BCFB2C"/>
    <w:lvl w:ilvl="0" w:tplc="89A60648">
      <w:start w:val="1"/>
      <w:numFmt w:val="bullet"/>
      <w:lvlText w:val="•"/>
      <w:lvlJc w:val="left"/>
      <w:pPr>
        <w:tabs>
          <w:tab w:val="num" w:pos="720"/>
        </w:tabs>
        <w:ind w:left="720" w:hanging="360"/>
      </w:pPr>
      <w:rPr>
        <w:rFonts w:ascii="Times New Roman" w:hAnsi="Times New Roman" w:hint="default"/>
      </w:rPr>
    </w:lvl>
    <w:lvl w:ilvl="1" w:tplc="316661A0">
      <w:start w:val="32"/>
      <w:numFmt w:val="bullet"/>
      <w:lvlText w:val="–"/>
      <w:lvlJc w:val="left"/>
      <w:pPr>
        <w:tabs>
          <w:tab w:val="num" w:pos="1440"/>
        </w:tabs>
        <w:ind w:left="1440" w:hanging="360"/>
      </w:pPr>
      <w:rPr>
        <w:rFonts w:ascii="Times New Roman" w:hAnsi="Times New Roman" w:hint="default"/>
      </w:rPr>
    </w:lvl>
    <w:lvl w:ilvl="2" w:tplc="B2A268A2">
      <w:start w:val="32"/>
      <w:numFmt w:val="bullet"/>
      <w:lvlText w:val="•"/>
      <w:lvlJc w:val="left"/>
      <w:pPr>
        <w:tabs>
          <w:tab w:val="num" w:pos="2160"/>
        </w:tabs>
        <w:ind w:left="2160" w:hanging="360"/>
      </w:pPr>
      <w:rPr>
        <w:rFonts w:ascii="Times New Roman" w:hAnsi="Times New Roman" w:hint="default"/>
      </w:rPr>
    </w:lvl>
    <w:lvl w:ilvl="3" w:tplc="AFCE12B0" w:tentative="1">
      <w:start w:val="1"/>
      <w:numFmt w:val="bullet"/>
      <w:lvlText w:val="•"/>
      <w:lvlJc w:val="left"/>
      <w:pPr>
        <w:tabs>
          <w:tab w:val="num" w:pos="2880"/>
        </w:tabs>
        <w:ind w:left="2880" w:hanging="360"/>
      </w:pPr>
      <w:rPr>
        <w:rFonts w:ascii="Times New Roman" w:hAnsi="Times New Roman" w:hint="default"/>
      </w:rPr>
    </w:lvl>
    <w:lvl w:ilvl="4" w:tplc="48322F76" w:tentative="1">
      <w:start w:val="1"/>
      <w:numFmt w:val="bullet"/>
      <w:lvlText w:val="•"/>
      <w:lvlJc w:val="left"/>
      <w:pPr>
        <w:tabs>
          <w:tab w:val="num" w:pos="3600"/>
        </w:tabs>
        <w:ind w:left="3600" w:hanging="360"/>
      </w:pPr>
      <w:rPr>
        <w:rFonts w:ascii="Times New Roman" w:hAnsi="Times New Roman" w:hint="default"/>
      </w:rPr>
    </w:lvl>
    <w:lvl w:ilvl="5" w:tplc="27F2CE02" w:tentative="1">
      <w:start w:val="1"/>
      <w:numFmt w:val="bullet"/>
      <w:lvlText w:val="•"/>
      <w:lvlJc w:val="left"/>
      <w:pPr>
        <w:tabs>
          <w:tab w:val="num" w:pos="4320"/>
        </w:tabs>
        <w:ind w:left="4320" w:hanging="360"/>
      </w:pPr>
      <w:rPr>
        <w:rFonts w:ascii="Times New Roman" w:hAnsi="Times New Roman" w:hint="default"/>
      </w:rPr>
    </w:lvl>
    <w:lvl w:ilvl="6" w:tplc="D3D40F52" w:tentative="1">
      <w:start w:val="1"/>
      <w:numFmt w:val="bullet"/>
      <w:lvlText w:val="•"/>
      <w:lvlJc w:val="left"/>
      <w:pPr>
        <w:tabs>
          <w:tab w:val="num" w:pos="5040"/>
        </w:tabs>
        <w:ind w:left="5040" w:hanging="360"/>
      </w:pPr>
      <w:rPr>
        <w:rFonts w:ascii="Times New Roman" w:hAnsi="Times New Roman" w:hint="default"/>
      </w:rPr>
    </w:lvl>
    <w:lvl w:ilvl="7" w:tplc="F97C969A" w:tentative="1">
      <w:start w:val="1"/>
      <w:numFmt w:val="bullet"/>
      <w:lvlText w:val="•"/>
      <w:lvlJc w:val="left"/>
      <w:pPr>
        <w:tabs>
          <w:tab w:val="num" w:pos="5760"/>
        </w:tabs>
        <w:ind w:left="5760" w:hanging="360"/>
      </w:pPr>
      <w:rPr>
        <w:rFonts w:ascii="Times New Roman" w:hAnsi="Times New Roman" w:hint="default"/>
      </w:rPr>
    </w:lvl>
    <w:lvl w:ilvl="8" w:tplc="FC0C245A"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389C082D"/>
    <w:multiLevelType w:val="singleLevel"/>
    <w:tmpl w:val="6FBE69C4"/>
    <w:lvl w:ilvl="0">
      <w:numFmt w:val="bullet"/>
      <w:lvlText w:val=""/>
      <w:lvlJc w:val="left"/>
      <w:pPr>
        <w:tabs>
          <w:tab w:val="num" w:pos="720"/>
        </w:tabs>
        <w:ind w:left="720" w:hanging="480"/>
      </w:pPr>
      <w:rPr>
        <w:rFonts w:ascii="Wingdings" w:hAnsi="Wingdings" w:hint="default"/>
        <w:b/>
        <w:sz w:val="28"/>
      </w:rPr>
    </w:lvl>
  </w:abstractNum>
  <w:abstractNum w:abstractNumId="36" w15:restartNumberingAfterBreak="0">
    <w:nsid w:val="39DF6B1B"/>
    <w:multiLevelType w:val="singleLevel"/>
    <w:tmpl w:val="6FBE69C4"/>
    <w:lvl w:ilvl="0">
      <w:numFmt w:val="bullet"/>
      <w:lvlText w:val=""/>
      <w:lvlJc w:val="left"/>
      <w:pPr>
        <w:tabs>
          <w:tab w:val="num" w:pos="720"/>
        </w:tabs>
        <w:ind w:left="720" w:hanging="480"/>
      </w:pPr>
      <w:rPr>
        <w:rFonts w:ascii="Wingdings" w:hAnsi="Wingdings" w:hint="default"/>
        <w:b/>
        <w:sz w:val="28"/>
      </w:rPr>
    </w:lvl>
  </w:abstractNum>
  <w:abstractNum w:abstractNumId="37" w15:restartNumberingAfterBreak="0">
    <w:nsid w:val="3A911B47"/>
    <w:multiLevelType w:val="singleLevel"/>
    <w:tmpl w:val="6FBE69C4"/>
    <w:lvl w:ilvl="0">
      <w:numFmt w:val="bullet"/>
      <w:lvlText w:val=""/>
      <w:lvlJc w:val="left"/>
      <w:pPr>
        <w:tabs>
          <w:tab w:val="num" w:pos="720"/>
        </w:tabs>
        <w:ind w:left="720" w:hanging="480"/>
      </w:pPr>
      <w:rPr>
        <w:rFonts w:ascii="Wingdings" w:hAnsi="Wingdings" w:hint="default"/>
        <w:b/>
        <w:sz w:val="28"/>
      </w:rPr>
    </w:lvl>
  </w:abstractNum>
  <w:abstractNum w:abstractNumId="38" w15:restartNumberingAfterBreak="0">
    <w:nsid w:val="3B817AF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3BF6071E"/>
    <w:multiLevelType w:val="hybridMultilevel"/>
    <w:tmpl w:val="853000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DD838C7"/>
    <w:multiLevelType w:val="hybridMultilevel"/>
    <w:tmpl w:val="9D7E77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E341575"/>
    <w:multiLevelType w:val="hybridMultilevel"/>
    <w:tmpl w:val="B99C3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15A61FF"/>
    <w:multiLevelType w:val="hybridMultilevel"/>
    <w:tmpl w:val="9DF66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2CF3EF5"/>
    <w:multiLevelType w:val="hybridMultilevel"/>
    <w:tmpl w:val="EDF802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43C94BBA"/>
    <w:multiLevelType w:val="singleLevel"/>
    <w:tmpl w:val="6FBE69C4"/>
    <w:lvl w:ilvl="0">
      <w:numFmt w:val="bullet"/>
      <w:lvlText w:val=""/>
      <w:lvlJc w:val="left"/>
      <w:pPr>
        <w:tabs>
          <w:tab w:val="num" w:pos="720"/>
        </w:tabs>
        <w:ind w:left="720" w:hanging="480"/>
      </w:pPr>
      <w:rPr>
        <w:rFonts w:ascii="Wingdings" w:hAnsi="Wingdings" w:hint="default"/>
        <w:b/>
        <w:sz w:val="28"/>
      </w:rPr>
    </w:lvl>
  </w:abstractNum>
  <w:abstractNum w:abstractNumId="45" w15:restartNumberingAfterBreak="0">
    <w:nsid w:val="45272B17"/>
    <w:multiLevelType w:val="singleLevel"/>
    <w:tmpl w:val="6FBE69C4"/>
    <w:lvl w:ilvl="0">
      <w:numFmt w:val="bullet"/>
      <w:lvlText w:val=""/>
      <w:lvlJc w:val="left"/>
      <w:pPr>
        <w:tabs>
          <w:tab w:val="num" w:pos="720"/>
        </w:tabs>
        <w:ind w:left="720" w:hanging="480"/>
      </w:pPr>
      <w:rPr>
        <w:rFonts w:ascii="Wingdings" w:hAnsi="Wingdings" w:hint="default"/>
        <w:b/>
        <w:sz w:val="28"/>
      </w:rPr>
    </w:lvl>
  </w:abstractNum>
  <w:abstractNum w:abstractNumId="46" w15:restartNumberingAfterBreak="0">
    <w:nsid w:val="46E45BFC"/>
    <w:multiLevelType w:val="singleLevel"/>
    <w:tmpl w:val="6FBE69C4"/>
    <w:lvl w:ilvl="0">
      <w:numFmt w:val="bullet"/>
      <w:lvlText w:val=""/>
      <w:lvlJc w:val="left"/>
      <w:pPr>
        <w:tabs>
          <w:tab w:val="num" w:pos="720"/>
        </w:tabs>
        <w:ind w:left="720" w:hanging="480"/>
      </w:pPr>
      <w:rPr>
        <w:rFonts w:ascii="Wingdings" w:hAnsi="Wingdings" w:hint="default"/>
        <w:b/>
        <w:sz w:val="28"/>
      </w:rPr>
    </w:lvl>
  </w:abstractNum>
  <w:abstractNum w:abstractNumId="47" w15:restartNumberingAfterBreak="0">
    <w:nsid w:val="48FD43AC"/>
    <w:multiLevelType w:val="hybridMultilevel"/>
    <w:tmpl w:val="D03C4CDA"/>
    <w:lvl w:ilvl="0" w:tplc="CE760E84">
      <w:start w:val="1"/>
      <w:numFmt w:val="bullet"/>
      <w:lvlText w:val="•"/>
      <w:lvlJc w:val="left"/>
      <w:pPr>
        <w:tabs>
          <w:tab w:val="num" w:pos="720"/>
        </w:tabs>
        <w:ind w:left="720" w:hanging="360"/>
      </w:pPr>
      <w:rPr>
        <w:rFonts w:ascii="Times New Roman" w:hAnsi="Times New Roman" w:hint="default"/>
      </w:rPr>
    </w:lvl>
    <w:lvl w:ilvl="1" w:tplc="603C5580">
      <w:start w:val="1248"/>
      <w:numFmt w:val="bullet"/>
      <w:lvlText w:val="–"/>
      <w:lvlJc w:val="left"/>
      <w:pPr>
        <w:tabs>
          <w:tab w:val="num" w:pos="1440"/>
        </w:tabs>
        <w:ind w:left="1440" w:hanging="360"/>
      </w:pPr>
      <w:rPr>
        <w:rFonts w:ascii="Times New Roman" w:hAnsi="Times New Roman" w:hint="default"/>
      </w:rPr>
    </w:lvl>
    <w:lvl w:ilvl="2" w:tplc="ABC2E4C6" w:tentative="1">
      <w:start w:val="1"/>
      <w:numFmt w:val="bullet"/>
      <w:lvlText w:val="•"/>
      <w:lvlJc w:val="left"/>
      <w:pPr>
        <w:tabs>
          <w:tab w:val="num" w:pos="2160"/>
        </w:tabs>
        <w:ind w:left="2160" w:hanging="360"/>
      </w:pPr>
      <w:rPr>
        <w:rFonts w:ascii="Times New Roman" w:hAnsi="Times New Roman" w:hint="default"/>
      </w:rPr>
    </w:lvl>
    <w:lvl w:ilvl="3" w:tplc="40A2F058" w:tentative="1">
      <w:start w:val="1"/>
      <w:numFmt w:val="bullet"/>
      <w:lvlText w:val="•"/>
      <w:lvlJc w:val="left"/>
      <w:pPr>
        <w:tabs>
          <w:tab w:val="num" w:pos="2880"/>
        </w:tabs>
        <w:ind w:left="2880" w:hanging="360"/>
      </w:pPr>
      <w:rPr>
        <w:rFonts w:ascii="Times New Roman" w:hAnsi="Times New Roman" w:hint="default"/>
      </w:rPr>
    </w:lvl>
    <w:lvl w:ilvl="4" w:tplc="053892FA" w:tentative="1">
      <w:start w:val="1"/>
      <w:numFmt w:val="bullet"/>
      <w:lvlText w:val="•"/>
      <w:lvlJc w:val="left"/>
      <w:pPr>
        <w:tabs>
          <w:tab w:val="num" w:pos="3600"/>
        </w:tabs>
        <w:ind w:left="3600" w:hanging="360"/>
      </w:pPr>
      <w:rPr>
        <w:rFonts w:ascii="Times New Roman" w:hAnsi="Times New Roman" w:hint="default"/>
      </w:rPr>
    </w:lvl>
    <w:lvl w:ilvl="5" w:tplc="E6003884" w:tentative="1">
      <w:start w:val="1"/>
      <w:numFmt w:val="bullet"/>
      <w:lvlText w:val="•"/>
      <w:lvlJc w:val="left"/>
      <w:pPr>
        <w:tabs>
          <w:tab w:val="num" w:pos="4320"/>
        </w:tabs>
        <w:ind w:left="4320" w:hanging="360"/>
      </w:pPr>
      <w:rPr>
        <w:rFonts w:ascii="Times New Roman" w:hAnsi="Times New Roman" w:hint="default"/>
      </w:rPr>
    </w:lvl>
    <w:lvl w:ilvl="6" w:tplc="71C29398" w:tentative="1">
      <w:start w:val="1"/>
      <w:numFmt w:val="bullet"/>
      <w:lvlText w:val="•"/>
      <w:lvlJc w:val="left"/>
      <w:pPr>
        <w:tabs>
          <w:tab w:val="num" w:pos="5040"/>
        </w:tabs>
        <w:ind w:left="5040" w:hanging="360"/>
      </w:pPr>
      <w:rPr>
        <w:rFonts w:ascii="Times New Roman" w:hAnsi="Times New Roman" w:hint="default"/>
      </w:rPr>
    </w:lvl>
    <w:lvl w:ilvl="7" w:tplc="A4A2516A" w:tentative="1">
      <w:start w:val="1"/>
      <w:numFmt w:val="bullet"/>
      <w:lvlText w:val="•"/>
      <w:lvlJc w:val="left"/>
      <w:pPr>
        <w:tabs>
          <w:tab w:val="num" w:pos="5760"/>
        </w:tabs>
        <w:ind w:left="5760" w:hanging="360"/>
      </w:pPr>
      <w:rPr>
        <w:rFonts w:ascii="Times New Roman" w:hAnsi="Times New Roman" w:hint="default"/>
      </w:rPr>
    </w:lvl>
    <w:lvl w:ilvl="8" w:tplc="AD7269E4" w:tentative="1">
      <w:start w:val="1"/>
      <w:numFmt w:val="bullet"/>
      <w:lvlText w:val="•"/>
      <w:lvlJc w:val="left"/>
      <w:pPr>
        <w:tabs>
          <w:tab w:val="num" w:pos="6480"/>
        </w:tabs>
        <w:ind w:left="6480" w:hanging="360"/>
      </w:pPr>
      <w:rPr>
        <w:rFonts w:ascii="Times New Roman" w:hAnsi="Times New Roman" w:hint="default"/>
      </w:rPr>
    </w:lvl>
  </w:abstractNum>
  <w:abstractNum w:abstractNumId="48" w15:restartNumberingAfterBreak="0">
    <w:nsid w:val="4A0846E2"/>
    <w:multiLevelType w:val="hybridMultilevel"/>
    <w:tmpl w:val="5FBC169A"/>
    <w:lvl w:ilvl="0" w:tplc="7820ED4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4B04107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4D6E27F4"/>
    <w:multiLevelType w:val="singleLevel"/>
    <w:tmpl w:val="0409000F"/>
    <w:lvl w:ilvl="0">
      <w:start w:val="1"/>
      <w:numFmt w:val="decimal"/>
      <w:lvlText w:val="%1."/>
      <w:lvlJc w:val="left"/>
      <w:pPr>
        <w:tabs>
          <w:tab w:val="num" w:pos="360"/>
        </w:tabs>
        <w:ind w:left="360" w:hanging="360"/>
      </w:pPr>
    </w:lvl>
  </w:abstractNum>
  <w:abstractNum w:abstractNumId="51" w15:restartNumberingAfterBreak="0">
    <w:nsid w:val="4E5B50AE"/>
    <w:multiLevelType w:val="hybridMultilevel"/>
    <w:tmpl w:val="BE8ECE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0274043"/>
    <w:multiLevelType w:val="singleLevel"/>
    <w:tmpl w:val="6FBE69C4"/>
    <w:lvl w:ilvl="0">
      <w:numFmt w:val="bullet"/>
      <w:lvlText w:val=""/>
      <w:lvlJc w:val="left"/>
      <w:pPr>
        <w:tabs>
          <w:tab w:val="num" w:pos="720"/>
        </w:tabs>
        <w:ind w:left="720" w:hanging="480"/>
      </w:pPr>
      <w:rPr>
        <w:rFonts w:ascii="Wingdings" w:hAnsi="Wingdings" w:hint="default"/>
        <w:b/>
        <w:sz w:val="28"/>
      </w:rPr>
    </w:lvl>
  </w:abstractNum>
  <w:abstractNum w:abstractNumId="53" w15:restartNumberingAfterBreak="0">
    <w:nsid w:val="503C4DAD"/>
    <w:multiLevelType w:val="hybridMultilevel"/>
    <w:tmpl w:val="4EA2EB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526D57FE"/>
    <w:multiLevelType w:val="hybridMultilevel"/>
    <w:tmpl w:val="CA8250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53010DE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6" w15:restartNumberingAfterBreak="0">
    <w:nsid w:val="541E4601"/>
    <w:multiLevelType w:val="singleLevel"/>
    <w:tmpl w:val="6FBE69C4"/>
    <w:lvl w:ilvl="0">
      <w:numFmt w:val="bullet"/>
      <w:lvlText w:val=""/>
      <w:lvlJc w:val="left"/>
      <w:pPr>
        <w:ind w:left="720" w:hanging="360"/>
      </w:pPr>
      <w:rPr>
        <w:rFonts w:ascii="Wingdings" w:hAnsi="Wingdings" w:hint="default"/>
        <w:b/>
        <w:sz w:val="28"/>
      </w:rPr>
    </w:lvl>
  </w:abstractNum>
  <w:abstractNum w:abstractNumId="57" w15:restartNumberingAfterBreak="0">
    <w:nsid w:val="54453528"/>
    <w:multiLevelType w:val="singleLevel"/>
    <w:tmpl w:val="6FBE69C4"/>
    <w:lvl w:ilvl="0">
      <w:numFmt w:val="bullet"/>
      <w:lvlText w:val=""/>
      <w:lvlJc w:val="left"/>
      <w:pPr>
        <w:tabs>
          <w:tab w:val="num" w:pos="720"/>
        </w:tabs>
        <w:ind w:left="720" w:hanging="480"/>
      </w:pPr>
      <w:rPr>
        <w:rFonts w:ascii="Wingdings" w:hAnsi="Wingdings" w:hint="default"/>
        <w:b/>
        <w:sz w:val="28"/>
      </w:rPr>
    </w:lvl>
  </w:abstractNum>
  <w:abstractNum w:abstractNumId="58" w15:restartNumberingAfterBreak="0">
    <w:nsid w:val="565E117A"/>
    <w:multiLevelType w:val="singleLevel"/>
    <w:tmpl w:val="6FBE69C4"/>
    <w:lvl w:ilvl="0">
      <w:numFmt w:val="bullet"/>
      <w:lvlText w:val=""/>
      <w:lvlJc w:val="left"/>
      <w:pPr>
        <w:tabs>
          <w:tab w:val="num" w:pos="720"/>
        </w:tabs>
        <w:ind w:left="720" w:hanging="480"/>
      </w:pPr>
      <w:rPr>
        <w:rFonts w:ascii="Wingdings" w:hAnsi="Wingdings" w:hint="default"/>
        <w:b/>
        <w:sz w:val="28"/>
      </w:rPr>
    </w:lvl>
  </w:abstractNum>
  <w:abstractNum w:abstractNumId="59" w15:restartNumberingAfterBreak="0">
    <w:nsid w:val="566D674E"/>
    <w:multiLevelType w:val="hybridMultilevel"/>
    <w:tmpl w:val="2B468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73733F0"/>
    <w:multiLevelType w:val="hybridMultilevel"/>
    <w:tmpl w:val="5B124786"/>
    <w:lvl w:ilvl="0" w:tplc="2C5ABC72">
      <w:start w:val="1"/>
      <w:numFmt w:val="bullet"/>
      <w:lvlText w:val="•"/>
      <w:lvlJc w:val="left"/>
      <w:pPr>
        <w:tabs>
          <w:tab w:val="num" w:pos="720"/>
        </w:tabs>
        <w:ind w:left="720" w:hanging="360"/>
      </w:pPr>
      <w:rPr>
        <w:rFonts w:ascii="Times New Roman" w:hAnsi="Times New Roman" w:hint="default"/>
      </w:rPr>
    </w:lvl>
    <w:lvl w:ilvl="1" w:tplc="0352E384">
      <w:start w:val="32"/>
      <w:numFmt w:val="bullet"/>
      <w:lvlText w:val="–"/>
      <w:lvlJc w:val="left"/>
      <w:pPr>
        <w:tabs>
          <w:tab w:val="num" w:pos="1440"/>
        </w:tabs>
        <w:ind w:left="1440" w:hanging="360"/>
      </w:pPr>
      <w:rPr>
        <w:rFonts w:ascii="Times New Roman" w:hAnsi="Times New Roman" w:hint="default"/>
      </w:rPr>
    </w:lvl>
    <w:lvl w:ilvl="2" w:tplc="CBB8D2D4">
      <w:start w:val="32"/>
      <w:numFmt w:val="bullet"/>
      <w:lvlText w:val="•"/>
      <w:lvlJc w:val="left"/>
      <w:pPr>
        <w:tabs>
          <w:tab w:val="num" w:pos="2160"/>
        </w:tabs>
        <w:ind w:left="2160" w:hanging="360"/>
      </w:pPr>
      <w:rPr>
        <w:rFonts w:ascii="Times New Roman" w:hAnsi="Times New Roman" w:hint="default"/>
      </w:rPr>
    </w:lvl>
    <w:lvl w:ilvl="3" w:tplc="B8C4E7BE" w:tentative="1">
      <w:start w:val="1"/>
      <w:numFmt w:val="bullet"/>
      <w:lvlText w:val="•"/>
      <w:lvlJc w:val="left"/>
      <w:pPr>
        <w:tabs>
          <w:tab w:val="num" w:pos="2880"/>
        </w:tabs>
        <w:ind w:left="2880" w:hanging="360"/>
      </w:pPr>
      <w:rPr>
        <w:rFonts w:ascii="Times New Roman" w:hAnsi="Times New Roman" w:hint="default"/>
      </w:rPr>
    </w:lvl>
    <w:lvl w:ilvl="4" w:tplc="261EB604" w:tentative="1">
      <w:start w:val="1"/>
      <w:numFmt w:val="bullet"/>
      <w:lvlText w:val="•"/>
      <w:lvlJc w:val="left"/>
      <w:pPr>
        <w:tabs>
          <w:tab w:val="num" w:pos="3600"/>
        </w:tabs>
        <w:ind w:left="3600" w:hanging="360"/>
      </w:pPr>
      <w:rPr>
        <w:rFonts w:ascii="Times New Roman" w:hAnsi="Times New Roman" w:hint="default"/>
      </w:rPr>
    </w:lvl>
    <w:lvl w:ilvl="5" w:tplc="38CA06F6" w:tentative="1">
      <w:start w:val="1"/>
      <w:numFmt w:val="bullet"/>
      <w:lvlText w:val="•"/>
      <w:lvlJc w:val="left"/>
      <w:pPr>
        <w:tabs>
          <w:tab w:val="num" w:pos="4320"/>
        </w:tabs>
        <w:ind w:left="4320" w:hanging="360"/>
      </w:pPr>
      <w:rPr>
        <w:rFonts w:ascii="Times New Roman" w:hAnsi="Times New Roman" w:hint="default"/>
      </w:rPr>
    </w:lvl>
    <w:lvl w:ilvl="6" w:tplc="5442DFD2" w:tentative="1">
      <w:start w:val="1"/>
      <w:numFmt w:val="bullet"/>
      <w:lvlText w:val="•"/>
      <w:lvlJc w:val="left"/>
      <w:pPr>
        <w:tabs>
          <w:tab w:val="num" w:pos="5040"/>
        </w:tabs>
        <w:ind w:left="5040" w:hanging="360"/>
      </w:pPr>
      <w:rPr>
        <w:rFonts w:ascii="Times New Roman" w:hAnsi="Times New Roman" w:hint="default"/>
      </w:rPr>
    </w:lvl>
    <w:lvl w:ilvl="7" w:tplc="FD58CDEC" w:tentative="1">
      <w:start w:val="1"/>
      <w:numFmt w:val="bullet"/>
      <w:lvlText w:val="•"/>
      <w:lvlJc w:val="left"/>
      <w:pPr>
        <w:tabs>
          <w:tab w:val="num" w:pos="5760"/>
        </w:tabs>
        <w:ind w:left="5760" w:hanging="360"/>
      </w:pPr>
      <w:rPr>
        <w:rFonts w:ascii="Times New Roman" w:hAnsi="Times New Roman" w:hint="default"/>
      </w:rPr>
    </w:lvl>
    <w:lvl w:ilvl="8" w:tplc="6D5E2E90" w:tentative="1">
      <w:start w:val="1"/>
      <w:numFmt w:val="bullet"/>
      <w:lvlText w:val="•"/>
      <w:lvlJc w:val="left"/>
      <w:pPr>
        <w:tabs>
          <w:tab w:val="num" w:pos="6480"/>
        </w:tabs>
        <w:ind w:left="6480" w:hanging="360"/>
      </w:pPr>
      <w:rPr>
        <w:rFonts w:ascii="Times New Roman" w:hAnsi="Times New Roman" w:hint="default"/>
      </w:rPr>
    </w:lvl>
  </w:abstractNum>
  <w:abstractNum w:abstractNumId="61" w15:restartNumberingAfterBreak="0">
    <w:nsid w:val="5BDD0442"/>
    <w:multiLevelType w:val="singleLevel"/>
    <w:tmpl w:val="6FBE69C4"/>
    <w:lvl w:ilvl="0">
      <w:numFmt w:val="bullet"/>
      <w:lvlText w:val=""/>
      <w:lvlJc w:val="left"/>
      <w:pPr>
        <w:tabs>
          <w:tab w:val="num" w:pos="720"/>
        </w:tabs>
        <w:ind w:left="720" w:hanging="480"/>
      </w:pPr>
      <w:rPr>
        <w:rFonts w:ascii="Wingdings" w:hAnsi="Wingdings" w:hint="default"/>
        <w:b/>
        <w:sz w:val="28"/>
      </w:rPr>
    </w:lvl>
  </w:abstractNum>
  <w:abstractNum w:abstractNumId="62" w15:restartNumberingAfterBreak="0">
    <w:nsid w:val="5CBD03D6"/>
    <w:multiLevelType w:val="singleLevel"/>
    <w:tmpl w:val="6FBE69C4"/>
    <w:lvl w:ilvl="0">
      <w:numFmt w:val="bullet"/>
      <w:lvlText w:val=""/>
      <w:lvlJc w:val="left"/>
      <w:pPr>
        <w:tabs>
          <w:tab w:val="num" w:pos="720"/>
        </w:tabs>
        <w:ind w:left="720" w:hanging="480"/>
      </w:pPr>
      <w:rPr>
        <w:rFonts w:ascii="Wingdings" w:hAnsi="Wingdings" w:hint="default"/>
        <w:b/>
        <w:sz w:val="28"/>
      </w:rPr>
    </w:lvl>
  </w:abstractNum>
  <w:abstractNum w:abstractNumId="63" w15:restartNumberingAfterBreak="0">
    <w:nsid w:val="619E3A4C"/>
    <w:multiLevelType w:val="hybridMultilevel"/>
    <w:tmpl w:val="85D4BC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24A77C3"/>
    <w:multiLevelType w:val="hybridMultilevel"/>
    <w:tmpl w:val="88769D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33F2F0F"/>
    <w:multiLevelType w:val="hybridMultilevel"/>
    <w:tmpl w:val="03E26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B7540BC"/>
    <w:multiLevelType w:val="singleLevel"/>
    <w:tmpl w:val="6FBE69C4"/>
    <w:lvl w:ilvl="0">
      <w:numFmt w:val="bullet"/>
      <w:lvlText w:val=""/>
      <w:lvlJc w:val="left"/>
      <w:pPr>
        <w:tabs>
          <w:tab w:val="num" w:pos="720"/>
        </w:tabs>
        <w:ind w:left="720" w:hanging="480"/>
      </w:pPr>
      <w:rPr>
        <w:rFonts w:ascii="Wingdings" w:hAnsi="Wingdings" w:hint="default"/>
        <w:b/>
        <w:sz w:val="28"/>
      </w:rPr>
    </w:lvl>
  </w:abstractNum>
  <w:abstractNum w:abstractNumId="67" w15:restartNumberingAfterBreak="0">
    <w:nsid w:val="6C55552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8" w15:restartNumberingAfterBreak="0">
    <w:nsid w:val="73A83EC2"/>
    <w:multiLevelType w:val="hybridMultilevel"/>
    <w:tmpl w:val="D8048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5465280"/>
    <w:multiLevelType w:val="singleLevel"/>
    <w:tmpl w:val="6FBE69C4"/>
    <w:lvl w:ilvl="0">
      <w:numFmt w:val="bullet"/>
      <w:lvlText w:val=""/>
      <w:lvlJc w:val="left"/>
      <w:pPr>
        <w:tabs>
          <w:tab w:val="num" w:pos="720"/>
        </w:tabs>
        <w:ind w:left="720" w:hanging="480"/>
      </w:pPr>
      <w:rPr>
        <w:rFonts w:ascii="Wingdings" w:hAnsi="Wingdings" w:hint="default"/>
        <w:b/>
        <w:sz w:val="28"/>
      </w:rPr>
    </w:lvl>
  </w:abstractNum>
  <w:abstractNum w:abstractNumId="70" w15:restartNumberingAfterBreak="0">
    <w:nsid w:val="76561DC1"/>
    <w:multiLevelType w:val="singleLevel"/>
    <w:tmpl w:val="D8C0FED0"/>
    <w:lvl w:ilvl="0">
      <w:start w:val="18"/>
      <w:numFmt w:val="bullet"/>
      <w:lvlText w:val="-"/>
      <w:lvlJc w:val="left"/>
      <w:pPr>
        <w:tabs>
          <w:tab w:val="num" w:pos="360"/>
        </w:tabs>
        <w:ind w:left="360" w:hanging="360"/>
      </w:pPr>
      <w:rPr>
        <w:rFonts w:hint="default"/>
      </w:rPr>
    </w:lvl>
  </w:abstractNum>
  <w:abstractNum w:abstractNumId="71" w15:restartNumberingAfterBreak="0">
    <w:nsid w:val="7B0D0415"/>
    <w:multiLevelType w:val="singleLevel"/>
    <w:tmpl w:val="6FBE69C4"/>
    <w:lvl w:ilvl="0">
      <w:numFmt w:val="bullet"/>
      <w:lvlText w:val=""/>
      <w:lvlJc w:val="left"/>
      <w:pPr>
        <w:tabs>
          <w:tab w:val="num" w:pos="720"/>
        </w:tabs>
        <w:ind w:left="720" w:hanging="480"/>
      </w:pPr>
      <w:rPr>
        <w:rFonts w:ascii="Wingdings" w:hAnsi="Wingdings" w:hint="default"/>
        <w:b/>
        <w:sz w:val="28"/>
      </w:rPr>
    </w:lvl>
  </w:abstractNum>
  <w:abstractNum w:abstractNumId="72" w15:restartNumberingAfterBreak="0">
    <w:nsid w:val="7B1C41E7"/>
    <w:multiLevelType w:val="hybridMultilevel"/>
    <w:tmpl w:val="E1646A4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C883614"/>
    <w:multiLevelType w:val="hybridMultilevel"/>
    <w:tmpl w:val="9B929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D75476B"/>
    <w:multiLevelType w:val="hybridMultilevel"/>
    <w:tmpl w:val="4B321BD0"/>
    <w:lvl w:ilvl="0" w:tplc="B080A9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F467360"/>
    <w:multiLevelType w:val="hybridMultilevel"/>
    <w:tmpl w:val="EE0C0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F47193A"/>
    <w:multiLevelType w:val="hybridMultilevel"/>
    <w:tmpl w:val="1F80D5CA"/>
    <w:lvl w:ilvl="0" w:tplc="1BD07C68">
      <w:start w:val="2"/>
      <w:numFmt w:val="decimal"/>
      <w:lvlText w:val="(%1)"/>
      <w:lvlJc w:val="left"/>
      <w:pPr>
        <w:tabs>
          <w:tab w:val="num" w:pos="2160"/>
        </w:tabs>
        <w:ind w:left="2160" w:hanging="144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16cid:durableId="124398870">
    <w:abstractNumId w:val="49"/>
  </w:num>
  <w:num w:numId="2" w16cid:durableId="2086490751">
    <w:abstractNumId w:val="6"/>
  </w:num>
  <w:num w:numId="3" w16cid:durableId="2136635183">
    <w:abstractNumId w:val="3"/>
  </w:num>
  <w:num w:numId="4" w16cid:durableId="62721040">
    <w:abstractNumId w:val="17"/>
  </w:num>
  <w:num w:numId="5" w16cid:durableId="122889245">
    <w:abstractNumId w:val="13"/>
  </w:num>
  <w:num w:numId="6" w16cid:durableId="468085842">
    <w:abstractNumId w:val="9"/>
  </w:num>
  <w:num w:numId="7" w16cid:durableId="406535624">
    <w:abstractNumId w:val="38"/>
  </w:num>
  <w:num w:numId="8" w16cid:durableId="301542283">
    <w:abstractNumId w:val="12"/>
  </w:num>
  <w:num w:numId="9" w16cid:durableId="370082036">
    <w:abstractNumId w:val="67"/>
  </w:num>
  <w:num w:numId="10" w16cid:durableId="937446727">
    <w:abstractNumId w:val="55"/>
  </w:num>
  <w:num w:numId="11" w16cid:durableId="464350326">
    <w:abstractNumId w:val="28"/>
  </w:num>
  <w:num w:numId="12" w16cid:durableId="373889087">
    <w:abstractNumId w:val="21"/>
  </w:num>
  <w:num w:numId="13" w16cid:durableId="615986704">
    <w:abstractNumId w:val="32"/>
  </w:num>
  <w:num w:numId="14" w16cid:durableId="1485781402">
    <w:abstractNumId w:val="20"/>
  </w:num>
  <w:num w:numId="15" w16cid:durableId="501706024">
    <w:abstractNumId w:val="52"/>
  </w:num>
  <w:num w:numId="16" w16cid:durableId="561332734">
    <w:abstractNumId w:val="35"/>
  </w:num>
  <w:num w:numId="17" w16cid:durableId="298341439">
    <w:abstractNumId w:val="57"/>
  </w:num>
  <w:num w:numId="18" w16cid:durableId="40790019">
    <w:abstractNumId w:val="31"/>
  </w:num>
  <w:num w:numId="19" w16cid:durableId="276378801">
    <w:abstractNumId w:val="19"/>
  </w:num>
  <w:num w:numId="20" w16cid:durableId="1769425572">
    <w:abstractNumId w:val="44"/>
  </w:num>
  <w:num w:numId="21" w16cid:durableId="1335063896">
    <w:abstractNumId w:val="62"/>
  </w:num>
  <w:num w:numId="22" w16cid:durableId="1834486912">
    <w:abstractNumId w:val="58"/>
  </w:num>
  <w:num w:numId="23" w16cid:durableId="2114088176">
    <w:abstractNumId w:val="10"/>
  </w:num>
  <w:num w:numId="24" w16cid:durableId="497380332">
    <w:abstractNumId w:val="0"/>
  </w:num>
  <w:num w:numId="25" w16cid:durableId="1050109476">
    <w:abstractNumId w:val="37"/>
  </w:num>
  <w:num w:numId="26" w16cid:durableId="917791740">
    <w:abstractNumId w:val="24"/>
  </w:num>
  <w:num w:numId="27" w16cid:durableId="918056085">
    <w:abstractNumId w:val="71"/>
  </w:num>
  <w:num w:numId="28" w16cid:durableId="1544947612">
    <w:abstractNumId w:val="70"/>
  </w:num>
  <w:num w:numId="29" w16cid:durableId="1603341265">
    <w:abstractNumId w:val="7"/>
  </w:num>
  <w:num w:numId="30" w16cid:durableId="1486782189">
    <w:abstractNumId w:val="4"/>
  </w:num>
  <w:num w:numId="31" w16cid:durableId="475606482">
    <w:abstractNumId w:val="61"/>
  </w:num>
  <w:num w:numId="32" w16cid:durableId="1473449523">
    <w:abstractNumId w:val="56"/>
  </w:num>
  <w:num w:numId="33" w16cid:durableId="697581146">
    <w:abstractNumId w:val="23"/>
  </w:num>
  <w:num w:numId="34" w16cid:durableId="1312562619">
    <w:abstractNumId w:val="45"/>
  </w:num>
  <w:num w:numId="35" w16cid:durableId="1754811042">
    <w:abstractNumId w:val="36"/>
  </w:num>
  <w:num w:numId="36" w16cid:durableId="1272980117">
    <w:abstractNumId w:val="46"/>
  </w:num>
  <w:num w:numId="37" w16cid:durableId="1124732669">
    <w:abstractNumId w:val="15"/>
  </w:num>
  <w:num w:numId="38" w16cid:durableId="985623937">
    <w:abstractNumId w:val="2"/>
  </w:num>
  <w:num w:numId="39" w16cid:durableId="820074159">
    <w:abstractNumId w:val="50"/>
  </w:num>
  <w:num w:numId="40" w16cid:durableId="1108811029">
    <w:abstractNumId w:val="69"/>
  </w:num>
  <w:num w:numId="41" w16cid:durableId="2086296745">
    <w:abstractNumId w:val="66"/>
  </w:num>
  <w:num w:numId="42" w16cid:durableId="1043672944">
    <w:abstractNumId w:val="29"/>
  </w:num>
  <w:num w:numId="43" w16cid:durableId="208761859">
    <w:abstractNumId w:val="5"/>
  </w:num>
  <w:num w:numId="44" w16cid:durableId="398480817">
    <w:abstractNumId w:val="54"/>
  </w:num>
  <w:num w:numId="45" w16cid:durableId="1689066335">
    <w:abstractNumId w:val="16"/>
  </w:num>
  <w:num w:numId="46" w16cid:durableId="1103839971">
    <w:abstractNumId w:val="76"/>
  </w:num>
  <w:num w:numId="47" w16cid:durableId="1307316226">
    <w:abstractNumId w:val="26"/>
  </w:num>
  <w:num w:numId="48" w16cid:durableId="1666779266">
    <w:abstractNumId w:val="25"/>
  </w:num>
  <w:num w:numId="49" w16cid:durableId="462890593">
    <w:abstractNumId w:val="65"/>
  </w:num>
  <w:num w:numId="50" w16cid:durableId="1828741960">
    <w:abstractNumId w:val="75"/>
  </w:num>
  <w:num w:numId="51" w16cid:durableId="777531538">
    <w:abstractNumId w:val="64"/>
  </w:num>
  <w:num w:numId="52" w16cid:durableId="275449849">
    <w:abstractNumId w:val="30"/>
  </w:num>
  <w:num w:numId="53" w16cid:durableId="1377850725">
    <w:abstractNumId w:val="33"/>
  </w:num>
  <w:num w:numId="54" w16cid:durableId="150290277">
    <w:abstractNumId w:val="74"/>
  </w:num>
  <w:num w:numId="55" w16cid:durableId="1287734979">
    <w:abstractNumId w:val="72"/>
  </w:num>
  <w:num w:numId="56" w16cid:durableId="1572346891">
    <w:abstractNumId w:val="51"/>
  </w:num>
  <w:num w:numId="57" w16cid:durableId="1016660461">
    <w:abstractNumId w:val="47"/>
  </w:num>
  <w:num w:numId="58" w16cid:durableId="441002361">
    <w:abstractNumId w:val="73"/>
  </w:num>
  <w:num w:numId="59" w16cid:durableId="733892723">
    <w:abstractNumId w:val="40"/>
  </w:num>
  <w:num w:numId="60" w16cid:durableId="587813559">
    <w:abstractNumId w:val="22"/>
  </w:num>
  <w:num w:numId="61" w16cid:durableId="1084766737">
    <w:abstractNumId w:val="53"/>
  </w:num>
  <w:num w:numId="62" w16cid:durableId="316349926">
    <w:abstractNumId w:val="39"/>
  </w:num>
  <w:num w:numId="63" w16cid:durableId="184372834">
    <w:abstractNumId w:val="43"/>
  </w:num>
  <w:num w:numId="64" w16cid:durableId="109059894">
    <w:abstractNumId w:val="18"/>
  </w:num>
  <w:num w:numId="65" w16cid:durableId="1118722081">
    <w:abstractNumId w:val="11"/>
  </w:num>
  <w:num w:numId="66" w16cid:durableId="1662806874">
    <w:abstractNumId w:val="41"/>
  </w:num>
  <w:num w:numId="67" w16cid:durableId="2085831276">
    <w:abstractNumId w:val="8"/>
  </w:num>
  <w:num w:numId="68" w16cid:durableId="768542688">
    <w:abstractNumId w:val="14"/>
  </w:num>
  <w:num w:numId="69" w16cid:durableId="253981869">
    <w:abstractNumId w:val="1"/>
  </w:num>
  <w:num w:numId="70" w16cid:durableId="423963743">
    <w:abstractNumId w:val="42"/>
  </w:num>
  <w:num w:numId="71" w16cid:durableId="1553928886">
    <w:abstractNumId w:val="27"/>
  </w:num>
  <w:num w:numId="72" w16cid:durableId="852034764">
    <w:abstractNumId w:val="59"/>
  </w:num>
  <w:num w:numId="73" w16cid:durableId="1354192266">
    <w:abstractNumId w:val="68"/>
  </w:num>
  <w:num w:numId="74" w16cid:durableId="1754816866">
    <w:abstractNumId w:val="63"/>
  </w:num>
  <w:num w:numId="75" w16cid:durableId="2105879645">
    <w:abstractNumId w:val="34"/>
  </w:num>
  <w:num w:numId="76" w16cid:durableId="1183516523">
    <w:abstractNumId w:val="60"/>
  </w:num>
  <w:num w:numId="77" w16cid:durableId="2056923121">
    <w:abstractNumId w:val="9"/>
  </w:num>
  <w:num w:numId="78" w16cid:durableId="655450295">
    <w:abstractNumId w:val="48"/>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4"/>
  <w:documentProtection w:edit="readOnly" w:enforcement="0"/>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68C"/>
    <w:rsid w:val="0000062A"/>
    <w:rsid w:val="00000FEA"/>
    <w:rsid w:val="00001255"/>
    <w:rsid w:val="0000253A"/>
    <w:rsid w:val="000027D5"/>
    <w:rsid w:val="0000382D"/>
    <w:rsid w:val="00003C21"/>
    <w:rsid w:val="000046FF"/>
    <w:rsid w:val="00004BF5"/>
    <w:rsid w:val="000058A0"/>
    <w:rsid w:val="000065C7"/>
    <w:rsid w:val="00006FFA"/>
    <w:rsid w:val="000076F2"/>
    <w:rsid w:val="00007D02"/>
    <w:rsid w:val="00007EE4"/>
    <w:rsid w:val="0001181C"/>
    <w:rsid w:val="00011843"/>
    <w:rsid w:val="00011D20"/>
    <w:rsid w:val="00012A0A"/>
    <w:rsid w:val="00012E6E"/>
    <w:rsid w:val="000131D8"/>
    <w:rsid w:val="000139C4"/>
    <w:rsid w:val="0001464C"/>
    <w:rsid w:val="00014BC0"/>
    <w:rsid w:val="00014FA4"/>
    <w:rsid w:val="00015711"/>
    <w:rsid w:val="00015C1F"/>
    <w:rsid w:val="00015DDB"/>
    <w:rsid w:val="00015FBB"/>
    <w:rsid w:val="00016C34"/>
    <w:rsid w:val="00016CAF"/>
    <w:rsid w:val="000177D0"/>
    <w:rsid w:val="0002040F"/>
    <w:rsid w:val="000204F0"/>
    <w:rsid w:val="00020F49"/>
    <w:rsid w:val="00020F8A"/>
    <w:rsid w:val="0002159B"/>
    <w:rsid w:val="000215ED"/>
    <w:rsid w:val="00021B37"/>
    <w:rsid w:val="00021BE1"/>
    <w:rsid w:val="0002227D"/>
    <w:rsid w:val="00022598"/>
    <w:rsid w:val="000227C9"/>
    <w:rsid w:val="00023379"/>
    <w:rsid w:val="00023659"/>
    <w:rsid w:val="000236E0"/>
    <w:rsid w:val="0002397A"/>
    <w:rsid w:val="00024129"/>
    <w:rsid w:val="00024726"/>
    <w:rsid w:val="00024818"/>
    <w:rsid w:val="00026360"/>
    <w:rsid w:val="00026869"/>
    <w:rsid w:val="00027077"/>
    <w:rsid w:val="000279A1"/>
    <w:rsid w:val="00027B11"/>
    <w:rsid w:val="00027C51"/>
    <w:rsid w:val="000301A6"/>
    <w:rsid w:val="000302B1"/>
    <w:rsid w:val="00030452"/>
    <w:rsid w:val="00030F66"/>
    <w:rsid w:val="00030F8A"/>
    <w:rsid w:val="000310B3"/>
    <w:rsid w:val="000315F1"/>
    <w:rsid w:val="000321D2"/>
    <w:rsid w:val="00032833"/>
    <w:rsid w:val="00032AE6"/>
    <w:rsid w:val="00033036"/>
    <w:rsid w:val="00035649"/>
    <w:rsid w:val="00035A8E"/>
    <w:rsid w:val="00035CD9"/>
    <w:rsid w:val="00036023"/>
    <w:rsid w:val="0003619D"/>
    <w:rsid w:val="000361AC"/>
    <w:rsid w:val="00036A1A"/>
    <w:rsid w:val="0003755A"/>
    <w:rsid w:val="00037596"/>
    <w:rsid w:val="0003797C"/>
    <w:rsid w:val="00037DF2"/>
    <w:rsid w:val="0004006B"/>
    <w:rsid w:val="00040342"/>
    <w:rsid w:val="000403DA"/>
    <w:rsid w:val="000407BC"/>
    <w:rsid w:val="00041180"/>
    <w:rsid w:val="000412C7"/>
    <w:rsid w:val="000416E2"/>
    <w:rsid w:val="00041F3B"/>
    <w:rsid w:val="0004328F"/>
    <w:rsid w:val="00044691"/>
    <w:rsid w:val="00045540"/>
    <w:rsid w:val="0004554F"/>
    <w:rsid w:val="00045596"/>
    <w:rsid w:val="000462BF"/>
    <w:rsid w:val="000465E4"/>
    <w:rsid w:val="0004670A"/>
    <w:rsid w:val="000469A3"/>
    <w:rsid w:val="000470CD"/>
    <w:rsid w:val="000476AF"/>
    <w:rsid w:val="00047FCF"/>
    <w:rsid w:val="00050FE4"/>
    <w:rsid w:val="00051307"/>
    <w:rsid w:val="00053856"/>
    <w:rsid w:val="000538CF"/>
    <w:rsid w:val="00053A34"/>
    <w:rsid w:val="00053A56"/>
    <w:rsid w:val="00053E29"/>
    <w:rsid w:val="00053F6E"/>
    <w:rsid w:val="00054993"/>
    <w:rsid w:val="00054E94"/>
    <w:rsid w:val="00054F08"/>
    <w:rsid w:val="00055054"/>
    <w:rsid w:val="000550C7"/>
    <w:rsid w:val="0005531F"/>
    <w:rsid w:val="00055E18"/>
    <w:rsid w:val="00055F5D"/>
    <w:rsid w:val="0005622A"/>
    <w:rsid w:val="000564D6"/>
    <w:rsid w:val="00056688"/>
    <w:rsid w:val="00057A1F"/>
    <w:rsid w:val="000607B8"/>
    <w:rsid w:val="00060FB0"/>
    <w:rsid w:val="0006114E"/>
    <w:rsid w:val="000611C4"/>
    <w:rsid w:val="00061504"/>
    <w:rsid w:val="00061668"/>
    <w:rsid w:val="00062456"/>
    <w:rsid w:val="00063287"/>
    <w:rsid w:val="000632BE"/>
    <w:rsid w:val="000638E9"/>
    <w:rsid w:val="00063ACE"/>
    <w:rsid w:val="00065639"/>
    <w:rsid w:val="00065D25"/>
    <w:rsid w:val="00065E04"/>
    <w:rsid w:val="00065FB1"/>
    <w:rsid w:val="00066711"/>
    <w:rsid w:val="00066A72"/>
    <w:rsid w:val="00066C0D"/>
    <w:rsid w:val="00066F7C"/>
    <w:rsid w:val="000673EF"/>
    <w:rsid w:val="000702D5"/>
    <w:rsid w:val="00071005"/>
    <w:rsid w:val="00071A81"/>
    <w:rsid w:val="00071CD7"/>
    <w:rsid w:val="0007298F"/>
    <w:rsid w:val="00072EA6"/>
    <w:rsid w:val="00072FF7"/>
    <w:rsid w:val="00073577"/>
    <w:rsid w:val="000735CF"/>
    <w:rsid w:val="0007387C"/>
    <w:rsid w:val="000739C5"/>
    <w:rsid w:val="00073B3D"/>
    <w:rsid w:val="000743D3"/>
    <w:rsid w:val="0007477B"/>
    <w:rsid w:val="00075080"/>
    <w:rsid w:val="000754A7"/>
    <w:rsid w:val="00075BD2"/>
    <w:rsid w:val="00077223"/>
    <w:rsid w:val="00077CD8"/>
    <w:rsid w:val="0008045D"/>
    <w:rsid w:val="0008067A"/>
    <w:rsid w:val="00080945"/>
    <w:rsid w:val="00080FED"/>
    <w:rsid w:val="000812E9"/>
    <w:rsid w:val="00081E6B"/>
    <w:rsid w:val="000822A9"/>
    <w:rsid w:val="0008301F"/>
    <w:rsid w:val="000832D1"/>
    <w:rsid w:val="000834DB"/>
    <w:rsid w:val="00083E43"/>
    <w:rsid w:val="000852C5"/>
    <w:rsid w:val="000854BF"/>
    <w:rsid w:val="00086428"/>
    <w:rsid w:val="00086BE3"/>
    <w:rsid w:val="00086DBF"/>
    <w:rsid w:val="0008748D"/>
    <w:rsid w:val="00090102"/>
    <w:rsid w:val="000914BD"/>
    <w:rsid w:val="00092350"/>
    <w:rsid w:val="000926FE"/>
    <w:rsid w:val="00092915"/>
    <w:rsid w:val="00092E8C"/>
    <w:rsid w:val="000937E7"/>
    <w:rsid w:val="00093CB0"/>
    <w:rsid w:val="00093E76"/>
    <w:rsid w:val="00094087"/>
    <w:rsid w:val="00094318"/>
    <w:rsid w:val="000947E3"/>
    <w:rsid w:val="00094F2D"/>
    <w:rsid w:val="00095052"/>
    <w:rsid w:val="00095685"/>
    <w:rsid w:val="000958CC"/>
    <w:rsid w:val="00096B8C"/>
    <w:rsid w:val="00096EF3"/>
    <w:rsid w:val="00097990"/>
    <w:rsid w:val="00097E09"/>
    <w:rsid w:val="000A022A"/>
    <w:rsid w:val="000A1173"/>
    <w:rsid w:val="000A1B71"/>
    <w:rsid w:val="000A244F"/>
    <w:rsid w:val="000A2AE1"/>
    <w:rsid w:val="000A31BB"/>
    <w:rsid w:val="000A32C2"/>
    <w:rsid w:val="000A33EB"/>
    <w:rsid w:val="000A3BDF"/>
    <w:rsid w:val="000A43B7"/>
    <w:rsid w:val="000A5887"/>
    <w:rsid w:val="000A5C39"/>
    <w:rsid w:val="000A5EEE"/>
    <w:rsid w:val="000A6129"/>
    <w:rsid w:val="000A67CE"/>
    <w:rsid w:val="000A6DED"/>
    <w:rsid w:val="000A6EC1"/>
    <w:rsid w:val="000A7451"/>
    <w:rsid w:val="000A74AA"/>
    <w:rsid w:val="000A7DEB"/>
    <w:rsid w:val="000B0434"/>
    <w:rsid w:val="000B0E8A"/>
    <w:rsid w:val="000B12A4"/>
    <w:rsid w:val="000B1FAA"/>
    <w:rsid w:val="000B20F9"/>
    <w:rsid w:val="000B2C18"/>
    <w:rsid w:val="000B354B"/>
    <w:rsid w:val="000B3F0E"/>
    <w:rsid w:val="000B3F26"/>
    <w:rsid w:val="000B41A0"/>
    <w:rsid w:val="000B46A7"/>
    <w:rsid w:val="000B48C6"/>
    <w:rsid w:val="000B51CD"/>
    <w:rsid w:val="000B52D2"/>
    <w:rsid w:val="000B5791"/>
    <w:rsid w:val="000B5A46"/>
    <w:rsid w:val="000B6D11"/>
    <w:rsid w:val="000C0796"/>
    <w:rsid w:val="000C07F2"/>
    <w:rsid w:val="000C0CDD"/>
    <w:rsid w:val="000C0D30"/>
    <w:rsid w:val="000C0EF6"/>
    <w:rsid w:val="000C0F6A"/>
    <w:rsid w:val="000C1DCB"/>
    <w:rsid w:val="000C1FA5"/>
    <w:rsid w:val="000C2E60"/>
    <w:rsid w:val="000C368C"/>
    <w:rsid w:val="000C37B6"/>
    <w:rsid w:val="000C3874"/>
    <w:rsid w:val="000C3C89"/>
    <w:rsid w:val="000C49B1"/>
    <w:rsid w:val="000C4DC5"/>
    <w:rsid w:val="000C57DE"/>
    <w:rsid w:val="000C5CA8"/>
    <w:rsid w:val="000C650B"/>
    <w:rsid w:val="000C67BB"/>
    <w:rsid w:val="000C69FE"/>
    <w:rsid w:val="000C79F4"/>
    <w:rsid w:val="000C7B25"/>
    <w:rsid w:val="000D01AD"/>
    <w:rsid w:val="000D0EA3"/>
    <w:rsid w:val="000D144C"/>
    <w:rsid w:val="000D1DD4"/>
    <w:rsid w:val="000D258B"/>
    <w:rsid w:val="000D2C1A"/>
    <w:rsid w:val="000D34FE"/>
    <w:rsid w:val="000D3751"/>
    <w:rsid w:val="000D399C"/>
    <w:rsid w:val="000D39F1"/>
    <w:rsid w:val="000D3EA0"/>
    <w:rsid w:val="000D4228"/>
    <w:rsid w:val="000D4ABA"/>
    <w:rsid w:val="000D52B8"/>
    <w:rsid w:val="000D5AA8"/>
    <w:rsid w:val="000D6572"/>
    <w:rsid w:val="000D7D76"/>
    <w:rsid w:val="000D7ED5"/>
    <w:rsid w:val="000D7F9A"/>
    <w:rsid w:val="000E03DE"/>
    <w:rsid w:val="000E0496"/>
    <w:rsid w:val="000E0EA6"/>
    <w:rsid w:val="000E13E0"/>
    <w:rsid w:val="000E1DC5"/>
    <w:rsid w:val="000E232B"/>
    <w:rsid w:val="000E23E4"/>
    <w:rsid w:val="000E2634"/>
    <w:rsid w:val="000E2E2C"/>
    <w:rsid w:val="000E3051"/>
    <w:rsid w:val="000E33EA"/>
    <w:rsid w:val="000E3D53"/>
    <w:rsid w:val="000E4221"/>
    <w:rsid w:val="000E5097"/>
    <w:rsid w:val="000E539B"/>
    <w:rsid w:val="000E5F53"/>
    <w:rsid w:val="000E65CE"/>
    <w:rsid w:val="000E6655"/>
    <w:rsid w:val="000E756C"/>
    <w:rsid w:val="000E7E71"/>
    <w:rsid w:val="000F02CB"/>
    <w:rsid w:val="000F0377"/>
    <w:rsid w:val="000F0B1A"/>
    <w:rsid w:val="000F0FFF"/>
    <w:rsid w:val="000F139D"/>
    <w:rsid w:val="000F1F71"/>
    <w:rsid w:val="000F2745"/>
    <w:rsid w:val="000F2F25"/>
    <w:rsid w:val="000F3A86"/>
    <w:rsid w:val="000F3B94"/>
    <w:rsid w:val="000F3D02"/>
    <w:rsid w:val="000F4785"/>
    <w:rsid w:val="000F4C38"/>
    <w:rsid w:val="000F4E00"/>
    <w:rsid w:val="000F4E77"/>
    <w:rsid w:val="000F5CB3"/>
    <w:rsid w:val="000F6041"/>
    <w:rsid w:val="000F624D"/>
    <w:rsid w:val="000F627A"/>
    <w:rsid w:val="000F70D0"/>
    <w:rsid w:val="000F77B4"/>
    <w:rsid w:val="000F79B5"/>
    <w:rsid w:val="000F7E70"/>
    <w:rsid w:val="0010048F"/>
    <w:rsid w:val="00102176"/>
    <w:rsid w:val="001023AE"/>
    <w:rsid w:val="00102956"/>
    <w:rsid w:val="00102B89"/>
    <w:rsid w:val="00102B9B"/>
    <w:rsid w:val="00103E56"/>
    <w:rsid w:val="00103F80"/>
    <w:rsid w:val="0010412D"/>
    <w:rsid w:val="00104535"/>
    <w:rsid w:val="0010465E"/>
    <w:rsid w:val="00104708"/>
    <w:rsid w:val="00106127"/>
    <w:rsid w:val="00106649"/>
    <w:rsid w:val="001067E4"/>
    <w:rsid w:val="00106A90"/>
    <w:rsid w:val="00106BD7"/>
    <w:rsid w:val="00106F71"/>
    <w:rsid w:val="001070A3"/>
    <w:rsid w:val="001071ED"/>
    <w:rsid w:val="001076E8"/>
    <w:rsid w:val="00107779"/>
    <w:rsid w:val="00107813"/>
    <w:rsid w:val="00107824"/>
    <w:rsid w:val="00107F30"/>
    <w:rsid w:val="00110E53"/>
    <w:rsid w:val="00110F32"/>
    <w:rsid w:val="00111381"/>
    <w:rsid w:val="00111418"/>
    <w:rsid w:val="0011151A"/>
    <w:rsid w:val="00112A46"/>
    <w:rsid w:val="00112C4A"/>
    <w:rsid w:val="00112DA6"/>
    <w:rsid w:val="00114930"/>
    <w:rsid w:val="00114CED"/>
    <w:rsid w:val="001150C5"/>
    <w:rsid w:val="001151C2"/>
    <w:rsid w:val="00115271"/>
    <w:rsid w:val="00115A7C"/>
    <w:rsid w:val="00115EC6"/>
    <w:rsid w:val="00116302"/>
    <w:rsid w:val="00116592"/>
    <w:rsid w:val="00116E9A"/>
    <w:rsid w:val="00116ECE"/>
    <w:rsid w:val="00116F5D"/>
    <w:rsid w:val="001171D1"/>
    <w:rsid w:val="0011775C"/>
    <w:rsid w:val="001200D7"/>
    <w:rsid w:val="00120588"/>
    <w:rsid w:val="00120782"/>
    <w:rsid w:val="00120944"/>
    <w:rsid w:val="00120AE9"/>
    <w:rsid w:val="0012194C"/>
    <w:rsid w:val="001220E9"/>
    <w:rsid w:val="001229F4"/>
    <w:rsid w:val="00122C7F"/>
    <w:rsid w:val="00122D26"/>
    <w:rsid w:val="00122D90"/>
    <w:rsid w:val="00123191"/>
    <w:rsid w:val="001231A8"/>
    <w:rsid w:val="00123B33"/>
    <w:rsid w:val="00123F59"/>
    <w:rsid w:val="0012402C"/>
    <w:rsid w:val="001245C4"/>
    <w:rsid w:val="00124867"/>
    <w:rsid w:val="001248FA"/>
    <w:rsid w:val="00124D51"/>
    <w:rsid w:val="0012677F"/>
    <w:rsid w:val="001267F4"/>
    <w:rsid w:val="00127C4B"/>
    <w:rsid w:val="0013004F"/>
    <w:rsid w:val="001306A1"/>
    <w:rsid w:val="0013085A"/>
    <w:rsid w:val="00130EEE"/>
    <w:rsid w:val="00131517"/>
    <w:rsid w:val="001316A8"/>
    <w:rsid w:val="00131C5D"/>
    <w:rsid w:val="001329F1"/>
    <w:rsid w:val="001330A3"/>
    <w:rsid w:val="001333A3"/>
    <w:rsid w:val="00133603"/>
    <w:rsid w:val="00134194"/>
    <w:rsid w:val="001344C3"/>
    <w:rsid w:val="00134AF5"/>
    <w:rsid w:val="00134EF0"/>
    <w:rsid w:val="0013510D"/>
    <w:rsid w:val="001355A4"/>
    <w:rsid w:val="001358F4"/>
    <w:rsid w:val="00135FFD"/>
    <w:rsid w:val="00136594"/>
    <w:rsid w:val="00136A3D"/>
    <w:rsid w:val="0013719A"/>
    <w:rsid w:val="00137239"/>
    <w:rsid w:val="001374BC"/>
    <w:rsid w:val="00140371"/>
    <w:rsid w:val="00140A37"/>
    <w:rsid w:val="00140D61"/>
    <w:rsid w:val="00140E12"/>
    <w:rsid w:val="001414E5"/>
    <w:rsid w:val="001419C7"/>
    <w:rsid w:val="001421B6"/>
    <w:rsid w:val="00142515"/>
    <w:rsid w:val="00142883"/>
    <w:rsid w:val="001448F6"/>
    <w:rsid w:val="00145B07"/>
    <w:rsid w:val="00145C4C"/>
    <w:rsid w:val="00146017"/>
    <w:rsid w:val="00146154"/>
    <w:rsid w:val="0014669A"/>
    <w:rsid w:val="0014701B"/>
    <w:rsid w:val="001472F6"/>
    <w:rsid w:val="0014752D"/>
    <w:rsid w:val="00147944"/>
    <w:rsid w:val="00147D26"/>
    <w:rsid w:val="001514D7"/>
    <w:rsid w:val="00151F21"/>
    <w:rsid w:val="001530FC"/>
    <w:rsid w:val="00153435"/>
    <w:rsid w:val="00153CFD"/>
    <w:rsid w:val="00153DA6"/>
    <w:rsid w:val="00154A2E"/>
    <w:rsid w:val="00154BE2"/>
    <w:rsid w:val="00155905"/>
    <w:rsid w:val="001567B7"/>
    <w:rsid w:val="001570A0"/>
    <w:rsid w:val="00157888"/>
    <w:rsid w:val="001578CE"/>
    <w:rsid w:val="00157CD0"/>
    <w:rsid w:val="00157CFD"/>
    <w:rsid w:val="00157E2D"/>
    <w:rsid w:val="00160851"/>
    <w:rsid w:val="00160D98"/>
    <w:rsid w:val="001610CD"/>
    <w:rsid w:val="00162CE1"/>
    <w:rsid w:val="0016362B"/>
    <w:rsid w:val="001641DA"/>
    <w:rsid w:val="001642C7"/>
    <w:rsid w:val="00164785"/>
    <w:rsid w:val="001650F7"/>
    <w:rsid w:val="00165CC6"/>
    <w:rsid w:val="0016716B"/>
    <w:rsid w:val="001673C6"/>
    <w:rsid w:val="00167BBA"/>
    <w:rsid w:val="00167C88"/>
    <w:rsid w:val="00167DB2"/>
    <w:rsid w:val="0017020E"/>
    <w:rsid w:val="00170F02"/>
    <w:rsid w:val="00170F86"/>
    <w:rsid w:val="0017116B"/>
    <w:rsid w:val="00171478"/>
    <w:rsid w:val="001717BA"/>
    <w:rsid w:val="001719CD"/>
    <w:rsid w:val="00171C96"/>
    <w:rsid w:val="00171FF2"/>
    <w:rsid w:val="001726FA"/>
    <w:rsid w:val="00172D46"/>
    <w:rsid w:val="00173512"/>
    <w:rsid w:val="00173E9E"/>
    <w:rsid w:val="001748C7"/>
    <w:rsid w:val="00175B25"/>
    <w:rsid w:val="00175D3E"/>
    <w:rsid w:val="00175D8D"/>
    <w:rsid w:val="00177104"/>
    <w:rsid w:val="0017729A"/>
    <w:rsid w:val="00177BD0"/>
    <w:rsid w:val="001800A2"/>
    <w:rsid w:val="0018017C"/>
    <w:rsid w:val="0018097F"/>
    <w:rsid w:val="00180D14"/>
    <w:rsid w:val="0018168F"/>
    <w:rsid w:val="00181832"/>
    <w:rsid w:val="00182217"/>
    <w:rsid w:val="00182296"/>
    <w:rsid w:val="00182B54"/>
    <w:rsid w:val="00182F37"/>
    <w:rsid w:val="001831E3"/>
    <w:rsid w:val="001839B4"/>
    <w:rsid w:val="00183C68"/>
    <w:rsid w:val="001842A6"/>
    <w:rsid w:val="001842CB"/>
    <w:rsid w:val="001844B4"/>
    <w:rsid w:val="00184BA5"/>
    <w:rsid w:val="00184C99"/>
    <w:rsid w:val="0018551D"/>
    <w:rsid w:val="00185DB5"/>
    <w:rsid w:val="00186136"/>
    <w:rsid w:val="00186ADF"/>
    <w:rsid w:val="00186D99"/>
    <w:rsid w:val="00186DEE"/>
    <w:rsid w:val="001871DD"/>
    <w:rsid w:val="00187292"/>
    <w:rsid w:val="001877D7"/>
    <w:rsid w:val="00187F80"/>
    <w:rsid w:val="00190BAA"/>
    <w:rsid w:val="00191125"/>
    <w:rsid w:val="001911BD"/>
    <w:rsid w:val="001918BD"/>
    <w:rsid w:val="00191D7D"/>
    <w:rsid w:val="00191DF3"/>
    <w:rsid w:val="0019242E"/>
    <w:rsid w:val="00192F4F"/>
    <w:rsid w:val="00192FF1"/>
    <w:rsid w:val="0019386C"/>
    <w:rsid w:val="001947D8"/>
    <w:rsid w:val="00194B07"/>
    <w:rsid w:val="00194E4C"/>
    <w:rsid w:val="00195099"/>
    <w:rsid w:val="001951C4"/>
    <w:rsid w:val="00195D6F"/>
    <w:rsid w:val="00195FB8"/>
    <w:rsid w:val="00196115"/>
    <w:rsid w:val="00196123"/>
    <w:rsid w:val="00196955"/>
    <w:rsid w:val="00196A97"/>
    <w:rsid w:val="00196BEC"/>
    <w:rsid w:val="00196BFF"/>
    <w:rsid w:val="001970AF"/>
    <w:rsid w:val="001970F3"/>
    <w:rsid w:val="00197254"/>
    <w:rsid w:val="00197AD1"/>
    <w:rsid w:val="00197B20"/>
    <w:rsid w:val="00197CBE"/>
    <w:rsid w:val="001A040E"/>
    <w:rsid w:val="001A0631"/>
    <w:rsid w:val="001A0BAB"/>
    <w:rsid w:val="001A1216"/>
    <w:rsid w:val="001A1D80"/>
    <w:rsid w:val="001A2713"/>
    <w:rsid w:val="001A293D"/>
    <w:rsid w:val="001A29B4"/>
    <w:rsid w:val="001A33D9"/>
    <w:rsid w:val="001A393B"/>
    <w:rsid w:val="001A3E47"/>
    <w:rsid w:val="001A43F4"/>
    <w:rsid w:val="001A5685"/>
    <w:rsid w:val="001A57B7"/>
    <w:rsid w:val="001A5A22"/>
    <w:rsid w:val="001A5A6E"/>
    <w:rsid w:val="001A5ACA"/>
    <w:rsid w:val="001A5C6C"/>
    <w:rsid w:val="001A7041"/>
    <w:rsid w:val="001A7840"/>
    <w:rsid w:val="001B0624"/>
    <w:rsid w:val="001B0AB8"/>
    <w:rsid w:val="001B14AF"/>
    <w:rsid w:val="001B258D"/>
    <w:rsid w:val="001B3370"/>
    <w:rsid w:val="001B45B5"/>
    <w:rsid w:val="001B476E"/>
    <w:rsid w:val="001B4D89"/>
    <w:rsid w:val="001B633F"/>
    <w:rsid w:val="001B7F43"/>
    <w:rsid w:val="001C0579"/>
    <w:rsid w:val="001C15CB"/>
    <w:rsid w:val="001C1AFD"/>
    <w:rsid w:val="001C1E50"/>
    <w:rsid w:val="001C219E"/>
    <w:rsid w:val="001C34AE"/>
    <w:rsid w:val="001C3824"/>
    <w:rsid w:val="001C3A7E"/>
    <w:rsid w:val="001C3BD5"/>
    <w:rsid w:val="001C3EFC"/>
    <w:rsid w:val="001C4280"/>
    <w:rsid w:val="001C4AAB"/>
    <w:rsid w:val="001C70D9"/>
    <w:rsid w:val="001C7835"/>
    <w:rsid w:val="001C78F3"/>
    <w:rsid w:val="001D02EB"/>
    <w:rsid w:val="001D062B"/>
    <w:rsid w:val="001D10FE"/>
    <w:rsid w:val="001D1827"/>
    <w:rsid w:val="001D2A56"/>
    <w:rsid w:val="001D2FAB"/>
    <w:rsid w:val="001D3565"/>
    <w:rsid w:val="001D3B68"/>
    <w:rsid w:val="001D4AE5"/>
    <w:rsid w:val="001D546E"/>
    <w:rsid w:val="001D5639"/>
    <w:rsid w:val="001D5A9C"/>
    <w:rsid w:val="001D63E3"/>
    <w:rsid w:val="001D6630"/>
    <w:rsid w:val="001D6E8C"/>
    <w:rsid w:val="001D796C"/>
    <w:rsid w:val="001D7A3B"/>
    <w:rsid w:val="001E024F"/>
    <w:rsid w:val="001E16FF"/>
    <w:rsid w:val="001E2624"/>
    <w:rsid w:val="001E2CEB"/>
    <w:rsid w:val="001E3345"/>
    <w:rsid w:val="001E4B13"/>
    <w:rsid w:val="001E5267"/>
    <w:rsid w:val="001E547E"/>
    <w:rsid w:val="001E628E"/>
    <w:rsid w:val="001E694E"/>
    <w:rsid w:val="001E6A41"/>
    <w:rsid w:val="001E7185"/>
    <w:rsid w:val="001F05AA"/>
    <w:rsid w:val="001F0676"/>
    <w:rsid w:val="001F09EE"/>
    <w:rsid w:val="001F1387"/>
    <w:rsid w:val="001F2A8E"/>
    <w:rsid w:val="001F2B66"/>
    <w:rsid w:val="001F2D46"/>
    <w:rsid w:val="001F326A"/>
    <w:rsid w:val="001F37D6"/>
    <w:rsid w:val="001F3ABA"/>
    <w:rsid w:val="001F3F8F"/>
    <w:rsid w:val="001F418F"/>
    <w:rsid w:val="001F41BF"/>
    <w:rsid w:val="001F4261"/>
    <w:rsid w:val="001F45F7"/>
    <w:rsid w:val="001F5620"/>
    <w:rsid w:val="001F5AB5"/>
    <w:rsid w:val="001F5EB5"/>
    <w:rsid w:val="001F6AF3"/>
    <w:rsid w:val="001F6B01"/>
    <w:rsid w:val="001F7966"/>
    <w:rsid w:val="001F799D"/>
    <w:rsid w:val="001F7BB1"/>
    <w:rsid w:val="001F7EBA"/>
    <w:rsid w:val="00200CE1"/>
    <w:rsid w:val="0020157B"/>
    <w:rsid w:val="002016E8"/>
    <w:rsid w:val="002017ED"/>
    <w:rsid w:val="00201D32"/>
    <w:rsid w:val="00202600"/>
    <w:rsid w:val="00202D59"/>
    <w:rsid w:val="00202F66"/>
    <w:rsid w:val="00204A7A"/>
    <w:rsid w:val="00205A83"/>
    <w:rsid w:val="00205E0A"/>
    <w:rsid w:val="002062A0"/>
    <w:rsid w:val="00207146"/>
    <w:rsid w:val="00207A9D"/>
    <w:rsid w:val="00207EC2"/>
    <w:rsid w:val="0021033A"/>
    <w:rsid w:val="00211017"/>
    <w:rsid w:val="002113B7"/>
    <w:rsid w:val="0021144B"/>
    <w:rsid w:val="002119D9"/>
    <w:rsid w:val="00211D18"/>
    <w:rsid w:val="00211E69"/>
    <w:rsid w:val="00212284"/>
    <w:rsid w:val="00212CAE"/>
    <w:rsid w:val="00213693"/>
    <w:rsid w:val="00213CF3"/>
    <w:rsid w:val="00213E51"/>
    <w:rsid w:val="00214036"/>
    <w:rsid w:val="002142CF"/>
    <w:rsid w:val="0021438A"/>
    <w:rsid w:val="002153F5"/>
    <w:rsid w:val="00216353"/>
    <w:rsid w:val="0021649F"/>
    <w:rsid w:val="00216848"/>
    <w:rsid w:val="002171D4"/>
    <w:rsid w:val="00217221"/>
    <w:rsid w:val="0021763C"/>
    <w:rsid w:val="00220756"/>
    <w:rsid w:val="00220D11"/>
    <w:rsid w:val="002220A2"/>
    <w:rsid w:val="0022212C"/>
    <w:rsid w:val="00223035"/>
    <w:rsid w:val="002232EA"/>
    <w:rsid w:val="00223380"/>
    <w:rsid w:val="002239FD"/>
    <w:rsid w:val="00224012"/>
    <w:rsid w:val="0022403C"/>
    <w:rsid w:val="00224584"/>
    <w:rsid w:val="0022489A"/>
    <w:rsid w:val="002249DD"/>
    <w:rsid w:val="00224D59"/>
    <w:rsid w:val="00224E59"/>
    <w:rsid w:val="00224F7D"/>
    <w:rsid w:val="00225FB2"/>
    <w:rsid w:val="00226365"/>
    <w:rsid w:val="002264DF"/>
    <w:rsid w:val="0022659A"/>
    <w:rsid w:val="0022665B"/>
    <w:rsid w:val="002270EC"/>
    <w:rsid w:val="00227C35"/>
    <w:rsid w:val="00227D4A"/>
    <w:rsid w:val="00227ED6"/>
    <w:rsid w:val="002304EC"/>
    <w:rsid w:val="00230A1A"/>
    <w:rsid w:val="00230FCD"/>
    <w:rsid w:val="002310E2"/>
    <w:rsid w:val="00231670"/>
    <w:rsid w:val="00231A76"/>
    <w:rsid w:val="00232208"/>
    <w:rsid w:val="002325AB"/>
    <w:rsid w:val="002327BA"/>
    <w:rsid w:val="0023321C"/>
    <w:rsid w:val="00233BFC"/>
    <w:rsid w:val="00233C80"/>
    <w:rsid w:val="00233E85"/>
    <w:rsid w:val="00234452"/>
    <w:rsid w:val="002360F8"/>
    <w:rsid w:val="00236150"/>
    <w:rsid w:val="002365D1"/>
    <w:rsid w:val="00236ED3"/>
    <w:rsid w:val="002371EC"/>
    <w:rsid w:val="00237207"/>
    <w:rsid w:val="00237987"/>
    <w:rsid w:val="002400F3"/>
    <w:rsid w:val="00240705"/>
    <w:rsid w:val="00240A92"/>
    <w:rsid w:val="00241CAD"/>
    <w:rsid w:val="0024266A"/>
    <w:rsid w:val="002426D7"/>
    <w:rsid w:val="002427E1"/>
    <w:rsid w:val="00243DA5"/>
    <w:rsid w:val="00243DC6"/>
    <w:rsid w:val="00244B06"/>
    <w:rsid w:val="00244CE6"/>
    <w:rsid w:val="00244FFF"/>
    <w:rsid w:val="00246E8A"/>
    <w:rsid w:val="0024716F"/>
    <w:rsid w:val="002471C9"/>
    <w:rsid w:val="002472A8"/>
    <w:rsid w:val="002479E2"/>
    <w:rsid w:val="00250195"/>
    <w:rsid w:val="002505C0"/>
    <w:rsid w:val="0025122A"/>
    <w:rsid w:val="00251295"/>
    <w:rsid w:val="002515EC"/>
    <w:rsid w:val="00251EC8"/>
    <w:rsid w:val="0025204C"/>
    <w:rsid w:val="0025210F"/>
    <w:rsid w:val="002526F6"/>
    <w:rsid w:val="002530A5"/>
    <w:rsid w:val="0025319E"/>
    <w:rsid w:val="00253A26"/>
    <w:rsid w:val="00253DFC"/>
    <w:rsid w:val="00255578"/>
    <w:rsid w:val="002555DD"/>
    <w:rsid w:val="002555F9"/>
    <w:rsid w:val="00255B8A"/>
    <w:rsid w:val="00255BF9"/>
    <w:rsid w:val="00255D51"/>
    <w:rsid w:val="00255E7A"/>
    <w:rsid w:val="002560AE"/>
    <w:rsid w:val="00256374"/>
    <w:rsid w:val="00256958"/>
    <w:rsid w:val="00257C2D"/>
    <w:rsid w:val="00260BD0"/>
    <w:rsid w:val="00260C9C"/>
    <w:rsid w:val="00260E2E"/>
    <w:rsid w:val="002617E3"/>
    <w:rsid w:val="00261BD2"/>
    <w:rsid w:val="00261C7F"/>
    <w:rsid w:val="0026368C"/>
    <w:rsid w:val="00263BF3"/>
    <w:rsid w:val="00263DE0"/>
    <w:rsid w:val="00264862"/>
    <w:rsid w:val="00264BCD"/>
    <w:rsid w:val="00264C17"/>
    <w:rsid w:val="002651A9"/>
    <w:rsid w:val="00265A57"/>
    <w:rsid w:val="00265C4A"/>
    <w:rsid w:val="002665F1"/>
    <w:rsid w:val="002671EA"/>
    <w:rsid w:val="00267B43"/>
    <w:rsid w:val="00267CE8"/>
    <w:rsid w:val="00267E7F"/>
    <w:rsid w:val="002708CF"/>
    <w:rsid w:val="00270D2C"/>
    <w:rsid w:val="00272E93"/>
    <w:rsid w:val="00272EF2"/>
    <w:rsid w:val="00273535"/>
    <w:rsid w:val="0027381E"/>
    <w:rsid w:val="002739B2"/>
    <w:rsid w:val="00273D5B"/>
    <w:rsid w:val="0027449D"/>
    <w:rsid w:val="002744CC"/>
    <w:rsid w:val="00274CAE"/>
    <w:rsid w:val="00274DCD"/>
    <w:rsid w:val="002760DF"/>
    <w:rsid w:val="00276E73"/>
    <w:rsid w:val="00277663"/>
    <w:rsid w:val="002778C7"/>
    <w:rsid w:val="00280165"/>
    <w:rsid w:val="002805FB"/>
    <w:rsid w:val="00280CA0"/>
    <w:rsid w:val="00280FBD"/>
    <w:rsid w:val="00281AA4"/>
    <w:rsid w:val="00281D9A"/>
    <w:rsid w:val="0028306B"/>
    <w:rsid w:val="002831D9"/>
    <w:rsid w:val="00283395"/>
    <w:rsid w:val="002835CA"/>
    <w:rsid w:val="00283A9E"/>
    <w:rsid w:val="00283DBF"/>
    <w:rsid w:val="00284354"/>
    <w:rsid w:val="00284476"/>
    <w:rsid w:val="0028475B"/>
    <w:rsid w:val="0028486E"/>
    <w:rsid w:val="00284DBF"/>
    <w:rsid w:val="0028523A"/>
    <w:rsid w:val="00286112"/>
    <w:rsid w:val="00286F71"/>
    <w:rsid w:val="002876B3"/>
    <w:rsid w:val="00287721"/>
    <w:rsid w:val="00287DA2"/>
    <w:rsid w:val="002900B1"/>
    <w:rsid w:val="00290203"/>
    <w:rsid w:val="00290728"/>
    <w:rsid w:val="002912CB"/>
    <w:rsid w:val="002914D8"/>
    <w:rsid w:val="002918D6"/>
    <w:rsid w:val="00291A6B"/>
    <w:rsid w:val="00291F4C"/>
    <w:rsid w:val="002921B6"/>
    <w:rsid w:val="0029369A"/>
    <w:rsid w:val="00293765"/>
    <w:rsid w:val="0029377F"/>
    <w:rsid w:val="00293AFA"/>
    <w:rsid w:val="00293CAC"/>
    <w:rsid w:val="00294724"/>
    <w:rsid w:val="00294C80"/>
    <w:rsid w:val="00294DD7"/>
    <w:rsid w:val="00294FA8"/>
    <w:rsid w:val="002951BA"/>
    <w:rsid w:val="00295AE9"/>
    <w:rsid w:val="00296025"/>
    <w:rsid w:val="002963B8"/>
    <w:rsid w:val="00296ED3"/>
    <w:rsid w:val="00296FBC"/>
    <w:rsid w:val="002A00AC"/>
    <w:rsid w:val="002A0366"/>
    <w:rsid w:val="002A07D9"/>
    <w:rsid w:val="002A0831"/>
    <w:rsid w:val="002A132F"/>
    <w:rsid w:val="002A19F3"/>
    <w:rsid w:val="002A1E85"/>
    <w:rsid w:val="002A2008"/>
    <w:rsid w:val="002A212D"/>
    <w:rsid w:val="002A2B42"/>
    <w:rsid w:val="002A3204"/>
    <w:rsid w:val="002A3576"/>
    <w:rsid w:val="002A3912"/>
    <w:rsid w:val="002A4179"/>
    <w:rsid w:val="002A41E4"/>
    <w:rsid w:val="002A51B5"/>
    <w:rsid w:val="002A56C3"/>
    <w:rsid w:val="002A59F8"/>
    <w:rsid w:val="002A5D01"/>
    <w:rsid w:val="002A5D61"/>
    <w:rsid w:val="002A6448"/>
    <w:rsid w:val="002A649C"/>
    <w:rsid w:val="002A6969"/>
    <w:rsid w:val="002A69DA"/>
    <w:rsid w:val="002A6BBC"/>
    <w:rsid w:val="002A6C82"/>
    <w:rsid w:val="002A7412"/>
    <w:rsid w:val="002A7804"/>
    <w:rsid w:val="002B0447"/>
    <w:rsid w:val="002B1C3F"/>
    <w:rsid w:val="002B1FFC"/>
    <w:rsid w:val="002B2217"/>
    <w:rsid w:val="002B2249"/>
    <w:rsid w:val="002B267E"/>
    <w:rsid w:val="002B2794"/>
    <w:rsid w:val="002B3556"/>
    <w:rsid w:val="002B368A"/>
    <w:rsid w:val="002B40DC"/>
    <w:rsid w:val="002B4142"/>
    <w:rsid w:val="002B4A74"/>
    <w:rsid w:val="002B59AA"/>
    <w:rsid w:val="002B6874"/>
    <w:rsid w:val="002B6EF9"/>
    <w:rsid w:val="002B77E0"/>
    <w:rsid w:val="002B7C1E"/>
    <w:rsid w:val="002C0A0F"/>
    <w:rsid w:val="002C0E7E"/>
    <w:rsid w:val="002C139B"/>
    <w:rsid w:val="002C1589"/>
    <w:rsid w:val="002C15A7"/>
    <w:rsid w:val="002C26F3"/>
    <w:rsid w:val="002C27F0"/>
    <w:rsid w:val="002C2BCD"/>
    <w:rsid w:val="002C30DC"/>
    <w:rsid w:val="002C36ED"/>
    <w:rsid w:val="002C385B"/>
    <w:rsid w:val="002C39DC"/>
    <w:rsid w:val="002C3AD2"/>
    <w:rsid w:val="002C41BF"/>
    <w:rsid w:val="002C4C1E"/>
    <w:rsid w:val="002C55BD"/>
    <w:rsid w:val="002C56A9"/>
    <w:rsid w:val="002C5724"/>
    <w:rsid w:val="002C578A"/>
    <w:rsid w:val="002C58A2"/>
    <w:rsid w:val="002C6123"/>
    <w:rsid w:val="002C61C6"/>
    <w:rsid w:val="002C69EB"/>
    <w:rsid w:val="002C6B67"/>
    <w:rsid w:val="002C6FA4"/>
    <w:rsid w:val="002C7A21"/>
    <w:rsid w:val="002C7C4A"/>
    <w:rsid w:val="002D070C"/>
    <w:rsid w:val="002D0AFD"/>
    <w:rsid w:val="002D0F07"/>
    <w:rsid w:val="002D1E3A"/>
    <w:rsid w:val="002D222F"/>
    <w:rsid w:val="002D34DB"/>
    <w:rsid w:val="002D3A0B"/>
    <w:rsid w:val="002D3C04"/>
    <w:rsid w:val="002D3F89"/>
    <w:rsid w:val="002D578A"/>
    <w:rsid w:val="002D5FB1"/>
    <w:rsid w:val="002D63EB"/>
    <w:rsid w:val="002D6411"/>
    <w:rsid w:val="002D7253"/>
    <w:rsid w:val="002D7E50"/>
    <w:rsid w:val="002E0041"/>
    <w:rsid w:val="002E0742"/>
    <w:rsid w:val="002E0820"/>
    <w:rsid w:val="002E11EB"/>
    <w:rsid w:val="002E156F"/>
    <w:rsid w:val="002E1E74"/>
    <w:rsid w:val="002E20E5"/>
    <w:rsid w:val="002E2321"/>
    <w:rsid w:val="002E2753"/>
    <w:rsid w:val="002E337C"/>
    <w:rsid w:val="002E349D"/>
    <w:rsid w:val="002E3773"/>
    <w:rsid w:val="002E4855"/>
    <w:rsid w:val="002E512A"/>
    <w:rsid w:val="002E53D8"/>
    <w:rsid w:val="002E55CB"/>
    <w:rsid w:val="002E62BD"/>
    <w:rsid w:val="002E6CBE"/>
    <w:rsid w:val="002E6CC5"/>
    <w:rsid w:val="002E7199"/>
    <w:rsid w:val="002E7829"/>
    <w:rsid w:val="002E7949"/>
    <w:rsid w:val="002E7C14"/>
    <w:rsid w:val="002E7EF2"/>
    <w:rsid w:val="002F0422"/>
    <w:rsid w:val="002F0491"/>
    <w:rsid w:val="002F0C15"/>
    <w:rsid w:val="002F14AB"/>
    <w:rsid w:val="002F192A"/>
    <w:rsid w:val="002F1BAC"/>
    <w:rsid w:val="002F1CA5"/>
    <w:rsid w:val="002F2321"/>
    <w:rsid w:val="002F2BC1"/>
    <w:rsid w:val="002F328A"/>
    <w:rsid w:val="002F33C1"/>
    <w:rsid w:val="002F33F9"/>
    <w:rsid w:val="002F3BA8"/>
    <w:rsid w:val="002F4949"/>
    <w:rsid w:val="002F4D9F"/>
    <w:rsid w:val="002F51DF"/>
    <w:rsid w:val="002F5275"/>
    <w:rsid w:val="002F6084"/>
    <w:rsid w:val="002F626B"/>
    <w:rsid w:val="002F63BA"/>
    <w:rsid w:val="002F6687"/>
    <w:rsid w:val="002F689D"/>
    <w:rsid w:val="0030004F"/>
    <w:rsid w:val="00300938"/>
    <w:rsid w:val="00301685"/>
    <w:rsid w:val="003021CF"/>
    <w:rsid w:val="00302455"/>
    <w:rsid w:val="00302747"/>
    <w:rsid w:val="0030283B"/>
    <w:rsid w:val="00303D92"/>
    <w:rsid w:val="00303ECA"/>
    <w:rsid w:val="00304B26"/>
    <w:rsid w:val="00304CF2"/>
    <w:rsid w:val="0030568F"/>
    <w:rsid w:val="00305A97"/>
    <w:rsid w:val="00305BC6"/>
    <w:rsid w:val="00305F1D"/>
    <w:rsid w:val="00306222"/>
    <w:rsid w:val="0030626A"/>
    <w:rsid w:val="0030788A"/>
    <w:rsid w:val="00307B1C"/>
    <w:rsid w:val="00310D71"/>
    <w:rsid w:val="0031243F"/>
    <w:rsid w:val="003129E5"/>
    <w:rsid w:val="00312D0F"/>
    <w:rsid w:val="00313153"/>
    <w:rsid w:val="00313DAF"/>
    <w:rsid w:val="00314546"/>
    <w:rsid w:val="00315B09"/>
    <w:rsid w:val="00315BC1"/>
    <w:rsid w:val="00315C2A"/>
    <w:rsid w:val="00316BB1"/>
    <w:rsid w:val="00316FB2"/>
    <w:rsid w:val="00317030"/>
    <w:rsid w:val="003174A1"/>
    <w:rsid w:val="003207B8"/>
    <w:rsid w:val="00321010"/>
    <w:rsid w:val="00321CCB"/>
    <w:rsid w:val="00321E4A"/>
    <w:rsid w:val="0032278B"/>
    <w:rsid w:val="00322919"/>
    <w:rsid w:val="00322A41"/>
    <w:rsid w:val="00323211"/>
    <w:rsid w:val="003242D4"/>
    <w:rsid w:val="00324750"/>
    <w:rsid w:val="00324C4E"/>
    <w:rsid w:val="00324C98"/>
    <w:rsid w:val="00324CF9"/>
    <w:rsid w:val="0032536E"/>
    <w:rsid w:val="00325829"/>
    <w:rsid w:val="00325B05"/>
    <w:rsid w:val="003262C7"/>
    <w:rsid w:val="003263D4"/>
    <w:rsid w:val="00326C61"/>
    <w:rsid w:val="00326D14"/>
    <w:rsid w:val="00326D82"/>
    <w:rsid w:val="00327495"/>
    <w:rsid w:val="0032756A"/>
    <w:rsid w:val="00327741"/>
    <w:rsid w:val="00327AE6"/>
    <w:rsid w:val="00327B10"/>
    <w:rsid w:val="00327BBE"/>
    <w:rsid w:val="00327D9C"/>
    <w:rsid w:val="00330574"/>
    <w:rsid w:val="00330852"/>
    <w:rsid w:val="0033092C"/>
    <w:rsid w:val="00331C45"/>
    <w:rsid w:val="003322C3"/>
    <w:rsid w:val="00333843"/>
    <w:rsid w:val="0033384B"/>
    <w:rsid w:val="00333A35"/>
    <w:rsid w:val="00334609"/>
    <w:rsid w:val="0033476D"/>
    <w:rsid w:val="00334E2F"/>
    <w:rsid w:val="003352C0"/>
    <w:rsid w:val="0033572D"/>
    <w:rsid w:val="00335993"/>
    <w:rsid w:val="0033690B"/>
    <w:rsid w:val="00336975"/>
    <w:rsid w:val="00336DD2"/>
    <w:rsid w:val="00337EDA"/>
    <w:rsid w:val="00337F3F"/>
    <w:rsid w:val="0034070F"/>
    <w:rsid w:val="00340F78"/>
    <w:rsid w:val="0034106C"/>
    <w:rsid w:val="003412F7"/>
    <w:rsid w:val="00341765"/>
    <w:rsid w:val="00341D50"/>
    <w:rsid w:val="00342381"/>
    <w:rsid w:val="00342F18"/>
    <w:rsid w:val="00343C4D"/>
    <w:rsid w:val="00344386"/>
    <w:rsid w:val="00344C67"/>
    <w:rsid w:val="00344E08"/>
    <w:rsid w:val="00344F51"/>
    <w:rsid w:val="0034502D"/>
    <w:rsid w:val="0034537C"/>
    <w:rsid w:val="003454CE"/>
    <w:rsid w:val="003455FA"/>
    <w:rsid w:val="00345F5E"/>
    <w:rsid w:val="00346A3B"/>
    <w:rsid w:val="00346D29"/>
    <w:rsid w:val="00347140"/>
    <w:rsid w:val="00347F0D"/>
    <w:rsid w:val="0035000C"/>
    <w:rsid w:val="003504AC"/>
    <w:rsid w:val="00351100"/>
    <w:rsid w:val="003514B4"/>
    <w:rsid w:val="003518F1"/>
    <w:rsid w:val="003525E4"/>
    <w:rsid w:val="0035317E"/>
    <w:rsid w:val="00353881"/>
    <w:rsid w:val="00353D03"/>
    <w:rsid w:val="003543C2"/>
    <w:rsid w:val="00354F68"/>
    <w:rsid w:val="003550C1"/>
    <w:rsid w:val="003558AF"/>
    <w:rsid w:val="0035727B"/>
    <w:rsid w:val="00360C7E"/>
    <w:rsid w:val="00360E39"/>
    <w:rsid w:val="00360F71"/>
    <w:rsid w:val="00361398"/>
    <w:rsid w:val="0036166A"/>
    <w:rsid w:val="003616DC"/>
    <w:rsid w:val="003625B5"/>
    <w:rsid w:val="003627FB"/>
    <w:rsid w:val="00363065"/>
    <w:rsid w:val="00363B2D"/>
    <w:rsid w:val="00363D60"/>
    <w:rsid w:val="003645DA"/>
    <w:rsid w:val="00364C05"/>
    <w:rsid w:val="00365145"/>
    <w:rsid w:val="00365206"/>
    <w:rsid w:val="00365546"/>
    <w:rsid w:val="003658E3"/>
    <w:rsid w:val="0036617A"/>
    <w:rsid w:val="00366306"/>
    <w:rsid w:val="0036639D"/>
    <w:rsid w:val="00366770"/>
    <w:rsid w:val="00366DB9"/>
    <w:rsid w:val="003676F0"/>
    <w:rsid w:val="00367D88"/>
    <w:rsid w:val="00367DEF"/>
    <w:rsid w:val="00367FB2"/>
    <w:rsid w:val="003703D9"/>
    <w:rsid w:val="0037077E"/>
    <w:rsid w:val="003714FA"/>
    <w:rsid w:val="003722E3"/>
    <w:rsid w:val="00372686"/>
    <w:rsid w:val="00373390"/>
    <w:rsid w:val="00373498"/>
    <w:rsid w:val="00373B23"/>
    <w:rsid w:val="00373FCE"/>
    <w:rsid w:val="003748F2"/>
    <w:rsid w:val="0037521F"/>
    <w:rsid w:val="003756EF"/>
    <w:rsid w:val="00375997"/>
    <w:rsid w:val="00375C2D"/>
    <w:rsid w:val="00376023"/>
    <w:rsid w:val="0037678D"/>
    <w:rsid w:val="00376E34"/>
    <w:rsid w:val="00377754"/>
    <w:rsid w:val="00377D68"/>
    <w:rsid w:val="0038251B"/>
    <w:rsid w:val="00382836"/>
    <w:rsid w:val="00382940"/>
    <w:rsid w:val="003830CE"/>
    <w:rsid w:val="003832AA"/>
    <w:rsid w:val="003837F8"/>
    <w:rsid w:val="00383E48"/>
    <w:rsid w:val="0038482C"/>
    <w:rsid w:val="00384D36"/>
    <w:rsid w:val="003853B3"/>
    <w:rsid w:val="0038608B"/>
    <w:rsid w:val="003862E5"/>
    <w:rsid w:val="0038696A"/>
    <w:rsid w:val="00386B2F"/>
    <w:rsid w:val="00387231"/>
    <w:rsid w:val="0038736F"/>
    <w:rsid w:val="00390569"/>
    <w:rsid w:val="0039065B"/>
    <w:rsid w:val="00390D7E"/>
    <w:rsid w:val="00390F09"/>
    <w:rsid w:val="003920E9"/>
    <w:rsid w:val="00392511"/>
    <w:rsid w:val="003927AA"/>
    <w:rsid w:val="003929F8"/>
    <w:rsid w:val="00392AD9"/>
    <w:rsid w:val="00392E54"/>
    <w:rsid w:val="00392F66"/>
    <w:rsid w:val="00394290"/>
    <w:rsid w:val="0039489D"/>
    <w:rsid w:val="0039610D"/>
    <w:rsid w:val="0039621B"/>
    <w:rsid w:val="003962ED"/>
    <w:rsid w:val="00396843"/>
    <w:rsid w:val="003968F1"/>
    <w:rsid w:val="00396DD4"/>
    <w:rsid w:val="00396F43"/>
    <w:rsid w:val="00397363"/>
    <w:rsid w:val="003A0B04"/>
    <w:rsid w:val="003A120E"/>
    <w:rsid w:val="003A1244"/>
    <w:rsid w:val="003A1639"/>
    <w:rsid w:val="003A1AFA"/>
    <w:rsid w:val="003A2E27"/>
    <w:rsid w:val="003A3645"/>
    <w:rsid w:val="003A38EB"/>
    <w:rsid w:val="003A3BDC"/>
    <w:rsid w:val="003A4839"/>
    <w:rsid w:val="003A4962"/>
    <w:rsid w:val="003A4C45"/>
    <w:rsid w:val="003A4EC2"/>
    <w:rsid w:val="003A4F86"/>
    <w:rsid w:val="003A5E52"/>
    <w:rsid w:val="003A6157"/>
    <w:rsid w:val="003A6650"/>
    <w:rsid w:val="003A6871"/>
    <w:rsid w:val="003A6CC9"/>
    <w:rsid w:val="003A6E0C"/>
    <w:rsid w:val="003A6FAD"/>
    <w:rsid w:val="003B0AED"/>
    <w:rsid w:val="003B0F6E"/>
    <w:rsid w:val="003B16F2"/>
    <w:rsid w:val="003B1A77"/>
    <w:rsid w:val="003B1D5B"/>
    <w:rsid w:val="003B1FCE"/>
    <w:rsid w:val="003B2066"/>
    <w:rsid w:val="003B20BB"/>
    <w:rsid w:val="003B2448"/>
    <w:rsid w:val="003B26EA"/>
    <w:rsid w:val="003B2E07"/>
    <w:rsid w:val="003B32F1"/>
    <w:rsid w:val="003B3368"/>
    <w:rsid w:val="003B3E4A"/>
    <w:rsid w:val="003B3E66"/>
    <w:rsid w:val="003B4560"/>
    <w:rsid w:val="003B47F2"/>
    <w:rsid w:val="003B500A"/>
    <w:rsid w:val="003B543D"/>
    <w:rsid w:val="003B5F48"/>
    <w:rsid w:val="003B6E27"/>
    <w:rsid w:val="003B758A"/>
    <w:rsid w:val="003B7E8E"/>
    <w:rsid w:val="003C0482"/>
    <w:rsid w:val="003C0F4B"/>
    <w:rsid w:val="003C0F4E"/>
    <w:rsid w:val="003C1073"/>
    <w:rsid w:val="003C1430"/>
    <w:rsid w:val="003C14D7"/>
    <w:rsid w:val="003C2444"/>
    <w:rsid w:val="003C251D"/>
    <w:rsid w:val="003C2967"/>
    <w:rsid w:val="003C2D21"/>
    <w:rsid w:val="003C3292"/>
    <w:rsid w:val="003C3F83"/>
    <w:rsid w:val="003C446D"/>
    <w:rsid w:val="003C6374"/>
    <w:rsid w:val="003C63DF"/>
    <w:rsid w:val="003C733E"/>
    <w:rsid w:val="003D0B54"/>
    <w:rsid w:val="003D0BFA"/>
    <w:rsid w:val="003D109D"/>
    <w:rsid w:val="003D1431"/>
    <w:rsid w:val="003D1599"/>
    <w:rsid w:val="003D1B8B"/>
    <w:rsid w:val="003D1DAC"/>
    <w:rsid w:val="003D1E3E"/>
    <w:rsid w:val="003D1F2A"/>
    <w:rsid w:val="003D3393"/>
    <w:rsid w:val="003D3B49"/>
    <w:rsid w:val="003D40E7"/>
    <w:rsid w:val="003D46EC"/>
    <w:rsid w:val="003D503B"/>
    <w:rsid w:val="003D5397"/>
    <w:rsid w:val="003D61BD"/>
    <w:rsid w:val="003D6D58"/>
    <w:rsid w:val="003D7087"/>
    <w:rsid w:val="003D709E"/>
    <w:rsid w:val="003D7C57"/>
    <w:rsid w:val="003D7D18"/>
    <w:rsid w:val="003E00D1"/>
    <w:rsid w:val="003E062F"/>
    <w:rsid w:val="003E0DCB"/>
    <w:rsid w:val="003E11AB"/>
    <w:rsid w:val="003E1753"/>
    <w:rsid w:val="003E1ABE"/>
    <w:rsid w:val="003E1C90"/>
    <w:rsid w:val="003E2539"/>
    <w:rsid w:val="003E3099"/>
    <w:rsid w:val="003E3171"/>
    <w:rsid w:val="003E3985"/>
    <w:rsid w:val="003E43DD"/>
    <w:rsid w:val="003E4996"/>
    <w:rsid w:val="003E55CE"/>
    <w:rsid w:val="003E5957"/>
    <w:rsid w:val="003E63DC"/>
    <w:rsid w:val="003E64A1"/>
    <w:rsid w:val="003E6ED2"/>
    <w:rsid w:val="003E7018"/>
    <w:rsid w:val="003E7371"/>
    <w:rsid w:val="003E75AF"/>
    <w:rsid w:val="003E7867"/>
    <w:rsid w:val="003E791D"/>
    <w:rsid w:val="003E7A82"/>
    <w:rsid w:val="003F0080"/>
    <w:rsid w:val="003F0531"/>
    <w:rsid w:val="003F06E0"/>
    <w:rsid w:val="003F109F"/>
    <w:rsid w:val="003F113C"/>
    <w:rsid w:val="003F2D02"/>
    <w:rsid w:val="003F3616"/>
    <w:rsid w:val="003F3B1F"/>
    <w:rsid w:val="003F3C51"/>
    <w:rsid w:val="003F4132"/>
    <w:rsid w:val="003F4418"/>
    <w:rsid w:val="003F4496"/>
    <w:rsid w:val="003F484A"/>
    <w:rsid w:val="003F5129"/>
    <w:rsid w:val="003F569C"/>
    <w:rsid w:val="003F5EAF"/>
    <w:rsid w:val="003F64CC"/>
    <w:rsid w:val="003F6D73"/>
    <w:rsid w:val="0040068A"/>
    <w:rsid w:val="00400DD0"/>
    <w:rsid w:val="00400F3A"/>
    <w:rsid w:val="00401ED4"/>
    <w:rsid w:val="00402472"/>
    <w:rsid w:val="00403195"/>
    <w:rsid w:val="0040403E"/>
    <w:rsid w:val="0040514C"/>
    <w:rsid w:val="00405954"/>
    <w:rsid w:val="00405A7A"/>
    <w:rsid w:val="00405DF3"/>
    <w:rsid w:val="00405F82"/>
    <w:rsid w:val="00406782"/>
    <w:rsid w:val="00406A3E"/>
    <w:rsid w:val="00407281"/>
    <w:rsid w:val="00407888"/>
    <w:rsid w:val="00407F48"/>
    <w:rsid w:val="00407FCB"/>
    <w:rsid w:val="004106CD"/>
    <w:rsid w:val="00410CDB"/>
    <w:rsid w:val="00410DBF"/>
    <w:rsid w:val="004113FB"/>
    <w:rsid w:val="004117C8"/>
    <w:rsid w:val="004126C9"/>
    <w:rsid w:val="004128F4"/>
    <w:rsid w:val="004136D7"/>
    <w:rsid w:val="00413C25"/>
    <w:rsid w:val="00413F09"/>
    <w:rsid w:val="004140A4"/>
    <w:rsid w:val="0041443C"/>
    <w:rsid w:val="00414E7F"/>
    <w:rsid w:val="00415DC3"/>
    <w:rsid w:val="004168EA"/>
    <w:rsid w:val="00416A1B"/>
    <w:rsid w:val="00416F48"/>
    <w:rsid w:val="00420138"/>
    <w:rsid w:val="004204A9"/>
    <w:rsid w:val="00421332"/>
    <w:rsid w:val="00422E65"/>
    <w:rsid w:val="004232C8"/>
    <w:rsid w:val="0042348F"/>
    <w:rsid w:val="00423773"/>
    <w:rsid w:val="004245E6"/>
    <w:rsid w:val="004246AF"/>
    <w:rsid w:val="00424774"/>
    <w:rsid w:val="004248FE"/>
    <w:rsid w:val="00424A60"/>
    <w:rsid w:val="00424C9B"/>
    <w:rsid w:val="0042514A"/>
    <w:rsid w:val="0042613A"/>
    <w:rsid w:val="004269AB"/>
    <w:rsid w:val="004271D0"/>
    <w:rsid w:val="00427679"/>
    <w:rsid w:val="00427B29"/>
    <w:rsid w:val="0043025A"/>
    <w:rsid w:val="00430917"/>
    <w:rsid w:val="00430AFF"/>
    <w:rsid w:val="004313DC"/>
    <w:rsid w:val="0043158F"/>
    <w:rsid w:val="00431B5B"/>
    <w:rsid w:val="004320DD"/>
    <w:rsid w:val="004328A9"/>
    <w:rsid w:val="00432EC6"/>
    <w:rsid w:val="00433064"/>
    <w:rsid w:val="004338D3"/>
    <w:rsid w:val="0043433F"/>
    <w:rsid w:val="00434515"/>
    <w:rsid w:val="0043483D"/>
    <w:rsid w:val="00434BD6"/>
    <w:rsid w:val="00435086"/>
    <w:rsid w:val="0043594F"/>
    <w:rsid w:val="00435D57"/>
    <w:rsid w:val="00436BDB"/>
    <w:rsid w:val="00436C56"/>
    <w:rsid w:val="00436DFC"/>
    <w:rsid w:val="00436E5C"/>
    <w:rsid w:val="004372EF"/>
    <w:rsid w:val="004400B8"/>
    <w:rsid w:val="004403A8"/>
    <w:rsid w:val="0044044B"/>
    <w:rsid w:val="00440675"/>
    <w:rsid w:val="0044172C"/>
    <w:rsid w:val="00441CE3"/>
    <w:rsid w:val="00442771"/>
    <w:rsid w:val="004427F0"/>
    <w:rsid w:val="00442AAF"/>
    <w:rsid w:val="00443B77"/>
    <w:rsid w:val="0044408B"/>
    <w:rsid w:val="0044597A"/>
    <w:rsid w:val="00445998"/>
    <w:rsid w:val="0044626D"/>
    <w:rsid w:val="00446DE2"/>
    <w:rsid w:val="00447051"/>
    <w:rsid w:val="0044710E"/>
    <w:rsid w:val="004477BA"/>
    <w:rsid w:val="00447B3B"/>
    <w:rsid w:val="00450501"/>
    <w:rsid w:val="00450E03"/>
    <w:rsid w:val="00451370"/>
    <w:rsid w:val="00451F7C"/>
    <w:rsid w:val="00452121"/>
    <w:rsid w:val="004522E4"/>
    <w:rsid w:val="004525F5"/>
    <w:rsid w:val="004526DB"/>
    <w:rsid w:val="00452B40"/>
    <w:rsid w:val="00452E49"/>
    <w:rsid w:val="00453399"/>
    <w:rsid w:val="00453BCF"/>
    <w:rsid w:val="00453C9D"/>
    <w:rsid w:val="00455311"/>
    <w:rsid w:val="00455D1D"/>
    <w:rsid w:val="00456DCF"/>
    <w:rsid w:val="00457114"/>
    <w:rsid w:val="004571FC"/>
    <w:rsid w:val="00457A57"/>
    <w:rsid w:val="00457DF1"/>
    <w:rsid w:val="00460628"/>
    <w:rsid w:val="004607DE"/>
    <w:rsid w:val="0046091B"/>
    <w:rsid w:val="0046099E"/>
    <w:rsid w:val="00460A61"/>
    <w:rsid w:val="00460F9B"/>
    <w:rsid w:val="00461661"/>
    <w:rsid w:val="00461952"/>
    <w:rsid w:val="00461C5D"/>
    <w:rsid w:val="0046219A"/>
    <w:rsid w:val="00462640"/>
    <w:rsid w:val="00463CDD"/>
    <w:rsid w:val="0046413A"/>
    <w:rsid w:val="0046547E"/>
    <w:rsid w:val="0046584D"/>
    <w:rsid w:val="00465CA1"/>
    <w:rsid w:val="004678F0"/>
    <w:rsid w:val="00467AB4"/>
    <w:rsid w:val="00467ABC"/>
    <w:rsid w:val="00467B67"/>
    <w:rsid w:val="00467E3D"/>
    <w:rsid w:val="004705C9"/>
    <w:rsid w:val="0047130A"/>
    <w:rsid w:val="004716DE"/>
    <w:rsid w:val="00471CB2"/>
    <w:rsid w:val="00472533"/>
    <w:rsid w:val="00473093"/>
    <w:rsid w:val="00473A24"/>
    <w:rsid w:val="004740BA"/>
    <w:rsid w:val="00474EC8"/>
    <w:rsid w:val="0047583E"/>
    <w:rsid w:val="004769D0"/>
    <w:rsid w:val="004772ED"/>
    <w:rsid w:val="00477E8D"/>
    <w:rsid w:val="00480075"/>
    <w:rsid w:val="0048008A"/>
    <w:rsid w:val="00480165"/>
    <w:rsid w:val="0048105D"/>
    <w:rsid w:val="00481313"/>
    <w:rsid w:val="004813CD"/>
    <w:rsid w:val="004821FF"/>
    <w:rsid w:val="00483033"/>
    <w:rsid w:val="004830EA"/>
    <w:rsid w:val="00484156"/>
    <w:rsid w:val="004845B7"/>
    <w:rsid w:val="00484934"/>
    <w:rsid w:val="0048543C"/>
    <w:rsid w:val="004862F7"/>
    <w:rsid w:val="00486E95"/>
    <w:rsid w:val="0048727A"/>
    <w:rsid w:val="00487601"/>
    <w:rsid w:val="00487747"/>
    <w:rsid w:val="00487988"/>
    <w:rsid w:val="00487DA7"/>
    <w:rsid w:val="0049093C"/>
    <w:rsid w:val="00490A72"/>
    <w:rsid w:val="00490E43"/>
    <w:rsid w:val="00490EC9"/>
    <w:rsid w:val="00491CC7"/>
    <w:rsid w:val="00491E0F"/>
    <w:rsid w:val="00492026"/>
    <w:rsid w:val="0049233D"/>
    <w:rsid w:val="00492F23"/>
    <w:rsid w:val="00493089"/>
    <w:rsid w:val="004935D0"/>
    <w:rsid w:val="0049394E"/>
    <w:rsid w:val="0049563C"/>
    <w:rsid w:val="00495E06"/>
    <w:rsid w:val="00495E84"/>
    <w:rsid w:val="00496271"/>
    <w:rsid w:val="00496376"/>
    <w:rsid w:val="00496B0E"/>
    <w:rsid w:val="00496E96"/>
    <w:rsid w:val="00497F6F"/>
    <w:rsid w:val="004A021C"/>
    <w:rsid w:val="004A0633"/>
    <w:rsid w:val="004A0A79"/>
    <w:rsid w:val="004A1474"/>
    <w:rsid w:val="004A16B4"/>
    <w:rsid w:val="004A16F7"/>
    <w:rsid w:val="004A1A0F"/>
    <w:rsid w:val="004A339D"/>
    <w:rsid w:val="004A36D7"/>
    <w:rsid w:val="004A3788"/>
    <w:rsid w:val="004A3867"/>
    <w:rsid w:val="004A4831"/>
    <w:rsid w:val="004A49CF"/>
    <w:rsid w:val="004A5777"/>
    <w:rsid w:val="004A5D51"/>
    <w:rsid w:val="004A5FC2"/>
    <w:rsid w:val="004A636D"/>
    <w:rsid w:val="004A6414"/>
    <w:rsid w:val="004B0A2C"/>
    <w:rsid w:val="004B0B13"/>
    <w:rsid w:val="004B0E43"/>
    <w:rsid w:val="004B0F7C"/>
    <w:rsid w:val="004B106D"/>
    <w:rsid w:val="004B1672"/>
    <w:rsid w:val="004B257E"/>
    <w:rsid w:val="004B280E"/>
    <w:rsid w:val="004B2998"/>
    <w:rsid w:val="004B29CA"/>
    <w:rsid w:val="004B2EE8"/>
    <w:rsid w:val="004B3508"/>
    <w:rsid w:val="004B375F"/>
    <w:rsid w:val="004B3800"/>
    <w:rsid w:val="004B4062"/>
    <w:rsid w:val="004B4A96"/>
    <w:rsid w:val="004B5434"/>
    <w:rsid w:val="004B5538"/>
    <w:rsid w:val="004B5A44"/>
    <w:rsid w:val="004B5EC4"/>
    <w:rsid w:val="004B6642"/>
    <w:rsid w:val="004B678C"/>
    <w:rsid w:val="004B7264"/>
    <w:rsid w:val="004B74AC"/>
    <w:rsid w:val="004B74CA"/>
    <w:rsid w:val="004B7810"/>
    <w:rsid w:val="004B7A0E"/>
    <w:rsid w:val="004B7F5F"/>
    <w:rsid w:val="004C014E"/>
    <w:rsid w:val="004C108A"/>
    <w:rsid w:val="004C1659"/>
    <w:rsid w:val="004C17E5"/>
    <w:rsid w:val="004C19DF"/>
    <w:rsid w:val="004C1B97"/>
    <w:rsid w:val="004C1E05"/>
    <w:rsid w:val="004C24D0"/>
    <w:rsid w:val="004C2726"/>
    <w:rsid w:val="004C2DEA"/>
    <w:rsid w:val="004C30E5"/>
    <w:rsid w:val="004C3248"/>
    <w:rsid w:val="004C387C"/>
    <w:rsid w:val="004C3A4A"/>
    <w:rsid w:val="004C3D28"/>
    <w:rsid w:val="004C3D4F"/>
    <w:rsid w:val="004C4530"/>
    <w:rsid w:val="004C4876"/>
    <w:rsid w:val="004C4BE1"/>
    <w:rsid w:val="004C4E7B"/>
    <w:rsid w:val="004C5669"/>
    <w:rsid w:val="004C594C"/>
    <w:rsid w:val="004C5B06"/>
    <w:rsid w:val="004C62BA"/>
    <w:rsid w:val="004C7104"/>
    <w:rsid w:val="004C7B6B"/>
    <w:rsid w:val="004C7E5C"/>
    <w:rsid w:val="004C7F16"/>
    <w:rsid w:val="004D0017"/>
    <w:rsid w:val="004D09DA"/>
    <w:rsid w:val="004D0B88"/>
    <w:rsid w:val="004D1015"/>
    <w:rsid w:val="004D1B43"/>
    <w:rsid w:val="004D2DA9"/>
    <w:rsid w:val="004D2E92"/>
    <w:rsid w:val="004D3D86"/>
    <w:rsid w:val="004D4530"/>
    <w:rsid w:val="004D4ACF"/>
    <w:rsid w:val="004D4CBB"/>
    <w:rsid w:val="004D5401"/>
    <w:rsid w:val="004D6004"/>
    <w:rsid w:val="004D6282"/>
    <w:rsid w:val="004D6453"/>
    <w:rsid w:val="004D64C7"/>
    <w:rsid w:val="004D6674"/>
    <w:rsid w:val="004D7566"/>
    <w:rsid w:val="004D7B30"/>
    <w:rsid w:val="004D7CF0"/>
    <w:rsid w:val="004D7F9C"/>
    <w:rsid w:val="004E04E3"/>
    <w:rsid w:val="004E0699"/>
    <w:rsid w:val="004E212B"/>
    <w:rsid w:val="004E282E"/>
    <w:rsid w:val="004E28C1"/>
    <w:rsid w:val="004E32EE"/>
    <w:rsid w:val="004E34C2"/>
    <w:rsid w:val="004E35CD"/>
    <w:rsid w:val="004E386D"/>
    <w:rsid w:val="004E4E4A"/>
    <w:rsid w:val="004E5A33"/>
    <w:rsid w:val="004E60B4"/>
    <w:rsid w:val="004E62B6"/>
    <w:rsid w:val="004E6758"/>
    <w:rsid w:val="004E6829"/>
    <w:rsid w:val="004E6945"/>
    <w:rsid w:val="004E710A"/>
    <w:rsid w:val="004E71FF"/>
    <w:rsid w:val="004F0A8F"/>
    <w:rsid w:val="004F0C4D"/>
    <w:rsid w:val="004F0E92"/>
    <w:rsid w:val="004F1209"/>
    <w:rsid w:val="004F1343"/>
    <w:rsid w:val="004F18B4"/>
    <w:rsid w:val="004F252D"/>
    <w:rsid w:val="004F3088"/>
    <w:rsid w:val="004F348A"/>
    <w:rsid w:val="004F3692"/>
    <w:rsid w:val="004F4142"/>
    <w:rsid w:val="004F4DF8"/>
    <w:rsid w:val="004F4E22"/>
    <w:rsid w:val="004F5526"/>
    <w:rsid w:val="004F563A"/>
    <w:rsid w:val="004F59CF"/>
    <w:rsid w:val="004F5BF4"/>
    <w:rsid w:val="004F5DF5"/>
    <w:rsid w:val="004F6727"/>
    <w:rsid w:val="004F6D97"/>
    <w:rsid w:val="004F77AC"/>
    <w:rsid w:val="005007AB"/>
    <w:rsid w:val="00500808"/>
    <w:rsid w:val="00500A85"/>
    <w:rsid w:val="00500BD7"/>
    <w:rsid w:val="005010C3"/>
    <w:rsid w:val="00501113"/>
    <w:rsid w:val="005022EB"/>
    <w:rsid w:val="00502899"/>
    <w:rsid w:val="00503131"/>
    <w:rsid w:val="005035B1"/>
    <w:rsid w:val="00503BE8"/>
    <w:rsid w:val="00504060"/>
    <w:rsid w:val="0050437A"/>
    <w:rsid w:val="005048BD"/>
    <w:rsid w:val="00504F36"/>
    <w:rsid w:val="005050F9"/>
    <w:rsid w:val="0050517C"/>
    <w:rsid w:val="00506261"/>
    <w:rsid w:val="005063AA"/>
    <w:rsid w:val="005065AA"/>
    <w:rsid w:val="00506D8E"/>
    <w:rsid w:val="005075BB"/>
    <w:rsid w:val="00507D10"/>
    <w:rsid w:val="0051070E"/>
    <w:rsid w:val="0051072E"/>
    <w:rsid w:val="00510B42"/>
    <w:rsid w:val="00511023"/>
    <w:rsid w:val="005127CF"/>
    <w:rsid w:val="0051282E"/>
    <w:rsid w:val="00512FA1"/>
    <w:rsid w:val="0051310B"/>
    <w:rsid w:val="00513601"/>
    <w:rsid w:val="00513FDD"/>
    <w:rsid w:val="0051442D"/>
    <w:rsid w:val="00514A1A"/>
    <w:rsid w:val="00515B78"/>
    <w:rsid w:val="00516444"/>
    <w:rsid w:val="00516A8A"/>
    <w:rsid w:val="0051780D"/>
    <w:rsid w:val="00520240"/>
    <w:rsid w:val="00520A87"/>
    <w:rsid w:val="005210D4"/>
    <w:rsid w:val="0052157A"/>
    <w:rsid w:val="0052161F"/>
    <w:rsid w:val="00522491"/>
    <w:rsid w:val="00522F0B"/>
    <w:rsid w:val="00523A75"/>
    <w:rsid w:val="00523D56"/>
    <w:rsid w:val="00524281"/>
    <w:rsid w:val="00524D5D"/>
    <w:rsid w:val="00524EAC"/>
    <w:rsid w:val="00525DBA"/>
    <w:rsid w:val="00526EDC"/>
    <w:rsid w:val="005273ED"/>
    <w:rsid w:val="005274D6"/>
    <w:rsid w:val="00527500"/>
    <w:rsid w:val="005278FA"/>
    <w:rsid w:val="00527976"/>
    <w:rsid w:val="00527E86"/>
    <w:rsid w:val="00531E7A"/>
    <w:rsid w:val="0053222A"/>
    <w:rsid w:val="00532597"/>
    <w:rsid w:val="00533337"/>
    <w:rsid w:val="00534770"/>
    <w:rsid w:val="00534AA3"/>
    <w:rsid w:val="00534C8E"/>
    <w:rsid w:val="00534FB6"/>
    <w:rsid w:val="0053610F"/>
    <w:rsid w:val="005363F5"/>
    <w:rsid w:val="005365F3"/>
    <w:rsid w:val="0053679D"/>
    <w:rsid w:val="00536A99"/>
    <w:rsid w:val="00536EF9"/>
    <w:rsid w:val="005377AE"/>
    <w:rsid w:val="00537C61"/>
    <w:rsid w:val="00537E2A"/>
    <w:rsid w:val="005402D4"/>
    <w:rsid w:val="00541173"/>
    <w:rsid w:val="00541222"/>
    <w:rsid w:val="00541788"/>
    <w:rsid w:val="00541912"/>
    <w:rsid w:val="005419E8"/>
    <w:rsid w:val="00542061"/>
    <w:rsid w:val="00543387"/>
    <w:rsid w:val="005435A4"/>
    <w:rsid w:val="0054386C"/>
    <w:rsid w:val="00543CE6"/>
    <w:rsid w:val="0054438C"/>
    <w:rsid w:val="00544D6E"/>
    <w:rsid w:val="00544D76"/>
    <w:rsid w:val="005450D6"/>
    <w:rsid w:val="005455CF"/>
    <w:rsid w:val="0054580C"/>
    <w:rsid w:val="00545C27"/>
    <w:rsid w:val="00545D7B"/>
    <w:rsid w:val="005468B7"/>
    <w:rsid w:val="00547580"/>
    <w:rsid w:val="00547B6B"/>
    <w:rsid w:val="0055015E"/>
    <w:rsid w:val="00550851"/>
    <w:rsid w:val="005519B0"/>
    <w:rsid w:val="00551F5D"/>
    <w:rsid w:val="0055292A"/>
    <w:rsid w:val="00552DCF"/>
    <w:rsid w:val="0055331B"/>
    <w:rsid w:val="00553CCD"/>
    <w:rsid w:val="005547AC"/>
    <w:rsid w:val="00555028"/>
    <w:rsid w:val="005558AD"/>
    <w:rsid w:val="00556118"/>
    <w:rsid w:val="00556470"/>
    <w:rsid w:val="00556493"/>
    <w:rsid w:val="00556C11"/>
    <w:rsid w:val="00557109"/>
    <w:rsid w:val="00557568"/>
    <w:rsid w:val="005576DF"/>
    <w:rsid w:val="00557E0F"/>
    <w:rsid w:val="00560218"/>
    <w:rsid w:val="00560B88"/>
    <w:rsid w:val="00561AD1"/>
    <w:rsid w:val="00561CBA"/>
    <w:rsid w:val="00561FB0"/>
    <w:rsid w:val="00562153"/>
    <w:rsid w:val="005627C9"/>
    <w:rsid w:val="00562E69"/>
    <w:rsid w:val="005631BF"/>
    <w:rsid w:val="005646E4"/>
    <w:rsid w:val="00564DC2"/>
    <w:rsid w:val="00565BD4"/>
    <w:rsid w:val="00565C35"/>
    <w:rsid w:val="00565F8F"/>
    <w:rsid w:val="0056681F"/>
    <w:rsid w:val="00566F6C"/>
    <w:rsid w:val="00567D18"/>
    <w:rsid w:val="005701EB"/>
    <w:rsid w:val="0057047A"/>
    <w:rsid w:val="00570869"/>
    <w:rsid w:val="00570F70"/>
    <w:rsid w:val="005711B0"/>
    <w:rsid w:val="00571D7A"/>
    <w:rsid w:val="00571EC3"/>
    <w:rsid w:val="00571F5F"/>
    <w:rsid w:val="0057279A"/>
    <w:rsid w:val="00572D24"/>
    <w:rsid w:val="0057378A"/>
    <w:rsid w:val="005738E3"/>
    <w:rsid w:val="00573D76"/>
    <w:rsid w:val="0057425D"/>
    <w:rsid w:val="0057461E"/>
    <w:rsid w:val="0057493D"/>
    <w:rsid w:val="00574DBB"/>
    <w:rsid w:val="00574F40"/>
    <w:rsid w:val="0057507C"/>
    <w:rsid w:val="005755F2"/>
    <w:rsid w:val="00575825"/>
    <w:rsid w:val="005768B6"/>
    <w:rsid w:val="00576BFC"/>
    <w:rsid w:val="00577215"/>
    <w:rsid w:val="00577294"/>
    <w:rsid w:val="0057761E"/>
    <w:rsid w:val="005779D6"/>
    <w:rsid w:val="005800C6"/>
    <w:rsid w:val="00580CE7"/>
    <w:rsid w:val="00581175"/>
    <w:rsid w:val="00581868"/>
    <w:rsid w:val="00581C26"/>
    <w:rsid w:val="005821B9"/>
    <w:rsid w:val="0058241F"/>
    <w:rsid w:val="0058248C"/>
    <w:rsid w:val="0058265C"/>
    <w:rsid w:val="00582941"/>
    <w:rsid w:val="005835C3"/>
    <w:rsid w:val="00583637"/>
    <w:rsid w:val="00583967"/>
    <w:rsid w:val="00583D03"/>
    <w:rsid w:val="00583DD5"/>
    <w:rsid w:val="005841FF"/>
    <w:rsid w:val="00584460"/>
    <w:rsid w:val="005852E8"/>
    <w:rsid w:val="00585909"/>
    <w:rsid w:val="00585E53"/>
    <w:rsid w:val="00586673"/>
    <w:rsid w:val="005867FD"/>
    <w:rsid w:val="00587B72"/>
    <w:rsid w:val="00587D05"/>
    <w:rsid w:val="00587D68"/>
    <w:rsid w:val="00590104"/>
    <w:rsid w:val="0059029C"/>
    <w:rsid w:val="00590427"/>
    <w:rsid w:val="00590E92"/>
    <w:rsid w:val="00591555"/>
    <w:rsid w:val="005916F9"/>
    <w:rsid w:val="00591744"/>
    <w:rsid w:val="005929D4"/>
    <w:rsid w:val="00592DA3"/>
    <w:rsid w:val="00593676"/>
    <w:rsid w:val="00593980"/>
    <w:rsid w:val="00593F33"/>
    <w:rsid w:val="00594339"/>
    <w:rsid w:val="00594885"/>
    <w:rsid w:val="0059596C"/>
    <w:rsid w:val="0059630C"/>
    <w:rsid w:val="00597333"/>
    <w:rsid w:val="005973C4"/>
    <w:rsid w:val="00597722"/>
    <w:rsid w:val="00597793"/>
    <w:rsid w:val="00597BEC"/>
    <w:rsid w:val="005A06F1"/>
    <w:rsid w:val="005A094B"/>
    <w:rsid w:val="005A12C0"/>
    <w:rsid w:val="005A1A05"/>
    <w:rsid w:val="005A1E42"/>
    <w:rsid w:val="005A3648"/>
    <w:rsid w:val="005A381C"/>
    <w:rsid w:val="005A3996"/>
    <w:rsid w:val="005A39FD"/>
    <w:rsid w:val="005A4097"/>
    <w:rsid w:val="005A40A4"/>
    <w:rsid w:val="005A41B2"/>
    <w:rsid w:val="005A4B00"/>
    <w:rsid w:val="005A573C"/>
    <w:rsid w:val="005A5B25"/>
    <w:rsid w:val="005A5CC8"/>
    <w:rsid w:val="005A6E8B"/>
    <w:rsid w:val="005A6FAB"/>
    <w:rsid w:val="005A7B8C"/>
    <w:rsid w:val="005A7EA6"/>
    <w:rsid w:val="005B0528"/>
    <w:rsid w:val="005B1567"/>
    <w:rsid w:val="005B1916"/>
    <w:rsid w:val="005B1BCE"/>
    <w:rsid w:val="005B1F06"/>
    <w:rsid w:val="005B2391"/>
    <w:rsid w:val="005B2FE0"/>
    <w:rsid w:val="005B355D"/>
    <w:rsid w:val="005B3575"/>
    <w:rsid w:val="005B44C2"/>
    <w:rsid w:val="005B4EC5"/>
    <w:rsid w:val="005B519A"/>
    <w:rsid w:val="005B54BF"/>
    <w:rsid w:val="005B56BC"/>
    <w:rsid w:val="005B58AE"/>
    <w:rsid w:val="005B5A7F"/>
    <w:rsid w:val="005B5AC2"/>
    <w:rsid w:val="005B60B0"/>
    <w:rsid w:val="005B6209"/>
    <w:rsid w:val="005B6A82"/>
    <w:rsid w:val="005B768A"/>
    <w:rsid w:val="005B789A"/>
    <w:rsid w:val="005B7978"/>
    <w:rsid w:val="005B799A"/>
    <w:rsid w:val="005C09A9"/>
    <w:rsid w:val="005C0AB6"/>
    <w:rsid w:val="005C0B54"/>
    <w:rsid w:val="005C11B9"/>
    <w:rsid w:val="005C13CA"/>
    <w:rsid w:val="005C142A"/>
    <w:rsid w:val="005C19B7"/>
    <w:rsid w:val="005C2C43"/>
    <w:rsid w:val="005C2F11"/>
    <w:rsid w:val="005C3889"/>
    <w:rsid w:val="005C3F2D"/>
    <w:rsid w:val="005C41C1"/>
    <w:rsid w:val="005C41D8"/>
    <w:rsid w:val="005C423A"/>
    <w:rsid w:val="005C59FF"/>
    <w:rsid w:val="005C5BE0"/>
    <w:rsid w:val="005C6042"/>
    <w:rsid w:val="005C716E"/>
    <w:rsid w:val="005C744B"/>
    <w:rsid w:val="005C76E7"/>
    <w:rsid w:val="005D018A"/>
    <w:rsid w:val="005D0CA2"/>
    <w:rsid w:val="005D11D6"/>
    <w:rsid w:val="005D12A0"/>
    <w:rsid w:val="005D1649"/>
    <w:rsid w:val="005D1A6B"/>
    <w:rsid w:val="005D22AA"/>
    <w:rsid w:val="005D24F0"/>
    <w:rsid w:val="005D2AE6"/>
    <w:rsid w:val="005D2B1F"/>
    <w:rsid w:val="005D33CE"/>
    <w:rsid w:val="005D38D1"/>
    <w:rsid w:val="005D3A15"/>
    <w:rsid w:val="005D3BC0"/>
    <w:rsid w:val="005D3CA7"/>
    <w:rsid w:val="005D3E04"/>
    <w:rsid w:val="005D46AE"/>
    <w:rsid w:val="005D65F9"/>
    <w:rsid w:val="005D6C7E"/>
    <w:rsid w:val="005D7A5C"/>
    <w:rsid w:val="005E024D"/>
    <w:rsid w:val="005E0309"/>
    <w:rsid w:val="005E1201"/>
    <w:rsid w:val="005E1547"/>
    <w:rsid w:val="005E16E0"/>
    <w:rsid w:val="005E1D19"/>
    <w:rsid w:val="005E23E1"/>
    <w:rsid w:val="005E27EC"/>
    <w:rsid w:val="005E2877"/>
    <w:rsid w:val="005E28DE"/>
    <w:rsid w:val="005E3204"/>
    <w:rsid w:val="005E3387"/>
    <w:rsid w:val="005E34A1"/>
    <w:rsid w:val="005E3578"/>
    <w:rsid w:val="005E36C9"/>
    <w:rsid w:val="005E3AFA"/>
    <w:rsid w:val="005E44C5"/>
    <w:rsid w:val="005E4E7D"/>
    <w:rsid w:val="005E4EA6"/>
    <w:rsid w:val="005E4FAE"/>
    <w:rsid w:val="005E5E48"/>
    <w:rsid w:val="005E6341"/>
    <w:rsid w:val="005E6617"/>
    <w:rsid w:val="005E675B"/>
    <w:rsid w:val="005E6938"/>
    <w:rsid w:val="005F14C4"/>
    <w:rsid w:val="005F1650"/>
    <w:rsid w:val="005F1B8C"/>
    <w:rsid w:val="005F1D6D"/>
    <w:rsid w:val="005F287C"/>
    <w:rsid w:val="005F298B"/>
    <w:rsid w:val="005F2CC0"/>
    <w:rsid w:val="005F2FEB"/>
    <w:rsid w:val="005F3BB4"/>
    <w:rsid w:val="005F519B"/>
    <w:rsid w:val="005F53BE"/>
    <w:rsid w:val="005F5612"/>
    <w:rsid w:val="005F5D92"/>
    <w:rsid w:val="005F6144"/>
    <w:rsid w:val="005F6483"/>
    <w:rsid w:val="005F651E"/>
    <w:rsid w:val="005F6DC9"/>
    <w:rsid w:val="005F6E75"/>
    <w:rsid w:val="005F79FC"/>
    <w:rsid w:val="005F7DFA"/>
    <w:rsid w:val="005F7E18"/>
    <w:rsid w:val="005F7ED8"/>
    <w:rsid w:val="006003C8"/>
    <w:rsid w:val="00600D83"/>
    <w:rsid w:val="00600E22"/>
    <w:rsid w:val="0060136B"/>
    <w:rsid w:val="006013EF"/>
    <w:rsid w:val="0060191B"/>
    <w:rsid w:val="00601BD8"/>
    <w:rsid w:val="00602413"/>
    <w:rsid w:val="006024A7"/>
    <w:rsid w:val="00602E23"/>
    <w:rsid w:val="00602E5A"/>
    <w:rsid w:val="00602F60"/>
    <w:rsid w:val="00603075"/>
    <w:rsid w:val="00603247"/>
    <w:rsid w:val="00603267"/>
    <w:rsid w:val="006039D6"/>
    <w:rsid w:val="00604A6B"/>
    <w:rsid w:val="00604B27"/>
    <w:rsid w:val="00604B90"/>
    <w:rsid w:val="0060509B"/>
    <w:rsid w:val="006052F4"/>
    <w:rsid w:val="0060578B"/>
    <w:rsid w:val="00605907"/>
    <w:rsid w:val="00605A39"/>
    <w:rsid w:val="006065F8"/>
    <w:rsid w:val="006074CE"/>
    <w:rsid w:val="006076BE"/>
    <w:rsid w:val="0060785B"/>
    <w:rsid w:val="00607C35"/>
    <w:rsid w:val="00607C70"/>
    <w:rsid w:val="00607D74"/>
    <w:rsid w:val="006112AB"/>
    <w:rsid w:val="0061179D"/>
    <w:rsid w:val="00611D58"/>
    <w:rsid w:val="00611DF6"/>
    <w:rsid w:val="00612027"/>
    <w:rsid w:val="0061203D"/>
    <w:rsid w:val="00612507"/>
    <w:rsid w:val="00612C70"/>
    <w:rsid w:val="00613398"/>
    <w:rsid w:val="00613983"/>
    <w:rsid w:val="00613D1B"/>
    <w:rsid w:val="00614A2B"/>
    <w:rsid w:val="00614BB1"/>
    <w:rsid w:val="00614DC2"/>
    <w:rsid w:val="0061513A"/>
    <w:rsid w:val="00615686"/>
    <w:rsid w:val="00615F0E"/>
    <w:rsid w:val="0061647D"/>
    <w:rsid w:val="00616D08"/>
    <w:rsid w:val="00616F62"/>
    <w:rsid w:val="006175BE"/>
    <w:rsid w:val="006176BB"/>
    <w:rsid w:val="00617CFD"/>
    <w:rsid w:val="0062052B"/>
    <w:rsid w:val="00620BB5"/>
    <w:rsid w:val="00620F7E"/>
    <w:rsid w:val="006217F4"/>
    <w:rsid w:val="0062387C"/>
    <w:rsid w:val="006238F5"/>
    <w:rsid w:val="00623F55"/>
    <w:rsid w:val="0062449F"/>
    <w:rsid w:val="00624BF6"/>
    <w:rsid w:val="00624D2A"/>
    <w:rsid w:val="00625919"/>
    <w:rsid w:val="00626375"/>
    <w:rsid w:val="0062639D"/>
    <w:rsid w:val="006268D6"/>
    <w:rsid w:val="00626D3E"/>
    <w:rsid w:val="00626F69"/>
    <w:rsid w:val="00627211"/>
    <w:rsid w:val="00627A69"/>
    <w:rsid w:val="006302DE"/>
    <w:rsid w:val="00630B69"/>
    <w:rsid w:val="00631074"/>
    <w:rsid w:val="00631345"/>
    <w:rsid w:val="00631FED"/>
    <w:rsid w:val="00632A5F"/>
    <w:rsid w:val="00632E0B"/>
    <w:rsid w:val="006330AE"/>
    <w:rsid w:val="00633AF2"/>
    <w:rsid w:val="006340A1"/>
    <w:rsid w:val="006343AC"/>
    <w:rsid w:val="00634699"/>
    <w:rsid w:val="00634B28"/>
    <w:rsid w:val="00634E7E"/>
    <w:rsid w:val="00635772"/>
    <w:rsid w:val="00635CE2"/>
    <w:rsid w:val="00635F95"/>
    <w:rsid w:val="00636246"/>
    <w:rsid w:val="006366EC"/>
    <w:rsid w:val="0063731B"/>
    <w:rsid w:val="006377F1"/>
    <w:rsid w:val="00637819"/>
    <w:rsid w:val="006405AB"/>
    <w:rsid w:val="006407DD"/>
    <w:rsid w:val="00640C3C"/>
    <w:rsid w:val="00640FAB"/>
    <w:rsid w:val="0064315B"/>
    <w:rsid w:val="006432B4"/>
    <w:rsid w:val="00643B9B"/>
    <w:rsid w:val="00643E41"/>
    <w:rsid w:val="006449DF"/>
    <w:rsid w:val="00644A5F"/>
    <w:rsid w:val="006452DB"/>
    <w:rsid w:val="0064540D"/>
    <w:rsid w:val="00645862"/>
    <w:rsid w:val="00646283"/>
    <w:rsid w:val="006470DF"/>
    <w:rsid w:val="0065011A"/>
    <w:rsid w:val="00650359"/>
    <w:rsid w:val="006504BF"/>
    <w:rsid w:val="0065135E"/>
    <w:rsid w:val="00651747"/>
    <w:rsid w:val="00651B35"/>
    <w:rsid w:val="00651C08"/>
    <w:rsid w:val="00651C1F"/>
    <w:rsid w:val="00651E45"/>
    <w:rsid w:val="00651EF8"/>
    <w:rsid w:val="00651F4F"/>
    <w:rsid w:val="0065251A"/>
    <w:rsid w:val="00652AD4"/>
    <w:rsid w:val="00652FDD"/>
    <w:rsid w:val="00653A53"/>
    <w:rsid w:val="00653BE6"/>
    <w:rsid w:val="00653E85"/>
    <w:rsid w:val="00653EB2"/>
    <w:rsid w:val="00654413"/>
    <w:rsid w:val="00654A65"/>
    <w:rsid w:val="00654E19"/>
    <w:rsid w:val="00654E58"/>
    <w:rsid w:val="00655E5F"/>
    <w:rsid w:val="006564A6"/>
    <w:rsid w:val="00656831"/>
    <w:rsid w:val="00656FD2"/>
    <w:rsid w:val="00657119"/>
    <w:rsid w:val="006575FF"/>
    <w:rsid w:val="0065789A"/>
    <w:rsid w:val="00657909"/>
    <w:rsid w:val="00657EFC"/>
    <w:rsid w:val="006600BF"/>
    <w:rsid w:val="00660297"/>
    <w:rsid w:val="00660314"/>
    <w:rsid w:val="0066049E"/>
    <w:rsid w:val="00660A4D"/>
    <w:rsid w:val="0066133C"/>
    <w:rsid w:val="0066137B"/>
    <w:rsid w:val="00661DA4"/>
    <w:rsid w:val="00661E1E"/>
    <w:rsid w:val="006632C2"/>
    <w:rsid w:val="006633FE"/>
    <w:rsid w:val="006644A3"/>
    <w:rsid w:val="006648D3"/>
    <w:rsid w:val="00664FDC"/>
    <w:rsid w:val="006658BE"/>
    <w:rsid w:val="006662A7"/>
    <w:rsid w:val="00666543"/>
    <w:rsid w:val="0066671E"/>
    <w:rsid w:val="006674C5"/>
    <w:rsid w:val="006676B6"/>
    <w:rsid w:val="0067009E"/>
    <w:rsid w:val="00670454"/>
    <w:rsid w:val="00670495"/>
    <w:rsid w:val="00670880"/>
    <w:rsid w:val="00670887"/>
    <w:rsid w:val="00670C00"/>
    <w:rsid w:val="006716BA"/>
    <w:rsid w:val="00672783"/>
    <w:rsid w:val="00672E28"/>
    <w:rsid w:val="00673BAC"/>
    <w:rsid w:val="00674CBF"/>
    <w:rsid w:val="00674FCE"/>
    <w:rsid w:val="00675DDA"/>
    <w:rsid w:val="006767A0"/>
    <w:rsid w:val="00676F63"/>
    <w:rsid w:val="006771D1"/>
    <w:rsid w:val="006772CE"/>
    <w:rsid w:val="00677B89"/>
    <w:rsid w:val="00677E10"/>
    <w:rsid w:val="00680B96"/>
    <w:rsid w:val="00680D45"/>
    <w:rsid w:val="00680E5D"/>
    <w:rsid w:val="006810F8"/>
    <w:rsid w:val="006811A4"/>
    <w:rsid w:val="0068154E"/>
    <w:rsid w:val="006816BE"/>
    <w:rsid w:val="00681855"/>
    <w:rsid w:val="00681AC1"/>
    <w:rsid w:val="00681E88"/>
    <w:rsid w:val="0068232F"/>
    <w:rsid w:val="00682BA9"/>
    <w:rsid w:val="006836FF"/>
    <w:rsid w:val="00683801"/>
    <w:rsid w:val="00683819"/>
    <w:rsid w:val="00683D7C"/>
    <w:rsid w:val="00683FD0"/>
    <w:rsid w:val="006843D1"/>
    <w:rsid w:val="00684662"/>
    <w:rsid w:val="00684EA7"/>
    <w:rsid w:val="006857B4"/>
    <w:rsid w:val="00685C5A"/>
    <w:rsid w:val="00685ED5"/>
    <w:rsid w:val="00685F3D"/>
    <w:rsid w:val="00686020"/>
    <w:rsid w:val="0068641D"/>
    <w:rsid w:val="00686531"/>
    <w:rsid w:val="00686704"/>
    <w:rsid w:val="006868E4"/>
    <w:rsid w:val="0068725A"/>
    <w:rsid w:val="00687B4F"/>
    <w:rsid w:val="00687FC6"/>
    <w:rsid w:val="006901B5"/>
    <w:rsid w:val="006911D3"/>
    <w:rsid w:val="00691562"/>
    <w:rsid w:val="006917D7"/>
    <w:rsid w:val="00692A97"/>
    <w:rsid w:val="00692DC4"/>
    <w:rsid w:val="006941F7"/>
    <w:rsid w:val="0069548C"/>
    <w:rsid w:val="00695A49"/>
    <w:rsid w:val="00696117"/>
    <w:rsid w:val="00696215"/>
    <w:rsid w:val="00696261"/>
    <w:rsid w:val="006A13D2"/>
    <w:rsid w:val="006A185C"/>
    <w:rsid w:val="006A23ED"/>
    <w:rsid w:val="006A2714"/>
    <w:rsid w:val="006A2939"/>
    <w:rsid w:val="006A4C6B"/>
    <w:rsid w:val="006A4E50"/>
    <w:rsid w:val="006A5030"/>
    <w:rsid w:val="006A57E6"/>
    <w:rsid w:val="006A5BBB"/>
    <w:rsid w:val="006A5CC5"/>
    <w:rsid w:val="006A5D05"/>
    <w:rsid w:val="006A6905"/>
    <w:rsid w:val="006A6A91"/>
    <w:rsid w:val="006A6F7C"/>
    <w:rsid w:val="006A70BF"/>
    <w:rsid w:val="006A7574"/>
    <w:rsid w:val="006A77F4"/>
    <w:rsid w:val="006A7A99"/>
    <w:rsid w:val="006A7D37"/>
    <w:rsid w:val="006A7D39"/>
    <w:rsid w:val="006B0299"/>
    <w:rsid w:val="006B09A1"/>
    <w:rsid w:val="006B09D4"/>
    <w:rsid w:val="006B0A8B"/>
    <w:rsid w:val="006B1876"/>
    <w:rsid w:val="006B1ADD"/>
    <w:rsid w:val="006B2CEB"/>
    <w:rsid w:val="006B318E"/>
    <w:rsid w:val="006B36DB"/>
    <w:rsid w:val="006B3AD2"/>
    <w:rsid w:val="006B3B1B"/>
    <w:rsid w:val="006B3C9C"/>
    <w:rsid w:val="006B3CDB"/>
    <w:rsid w:val="006B3DD6"/>
    <w:rsid w:val="006B418E"/>
    <w:rsid w:val="006B524B"/>
    <w:rsid w:val="006B5455"/>
    <w:rsid w:val="006B5679"/>
    <w:rsid w:val="006B56D9"/>
    <w:rsid w:val="006B570F"/>
    <w:rsid w:val="006B6885"/>
    <w:rsid w:val="006B7188"/>
    <w:rsid w:val="006B7643"/>
    <w:rsid w:val="006C0255"/>
    <w:rsid w:val="006C0282"/>
    <w:rsid w:val="006C0340"/>
    <w:rsid w:val="006C0851"/>
    <w:rsid w:val="006C0A2F"/>
    <w:rsid w:val="006C1095"/>
    <w:rsid w:val="006C10D9"/>
    <w:rsid w:val="006C1161"/>
    <w:rsid w:val="006C1887"/>
    <w:rsid w:val="006C1C91"/>
    <w:rsid w:val="006C1D59"/>
    <w:rsid w:val="006C1DAF"/>
    <w:rsid w:val="006C1FD7"/>
    <w:rsid w:val="006C241F"/>
    <w:rsid w:val="006C27C7"/>
    <w:rsid w:val="006C284E"/>
    <w:rsid w:val="006C2A60"/>
    <w:rsid w:val="006C2A9B"/>
    <w:rsid w:val="006C316B"/>
    <w:rsid w:val="006C37EC"/>
    <w:rsid w:val="006C5324"/>
    <w:rsid w:val="006C5904"/>
    <w:rsid w:val="006C6312"/>
    <w:rsid w:val="006C6342"/>
    <w:rsid w:val="006C74F3"/>
    <w:rsid w:val="006C77BC"/>
    <w:rsid w:val="006D0273"/>
    <w:rsid w:val="006D03E0"/>
    <w:rsid w:val="006D04AA"/>
    <w:rsid w:val="006D0C48"/>
    <w:rsid w:val="006D1371"/>
    <w:rsid w:val="006D144B"/>
    <w:rsid w:val="006D26C1"/>
    <w:rsid w:val="006D2926"/>
    <w:rsid w:val="006D2A80"/>
    <w:rsid w:val="006D3738"/>
    <w:rsid w:val="006D3895"/>
    <w:rsid w:val="006D4CBE"/>
    <w:rsid w:val="006D6FF3"/>
    <w:rsid w:val="006D7464"/>
    <w:rsid w:val="006D7D14"/>
    <w:rsid w:val="006D7E98"/>
    <w:rsid w:val="006E0087"/>
    <w:rsid w:val="006E02BE"/>
    <w:rsid w:val="006E0BFE"/>
    <w:rsid w:val="006E0E30"/>
    <w:rsid w:val="006E0EFB"/>
    <w:rsid w:val="006E1214"/>
    <w:rsid w:val="006E1402"/>
    <w:rsid w:val="006E1A48"/>
    <w:rsid w:val="006E1B92"/>
    <w:rsid w:val="006E1C8E"/>
    <w:rsid w:val="006E1F45"/>
    <w:rsid w:val="006E2459"/>
    <w:rsid w:val="006E281D"/>
    <w:rsid w:val="006E2986"/>
    <w:rsid w:val="006E2A77"/>
    <w:rsid w:val="006E2A83"/>
    <w:rsid w:val="006E2A89"/>
    <w:rsid w:val="006E3009"/>
    <w:rsid w:val="006E315B"/>
    <w:rsid w:val="006E3430"/>
    <w:rsid w:val="006E48DE"/>
    <w:rsid w:val="006E49D9"/>
    <w:rsid w:val="006E4AAC"/>
    <w:rsid w:val="006E4C6F"/>
    <w:rsid w:val="006E4D84"/>
    <w:rsid w:val="006E4E02"/>
    <w:rsid w:val="006E5086"/>
    <w:rsid w:val="006E5921"/>
    <w:rsid w:val="006E5E95"/>
    <w:rsid w:val="006E5EE6"/>
    <w:rsid w:val="006E69FF"/>
    <w:rsid w:val="006E7453"/>
    <w:rsid w:val="006E771B"/>
    <w:rsid w:val="006E7949"/>
    <w:rsid w:val="006E7E30"/>
    <w:rsid w:val="006E7E38"/>
    <w:rsid w:val="006F0198"/>
    <w:rsid w:val="006F0212"/>
    <w:rsid w:val="006F0238"/>
    <w:rsid w:val="006F0EF4"/>
    <w:rsid w:val="006F0F26"/>
    <w:rsid w:val="006F12D8"/>
    <w:rsid w:val="006F1370"/>
    <w:rsid w:val="006F1467"/>
    <w:rsid w:val="006F1972"/>
    <w:rsid w:val="006F1CE3"/>
    <w:rsid w:val="006F1DCF"/>
    <w:rsid w:val="006F1EB3"/>
    <w:rsid w:val="006F2B91"/>
    <w:rsid w:val="006F31A6"/>
    <w:rsid w:val="006F3948"/>
    <w:rsid w:val="006F523E"/>
    <w:rsid w:val="006F5AFE"/>
    <w:rsid w:val="006F604B"/>
    <w:rsid w:val="006F62D4"/>
    <w:rsid w:val="006F69F9"/>
    <w:rsid w:val="006F6E51"/>
    <w:rsid w:val="0070012E"/>
    <w:rsid w:val="0070044B"/>
    <w:rsid w:val="00700455"/>
    <w:rsid w:val="00700605"/>
    <w:rsid w:val="007009A0"/>
    <w:rsid w:val="00701ED9"/>
    <w:rsid w:val="0070232F"/>
    <w:rsid w:val="00702401"/>
    <w:rsid w:val="007030F2"/>
    <w:rsid w:val="00703C8A"/>
    <w:rsid w:val="00703EE8"/>
    <w:rsid w:val="00704505"/>
    <w:rsid w:val="00705953"/>
    <w:rsid w:val="00705C6D"/>
    <w:rsid w:val="007061F9"/>
    <w:rsid w:val="0070667A"/>
    <w:rsid w:val="00706BAD"/>
    <w:rsid w:val="00707610"/>
    <w:rsid w:val="00710FBE"/>
    <w:rsid w:val="0071130E"/>
    <w:rsid w:val="007113AE"/>
    <w:rsid w:val="00711454"/>
    <w:rsid w:val="00711AC3"/>
    <w:rsid w:val="00711E25"/>
    <w:rsid w:val="00711FCE"/>
    <w:rsid w:val="007120E2"/>
    <w:rsid w:val="007122E2"/>
    <w:rsid w:val="0071264B"/>
    <w:rsid w:val="0071270A"/>
    <w:rsid w:val="0071293D"/>
    <w:rsid w:val="007131B8"/>
    <w:rsid w:val="0071391F"/>
    <w:rsid w:val="00714339"/>
    <w:rsid w:val="0071464A"/>
    <w:rsid w:val="0071493D"/>
    <w:rsid w:val="00714F4A"/>
    <w:rsid w:val="007158F6"/>
    <w:rsid w:val="00715A1E"/>
    <w:rsid w:val="007161F2"/>
    <w:rsid w:val="0071640D"/>
    <w:rsid w:val="0071694C"/>
    <w:rsid w:val="00717C84"/>
    <w:rsid w:val="00717DD2"/>
    <w:rsid w:val="0072007E"/>
    <w:rsid w:val="00720BC3"/>
    <w:rsid w:val="00720C83"/>
    <w:rsid w:val="00720D6D"/>
    <w:rsid w:val="0072119B"/>
    <w:rsid w:val="00721CB2"/>
    <w:rsid w:val="00721CC2"/>
    <w:rsid w:val="0072246A"/>
    <w:rsid w:val="007226DF"/>
    <w:rsid w:val="007228D2"/>
    <w:rsid w:val="0072293F"/>
    <w:rsid w:val="00722C23"/>
    <w:rsid w:val="00722D2B"/>
    <w:rsid w:val="007233C0"/>
    <w:rsid w:val="0072432D"/>
    <w:rsid w:val="0072449F"/>
    <w:rsid w:val="00724536"/>
    <w:rsid w:val="00724FBC"/>
    <w:rsid w:val="00725457"/>
    <w:rsid w:val="007256FB"/>
    <w:rsid w:val="00725AA6"/>
    <w:rsid w:val="00725CB0"/>
    <w:rsid w:val="00725E81"/>
    <w:rsid w:val="00725EB2"/>
    <w:rsid w:val="007269B4"/>
    <w:rsid w:val="007269DD"/>
    <w:rsid w:val="00726E81"/>
    <w:rsid w:val="00727923"/>
    <w:rsid w:val="00727D68"/>
    <w:rsid w:val="00727F8C"/>
    <w:rsid w:val="00730827"/>
    <w:rsid w:val="00731029"/>
    <w:rsid w:val="007312E6"/>
    <w:rsid w:val="00731496"/>
    <w:rsid w:val="007319CC"/>
    <w:rsid w:val="007330D8"/>
    <w:rsid w:val="00734082"/>
    <w:rsid w:val="00734679"/>
    <w:rsid w:val="00734803"/>
    <w:rsid w:val="007350BE"/>
    <w:rsid w:val="007351DB"/>
    <w:rsid w:val="007353D7"/>
    <w:rsid w:val="0073622B"/>
    <w:rsid w:val="0073691A"/>
    <w:rsid w:val="00736FDD"/>
    <w:rsid w:val="007378C7"/>
    <w:rsid w:val="00737DD4"/>
    <w:rsid w:val="007420D7"/>
    <w:rsid w:val="0074271F"/>
    <w:rsid w:val="00742EB4"/>
    <w:rsid w:val="0074304D"/>
    <w:rsid w:val="00743824"/>
    <w:rsid w:val="00744092"/>
    <w:rsid w:val="0074409A"/>
    <w:rsid w:val="00744678"/>
    <w:rsid w:val="007462E2"/>
    <w:rsid w:val="007469C0"/>
    <w:rsid w:val="00747EC7"/>
    <w:rsid w:val="0075004C"/>
    <w:rsid w:val="0075007F"/>
    <w:rsid w:val="0075041C"/>
    <w:rsid w:val="00750652"/>
    <w:rsid w:val="00750879"/>
    <w:rsid w:val="00750F4F"/>
    <w:rsid w:val="00750FC7"/>
    <w:rsid w:val="0075159A"/>
    <w:rsid w:val="00751829"/>
    <w:rsid w:val="007519A4"/>
    <w:rsid w:val="00751AB7"/>
    <w:rsid w:val="00751BD0"/>
    <w:rsid w:val="007520F6"/>
    <w:rsid w:val="00752913"/>
    <w:rsid w:val="00752CC4"/>
    <w:rsid w:val="00752FC9"/>
    <w:rsid w:val="00753055"/>
    <w:rsid w:val="00753518"/>
    <w:rsid w:val="0075391B"/>
    <w:rsid w:val="007539A4"/>
    <w:rsid w:val="00753E03"/>
    <w:rsid w:val="007542F3"/>
    <w:rsid w:val="00755691"/>
    <w:rsid w:val="00755C1B"/>
    <w:rsid w:val="00756CF2"/>
    <w:rsid w:val="00756D62"/>
    <w:rsid w:val="007603BE"/>
    <w:rsid w:val="0076065F"/>
    <w:rsid w:val="007614F7"/>
    <w:rsid w:val="00761574"/>
    <w:rsid w:val="00761E14"/>
    <w:rsid w:val="00762385"/>
    <w:rsid w:val="007625DD"/>
    <w:rsid w:val="00762794"/>
    <w:rsid w:val="00762C48"/>
    <w:rsid w:val="00763126"/>
    <w:rsid w:val="007635E3"/>
    <w:rsid w:val="0076411D"/>
    <w:rsid w:val="007647F3"/>
    <w:rsid w:val="0076491E"/>
    <w:rsid w:val="0076561F"/>
    <w:rsid w:val="00765875"/>
    <w:rsid w:val="00766191"/>
    <w:rsid w:val="007663FA"/>
    <w:rsid w:val="007665C7"/>
    <w:rsid w:val="00766D49"/>
    <w:rsid w:val="00770010"/>
    <w:rsid w:val="0077030A"/>
    <w:rsid w:val="00770988"/>
    <w:rsid w:val="00770A81"/>
    <w:rsid w:val="007723B7"/>
    <w:rsid w:val="0077269A"/>
    <w:rsid w:val="0077277A"/>
    <w:rsid w:val="00772B27"/>
    <w:rsid w:val="0077345E"/>
    <w:rsid w:val="007735AE"/>
    <w:rsid w:val="00773953"/>
    <w:rsid w:val="00774029"/>
    <w:rsid w:val="007741A7"/>
    <w:rsid w:val="00774A0F"/>
    <w:rsid w:val="00774B06"/>
    <w:rsid w:val="00775690"/>
    <w:rsid w:val="0077603A"/>
    <w:rsid w:val="007764C9"/>
    <w:rsid w:val="00776631"/>
    <w:rsid w:val="00776724"/>
    <w:rsid w:val="00776F05"/>
    <w:rsid w:val="007802D0"/>
    <w:rsid w:val="00780E0A"/>
    <w:rsid w:val="00781298"/>
    <w:rsid w:val="007815B2"/>
    <w:rsid w:val="00781909"/>
    <w:rsid w:val="007822AD"/>
    <w:rsid w:val="00782798"/>
    <w:rsid w:val="00782AF9"/>
    <w:rsid w:val="00782B90"/>
    <w:rsid w:val="00783B82"/>
    <w:rsid w:val="00783BDB"/>
    <w:rsid w:val="00784251"/>
    <w:rsid w:val="0078442A"/>
    <w:rsid w:val="00784646"/>
    <w:rsid w:val="00784774"/>
    <w:rsid w:val="0078535C"/>
    <w:rsid w:val="007853A4"/>
    <w:rsid w:val="00785919"/>
    <w:rsid w:val="00785A8D"/>
    <w:rsid w:val="00787070"/>
    <w:rsid w:val="0078707F"/>
    <w:rsid w:val="0078712D"/>
    <w:rsid w:val="007875A3"/>
    <w:rsid w:val="007879FD"/>
    <w:rsid w:val="00790269"/>
    <w:rsid w:val="00790528"/>
    <w:rsid w:val="00791457"/>
    <w:rsid w:val="007926A4"/>
    <w:rsid w:val="00792BE9"/>
    <w:rsid w:val="00792DF8"/>
    <w:rsid w:val="00793A39"/>
    <w:rsid w:val="00793C88"/>
    <w:rsid w:val="007949DA"/>
    <w:rsid w:val="00794DA5"/>
    <w:rsid w:val="00795DA0"/>
    <w:rsid w:val="00795E2D"/>
    <w:rsid w:val="00795E37"/>
    <w:rsid w:val="007962DB"/>
    <w:rsid w:val="007962DD"/>
    <w:rsid w:val="00796DB1"/>
    <w:rsid w:val="00796DDF"/>
    <w:rsid w:val="00797230"/>
    <w:rsid w:val="00797512"/>
    <w:rsid w:val="00797740"/>
    <w:rsid w:val="00797C6F"/>
    <w:rsid w:val="00797D93"/>
    <w:rsid w:val="007A001E"/>
    <w:rsid w:val="007A09A7"/>
    <w:rsid w:val="007A0A51"/>
    <w:rsid w:val="007A0E84"/>
    <w:rsid w:val="007A1B6D"/>
    <w:rsid w:val="007A1C85"/>
    <w:rsid w:val="007A2275"/>
    <w:rsid w:val="007A246F"/>
    <w:rsid w:val="007A26EC"/>
    <w:rsid w:val="007A33FD"/>
    <w:rsid w:val="007A3427"/>
    <w:rsid w:val="007A39DD"/>
    <w:rsid w:val="007A41F1"/>
    <w:rsid w:val="007A5144"/>
    <w:rsid w:val="007A536E"/>
    <w:rsid w:val="007A583D"/>
    <w:rsid w:val="007A596C"/>
    <w:rsid w:val="007A5D78"/>
    <w:rsid w:val="007A61C9"/>
    <w:rsid w:val="007A6734"/>
    <w:rsid w:val="007A6EF3"/>
    <w:rsid w:val="007A7210"/>
    <w:rsid w:val="007A79FC"/>
    <w:rsid w:val="007B12BA"/>
    <w:rsid w:val="007B20EB"/>
    <w:rsid w:val="007B2133"/>
    <w:rsid w:val="007B2722"/>
    <w:rsid w:val="007B28AD"/>
    <w:rsid w:val="007B2BB9"/>
    <w:rsid w:val="007B3481"/>
    <w:rsid w:val="007B36B3"/>
    <w:rsid w:val="007B38A6"/>
    <w:rsid w:val="007B46B8"/>
    <w:rsid w:val="007B47F6"/>
    <w:rsid w:val="007B5073"/>
    <w:rsid w:val="007B5285"/>
    <w:rsid w:val="007B53A1"/>
    <w:rsid w:val="007B56EC"/>
    <w:rsid w:val="007B5794"/>
    <w:rsid w:val="007B57EB"/>
    <w:rsid w:val="007B583D"/>
    <w:rsid w:val="007B5CDB"/>
    <w:rsid w:val="007B5F4C"/>
    <w:rsid w:val="007B60B6"/>
    <w:rsid w:val="007B682B"/>
    <w:rsid w:val="007B6D26"/>
    <w:rsid w:val="007B74AD"/>
    <w:rsid w:val="007B7DDF"/>
    <w:rsid w:val="007C008B"/>
    <w:rsid w:val="007C01F0"/>
    <w:rsid w:val="007C15FA"/>
    <w:rsid w:val="007C1A1E"/>
    <w:rsid w:val="007C1EF8"/>
    <w:rsid w:val="007C21DF"/>
    <w:rsid w:val="007C498C"/>
    <w:rsid w:val="007C560A"/>
    <w:rsid w:val="007C68CD"/>
    <w:rsid w:val="007C7334"/>
    <w:rsid w:val="007C75F1"/>
    <w:rsid w:val="007C7BF1"/>
    <w:rsid w:val="007D01E3"/>
    <w:rsid w:val="007D05F4"/>
    <w:rsid w:val="007D0902"/>
    <w:rsid w:val="007D0BBD"/>
    <w:rsid w:val="007D0D18"/>
    <w:rsid w:val="007D1415"/>
    <w:rsid w:val="007D1A0F"/>
    <w:rsid w:val="007D1E20"/>
    <w:rsid w:val="007D1F89"/>
    <w:rsid w:val="007D217B"/>
    <w:rsid w:val="007D2AB2"/>
    <w:rsid w:val="007D3460"/>
    <w:rsid w:val="007D348D"/>
    <w:rsid w:val="007D3495"/>
    <w:rsid w:val="007D3558"/>
    <w:rsid w:val="007D3699"/>
    <w:rsid w:val="007D4479"/>
    <w:rsid w:val="007D4742"/>
    <w:rsid w:val="007D474F"/>
    <w:rsid w:val="007D4801"/>
    <w:rsid w:val="007D519F"/>
    <w:rsid w:val="007D5CC3"/>
    <w:rsid w:val="007D68D9"/>
    <w:rsid w:val="007D797A"/>
    <w:rsid w:val="007D7E1D"/>
    <w:rsid w:val="007E027F"/>
    <w:rsid w:val="007E0AF2"/>
    <w:rsid w:val="007E0FC9"/>
    <w:rsid w:val="007E2760"/>
    <w:rsid w:val="007E3010"/>
    <w:rsid w:val="007E3967"/>
    <w:rsid w:val="007E3B6C"/>
    <w:rsid w:val="007E3DCB"/>
    <w:rsid w:val="007E3F14"/>
    <w:rsid w:val="007E3F67"/>
    <w:rsid w:val="007E4D37"/>
    <w:rsid w:val="007E55A5"/>
    <w:rsid w:val="007E5F55"/>
    <w:rsid w:val="007E624E"/>
    <w:rsid w:val="007E6723"/>
    <w:rsid w:val="007E67E7"/>
    <w:rsid w:val="007E6D44"/>
    <w:rsid w:val="007E6F02"/>
    <w:rsid w:val="007E7725"/>
    <w:rsid w:val="007E7D60"/>
    <w:rsid w:val="007E7FD3"/>
    <w:rsid w:val="007F03A3"/>
    <w:rsid w:val="007F0BF8"/>
    <w:rsid w:val="007F17D1"/>
    <w:rsid w:val="007F1EE4"/>
    <w:rsid w:val="007F2106"/>
    <w:rsid w:val="007F25A4"/>
    <w:rsid w:val="007F26C7"/>
    <w:rsid w:val="007F3032"/>
    <w:rsid w:val="007F3380"/>
    <w:rsid w:val="007F38CD"/>
    <w:rsid w:val="007F3B2F"/>
    <w:rsid w:val="007F3CA2"/>
    <w:rsid w:val="007F3D4E"/>
    <w:rsid w:val="007F4002"/>
    <w:rsid w:val="007F40E2"/>
    <w:rsid w:val="007F4230"/>
    <w:rsid w:val="007F454A"/>
    <w:rsid w:val="007F46E6"/>
    <w:rsid w:val="007F48D6"/>
    <w:rsid w:val="007F5672"/>
    <w:rsid w:val="007F5A68"/>
    <w:rsid w:val="007F5EDA"/>
    <w:rsid w:val="007F636A"/>
    <w:rsid w:val="007F68BE"/>
    <w:rsid w:val="00800439"/>
    <w:rsid w:val="008009FD"/>
    <w:rsid w:val="00801266"/>
    <w:rsid w:val="00801C09"/>
    <w:rsid w:val="008025E4"/>
    <w:rsid w:val="00802773"/>
    <w:rsid w:val="00802849"/>
    <w:rsid w:val="008028E8"/>
    <w:rsid w:val="00803145"/>
    <w:rsid w:val="00803250"/>
    <w:rsid w:val="0080395A"/>
    <w:rsid w:val="00805BD5"/>
    <w:rsid w:val="008066D3"/>
    <w:rsid w:val="008070E8"/>
    <w:rsid w:val="00807DC6"/>
    <w:rsid w:val="008107A8"/>
    <w:rsid w:val="0081087E"/>
    <w:rsid w:val="00811CEA"/>
    <w:rsid w:val="00811ED9"/>
    <w:rsid w:val="00812B1B"/>
    <w:rsid w:val="00812F48"/>
    <w:rsid w:val="00813C44"/>
    <w:rsid w:val="008142F9"/>
    <w:rsid w:val="008145AF"/>
    <w:rsid w:val="00814B73"/>
    <w:rsid w:val="008153E1"/>
    <w:rsid w:val="0081542C"/>
    <w:rsid w:val="00815DFE"/>
    <w:rsid w:val="00815F76"/>
    <w:rsid w:val="0081600C"/>
    <w:rsid w:val="0081619F"/>
    <w:rsid w:val="008163EB"/>
    <w:rsid w:val="008164A1"/>
    <w:rsid w:val="00816666"/>
    <w:rsid w:val="00816E73"/>
    <w:rsid w:val="008173C1"/>
    <w:rsid w:val="00817463"/>
    <w:rsid w:val="00817AC9"/>
    <w:rsid w:val="00817E1C"/>
    <w:rsid w:val="0082046E"/>
    <w:rsid w:val="008208ED"/>
    <w:rsid w:val="0082107D"/>
    <w:rsid w:val="008212EE"/>
    <w:rsid w:val="00821E40"/>
    <w:rsid w:val="0082259C"/>
    <w:rsid w:val="00822903"/>
    <w:rsid w:val="00822BCF"/>
    <w:rsid w:val="00822D22"/>
    <w:rsid w:val="008234CD"/>
    <w:rsid w:val="00823E56"/>
    <w:rsid w:val="00824468"/>
    <w:rsid w:val="008244A9"/>
    <w:rsid w:val="008244E1"/>
    <w:rsid w:val="00824EA2"/>
    <w:rsid w:val="00824FAC"/>
    <w:rsid w:val="00825F08"/>
    <w:rsid w:val="00826865"/>
    <w:rsid w:val="008268E6"/>
    <w:rsid w:val="00830250"/>
    <w:rsid w:val="008302C0"/>
    <w:rsid w:val="008305D9"/>
    <w:rsid w:val="00830861"/>
    <w:rsid w:val="00830A07"/>
    <w:rsid w:val="00830CFC"/>
    <w:rsid w:val="00831B68"/>
    <w:rsid w:val="00831FD3"/>
    <w:rsid w:val="008322BB"/>
    <w:rsid w:val="00832A80"/>
    <w:rsid w:val="0083369C"/>
    <w:rsid w:val="008337FB"/>
    <w:rsid w:val="00833CDA"/>
    <w:rsid w:val="008342CC"/>
    <w:rsid w:val="00834558"/>
    <w:rsid w:val="008345FE"/>
    <w:rsid w:val="00834D9F"/>
    <w:rsid w:val="00834DDE"/>
    <w:rsid w:val="00835738"/>
    <w:rsid w:val="0083580C"/>
    <w:rsid w:val="00835B93"/>
    <w:rsid w:val="00835CE2"/>
    <w:rsid w:val="00835DC5"/>
    <w:rsid w:val="00836433"/>
    <w:rsid w:val="00836591"/>
    <w:rsid w:val="00836C54"/>
    <w:rsid w:val="00837782"/>
    <w:rsid w:val="008379A3"/>
    <w:rsid w:val="008379AF"/>
    <w:rsid w:val="00840995"/>
    <w:rsid w:val="00840D7D"/>
    <w:rsid w:val="008411C0"/>
    <w:rsid w:val="00841487"/>
    <w:rsid w:val="00841868"/>
    <w:rsid w:val="008419DD"/>
    <w:rsid w:val="00841E11"/>
    <w:rsid w:val="00842390"/>
    <w:rsid w:val="00842562"/>
    <w:rsid w:val="0084290E"/>
    <w:rsid w:val="008430D1"/>
    <w:rsid w:val="00844C69"/>
    <w:rsid w:val="00845A24"/>
    <w:rsid w:val="00846EB7"/>
    <w:rsid w:val="0084711A"/>
    <w:rsid w:val="008479AB"/>
    <w:rsid w:val="00850EBA"/>
    <w:rsid w:val="008516DD"/>
    <w:rsid w:val="00851ADB"/>
    <w:rsid w:val="008523EB"/>
    <w:rsid w:val="00852829"/>
    <w:rsid w:val="00852F53"/>
    <w:rsid w:val="0085342D"/>
    <w:rsid w:val="00853494"/>
    <w:rsid w:val="00853DA5"/>
    <w:rsid w:val="00853ECB"/>
    <w:rsid w:val="008547DB"/>
    <w:rsid w:val="00854B0D"/>
    <w:rsid w:val="00856721"/>
    <w:rsid w:val="00856BA5"/>
    <w:rsid w:val="00857D8F"/>
    <w:rsid w:val="00857F81"/>
    <w:rsid w:val="0086077B"/>
    <w:rsid w:val="008617B4"/>
    <w:rsid w:val="00861AE3"/>
    <w:rsid w:val="00861FC2"/>
    <w:rsid w:val="00863050"/>
    <w:rsid w:val="0086369E"/>
    <w:rsid w:val="00864657"/>
    <w:rsid w:val="008646FF"/>
    <w:rsid w:val="008664DD"/>
    <w:rsid w:val="008670EC"/>
    <w:rsid w:val="00867306"/>
    <w:rsid w:val="00867AED"/>
    <w:rsid w:val="00870468"/>
    <w:rsid w:val="00870DC0"/>
    <w:rsid w:val="00871043"/>
    <w:rsid w:val="008715FE"/>
    <w:rsid w:val="00871D9D"/>
    <w:rsid w:val="00871F81"/>
    <w:rsid w:val="00871FAB"/>
    <w:rsid w:val="008725DD"/>
    <w:rsid w:val="008726C1"/>
    <w:rsid w:val="0087373B"/>
    <w:rsid w:val="008738F2"/>
    <w:rsid w:val="00873BB9"/>
    <w:rsid w:val="00873C32"/>
    <w:rsid w:val="008741B2"/>
    <w:rsid w:val="008742D8"/>
    <w:rsid w:val="008748A6"/>
    <w:rsid w:val="00874E83"/>
    <w:rsid w:val="00875077"/>
    <w:rsid w:val="0087605E"/>
    <w:rsid w:val="008760E1"/>
    <w:rsid w:val="0087612A"/>
    <w:rsid w:val="00876239"/>
    <w:rsid w:val="00876BE7"/>
    <w:rsid w:val="008776A6"/>
    <w:rsid w:val="00877E1D"/>
    <w:rsid w:val="008806AF"/>
    <w:rsid w:val="008807FD"/>
    <w:rsid w:val="00880849"/>
    <w:rsid w:val="008812F2"/>
    <w:rsid w:val="00881320"/>
    <w:rsid w:val="00881460"/>
    <w:rsid w:val="008819B3"/>
    <w:rsid w:val="008824E4"/>
    <w:rsid w:val="0088252A"/>
    <w:rsid w:val="00882719"/>
    <w:rsid w:val="00882860"/>
    <w:rsid w:val="00882ED1"/>
    <w:rsid w:val="00883281"/>
    <w:rsid w:val="00883604"/>
    <w:rsid w:val="00883B55"/>
    <w:rsid w:val="00883C11"/>
    <w:rsid w:val="00884332"/>
    <w:rsid w:val="00884716"/>
    <w:rsid w:val="00884C13"/>
    <w:rsid w:val="0088597A"/>
    <w:rsid w:val="00885B61"/>
    <w:rsid w:val="008863A2"/>
    <w:rsid w:val="008865F3"/>
    <w:rsid w:val="00886670"/>
    <w:rsid w:val="008867C1"/>
    <w:rsid w:val="00887117"/>
    <w:rsid w:val="008871D4"/>
    <w:rsid w:val="00887485"/>
    <w:rsid w:val="00887A5B"/>
    <w:rsid w:val="00887B64"/>
    <w:rsid w:val="00887C1C"/>
    <w:rsid w:val="00887CB1"/>
    <w:rsid w:val="00890491"/>
    <w:rsid w:val="00890559"/>
    <w:rsid w:val="00890A0A"/>
    <w:rsid w:val="00890FD3"/>
    <w:rsid w:val="00891215"/>
    <w:rsid w:val="00891510"/>
    <w:rsid w:val="0089159D"/>
    <w:rsid w:val="008920F0"/>
    <w:rsid w:val="008924E0"/>
    <w:rsid w:val="00892EA4"/>
    <w:rsid w:val="00893658"/>
    <w:rsid w:val="00893CBC"/>
    <w:rsid w:val="00893D59"/>
    <w:rsid w:val="0089430F"/>
    <w:rsid w:val="0089459B"/>
    <w:rsid w:val="008945A1"/>
    <w:rsid w:val="008947C5"/>
    <w:rsid w:val="00894A10"/>
    <w:rsid w:val="00896C1C"/>
    <w:rsid w:val="008972FD"/>
    <w:rsid w:val="00897DFC"/>
    <w:rsid w:val="008A0699"/>
    <w:rsid w:val="008A08EC"/>
    <w:rsid w:val="008A095E"/>
    <w:rsid w:val="008A0EE8"/>
    <w:rsid w:val="008A17D3"/>
    <w:rsid w:val="008A1A5E"/>
    <w:rsid w:val="008A1CAA"/>
    <w:rsid w:val="008A2251"/>
    <w:rsid w:val="008A252A"/>
    <w:rsid w:val="008A306C"/>
    <w:rsid w:val="008A4FCF"/>
    <w:rsid w:val="008A531B"/>
    <w:rsid w:val="008A5D54"/>
    <w:rsid w:val="008A6EF2"/>
    <w:rsid w:val="008A7DA8"/>
    <w:rsid w:val="008B0407"/>
    <w:rsid w:val="008B188B"/>
    <w:rsid w:val="008B1B19"/>
    <w:rsid w:val="008B1ED9"/>
    <w:rsid w:val="008B2180"/>
    <w:rsid w:val="008B21F5"/>
    <w:rsid w:val="008B23DD"/>
    <w:rsid w:val="008B27FC"/>
    <w:rsid w:val="008B2C7F"/>
    <w:rsid w:val="008B31B4"/>
    <w:rsid w:val="008B391F"/>
    <w:rsid w:val="008B3A08"/>
    <w:rsid w:val="008B4B58"/>
    <w:rsid w:val="008B4D30"/>
    <w:rsid w:val="008B5071"/>
    <w:rsid w:val="008B516B"/>
    <w:rsid w:val="008B531C"/>
    <w:rsid w:val="008B61D5"/>
    <w:rsid w:val="008B649F"/>
    <w:rsid w:val="008B6C67"/>
    <w:rsid w:val="008B7830"/>
    <w:rsid w:val="008B7D62"/>
    <w:rsid w:val="008B7F29"/>
    <w:rsid w:val="008C01A5"/>
    <w:rsid w:val="008C01E6"/>
    <w:rsid w:val="008C02D7"/>
    <w:rsid w:val="008C0E45"/>
    <w:rsid w:val="008C16CF"/>
    <w:rsid w:val="008C1D00"/>
    <w:rsid w:val="008C241A"/>
    <w:rsid w:val="008C262A"/>
    <w:rsid w:val="008C2A9A"/>
    <w:rsid w:val="008C2EA2"/>
    <w:rsid w:val="008C3040"/>
    <w:rsid w:val="008C3677"/>
    <w:rsid w:val="008C3A1E"/>
    <w:rsid w:val="008C3F11"/>
    <w:rsid w:val="008C48BD"/>
    <w:rsid w:val="008C5C1E"/>
    <w:rsid w:val="008C604A"/>
    <w:rsid w:val="008C62F9"/>
    <w:rsid w:val="008C7218"/>
    <w:rsid w:val="008C7424"/>
    <w:rsid w:val="008D027D"/>
    <w:rsid w:val="008D0CDE"/>
    <w:rsid w:val="008D2420"/>
    <w:rsid w:val="008D2445"/>
    <w:rsid w:val="008D26D4"/>
    <w:rsid w:val="008D2810"/>
    <w:rsid w:val="008D2BDE"/>
    <w:rsid w:val="008D2E57"/>
    <w:rsid w:val="008D332E"/>
    <w:rsid w:val="008D382B"/>
    <w:rsid w:val="008D3ADB"/>
    <w:rsid w:val="008D3EAB"/>
    <w:rsid w:val="008D3F3C"/>
    <w:rsid w:val="008D459F"/>
    <w:rsid w:val="008D488F"/>
    <w:rsid w:val="008D4995"/>
    <w:rsid w:val="008D554C"/>
    <w:rsid w:val="008D64E5"/>
    <w:rsid w:val="008D7603"/>
    <w:rsid w:val="008D76DD"/>
    <w:rsid w:val="008D78CE"/>
    <w:rsid w:val="008D7A87"/>
    <w:rsid w:val="008D7EFC"/>
    <w:rsid w:val="008E0765"/>
    <w:rsid w:val="008E0D66"/>
    <w:rsid w:val="008E2504"/>
    <w:rsid w:val="008E2AD5"/>
    <w:rsid w:val="008E2EF0"/>
    <w:rsid w:val="008E3038"/>
    <w:rsid w:val="008E3286"/>
    <w:rsid w:val="008E330F"/>
    <w:rsid w:val="008E3987"/>
    <w:rsid w:val="008E3A58"/>
    <w:rsid w:val="008E3BA9"/>
    <w:rsid w:val="008E4754"/>
    <w:rsid w:val="008E490C"/>
    <w:rsid w:val="008E4C88"/>
    <w:rsid w:val="008E5E2A"/>
    <w:rsid w:val="008E5FC3"/>
    <w:rsid w:val="008E602D"/>
    <w:rsid w:val="008E60B5"/>
    <w:rsid w:val="008E622F"/>
    <w:rsid w:val="008E6D5B"/>
    <w:rsid w:val="008E702F"/>
    <w:rsid w:val="008E7078"/>
    <w:rsid w:val="008E74EF"/>
    <w:rsid w:val="008E75AE"/>
    <w:rsid w:val="008E760F"/>
    <w:rsid w:val="008E7CF4"/>
    <w:rsid w:val="008E7F21"/>
    <w:rsid w:val="008E7FC6"/>
    <w:rsid w:val="008F07B1"/>
    <w:rsid w:val="008F08F0"/>
    <w:rsid w:val="008F0EEE"/>
    <w:rsid w:val="008F13F0"/>
    <w:rsid w:val="008F199A"/>
    <w:rsid w:val="008F1E2B"/>
    <w:rsid w:val="008F2FBC"/>
    <w:rsid w:val="008F35DC"/>
    <w:rsid w:val="008F405E"/>
    <w:rsid w:val="008F4497"/>
    <w:rsid w:val="008F458F"/>
    <w:rsid w:val="008F461C"/>
    <w:rsid w:val="008F4696"/>
    <w:rsid w:val="008F4A3B"/>
    <w:rsid w:val="008F505D"/>
    <w:rsid w:val="008F5F84"/>
    <w:rsid w:val="008F6EEF"/>
    <w:rsid w:val="008F7273"/>
    <w:rsid w:val="008F7429"/>
    <w:rsid w:val="008F75B0"/>
    <w:rsid w:val="008F7791"/>
    <w:rsid w:val="008F783A"/>
    <w:rsid w:val="008F7C3B"/>
    <w:rsid w:val="009003F2"/>
    <w:rsid w:val="0090062B"/>
    <w:rsid w:val="009007AE"/>
    <w:rsid w:val="00900F94"/>
    <w:rsid w:val="00901188"/>
    <w:rsid w:val="009017A0"/>
    <w:rsid w:val="0090222D"/>
    <w:rsid w:val="00902356"/>
    <w:rsid w:val="0090243F"/>
    <w:rsid w:val="0090257F"/>
    <w:rsid w:val="00902B15"/>
    <w:rsid w:val="00903458"/>
    <w:rsid w:val="00903AC3"/>
    <w:rsid w:val="00903F46"/>
    <w:rsid w:val="00905260"/>
    <w:rsid w:val="009057FF"/>
    <w:rsid w:val="00906331"/>
    <w:rsid w:val="00906B4B"/>
    <w:rsid w:val="00906CC1"/>
    <w:rsid w:val="00906E10"/>
    <w:rsid w:val="009071E0"/>
    <w:rsid w:val="009075EA"/>
    <w:rsid w:val="009077E3"/>
    <w:rsid w:val="009106EA"/>
    <w:rsid w:val="009108D4"/>
    <w:rsid w:val="00911AB8"/>
    <w:rsid w:val="00911E14"/>
    <w:rsid w:val="00912D60"/>
    <w:rsid w:val="00912DFC"/>
    <w:rsid w:val="0091315D"/>
    <w:rsid w:val="00913177"/>
    <w:rsid w:val="00913EF9"/>
    <w:rsid w:val="00914556"/>
    <w:rsid w:val="00914A37"/>
    <w:rsid w:val="00914D52"/>
    <w:rsid w:val="009151D8"/>
    <w:rsid w:val="0091552D"/>
    <w:rsid w:val="00915675"/>
    <w:rsid w:val="00915E78"/>
    <w:rsid w:val="009161EA"/>
    <w:rsid w:val="00916960"/>
    <w:rsid w:val="009169AC"/>
    <w:rsid w:val="00916B40"/>
    <w:rsid w:val="00916EF2"/>
    <w:rsid w:val="009172C8"/>
    <w:rsid w:val="00920141"/>
    <w:rsid w:val="00920245"/>
    <w:rsid w:val="009213BF"/>
    <w:rsid w:val="00922271"/>
    <w:rsid w:val="009224AC"/>
    <w:rsid w:val="009226E8"/>
    <w:rsid w:val="00922739"/>
    <w:rsid w:val="00922A68"/>
    <w:rsid w:val="00922E7B"/>
    <w:rsid w:val="009235F3"/>
    <w:rsid w:val="00923A61"/>
    <w:rsid w:val="00923B74"/>
    <w:rsid w:val="00924599"/>
    <w:rsid w:val="009246CD"/>
    <w:rsid w:val="00924D37"/>
    <w:rsid w:val="0092574B"/>
    <w:rsid w:val="00925811"/>
    <w:rsid w:val="00925C39"/>
    <w:rsid w:val="009269CC"/>
    <w:rsid w:val="00926A29"/>
    <w:rsid w:val="00926D6A"/>
    <w:rsid w:val="00927086"/>
    <w:rsid w:val="009271BF"/>
    <w:rsid w:val="00927BFB"/>
    <w:rsid w:val="009304B6"/>
    <w:rsid w:val="00930C8A"/>
    <w:rsid w:val="00931273"/>
    <w:rsid w:val="00931980"/>
    <w:rsid w:val="00931A1A"/>
    <w:rsid w:val="009333E2"/>
    <w:rsid w:val="009338DB"/>
    <w:rsid w:val="00933CEB"/>
    <w:rsid w:val="00934764"/>
    <w:rsid w:val="00934EB4"/>
    <w:rsid w:val="00935887"/>
    <w:rsid w:val="00935C57"/>
    <w:rsid w:val="00935E9E"/>
    <w:rsid w:val="00936D34"/>
    <w:rsid w:val="0093706F"/>
    <w:rsid w:val="00937E00"/>
    <w:rsid w:val="0094047C"/>
    <w:rsid w:val="009404C7"/>
    <w:rsid w:val="00940A86"/>
    <w:rsid w:val="00940D3D"/>
    <w:rsid w:val="00941E6E"/>
    <w:rsid w:val="00942476"/>
    <w:rsid w:val="00945267"/>
    <w:rsid w:val="0094596B"/>
    <w:rsid w:val="00945DE6"/>
    <w:rsid w:val="00945EF6"/>
    <w:rsid w:val="0094624F"/>
    <w:rsid w:val="0094695D"/>
    <w:rsid w:val="00946A0C"/>
    <w:rsid w:val="00947197"/>
    <w:rsid w:val="009472E6"/>
    <w:rsid w:val="00947803"/>
    <w:rsid w:val="00947EA8"/>
    <w:rsid w:val="00947F8D"/>
    <w:rsid w:val="00950223"/>
    <w:rsid w:val="0095080C"/>
    <w:rsid w:val="00950E63"/>
    <w:rsid w:val="00951C15"/>
    <w:rsid w:val="0095308A"/>
    <w:rsid w:val="0095309D"/>
    <w:rsid w:val="00953575"/>
    <w:rsid w:val="00953984"/>
    <w:rsid w:val="00953A81"/>
    <w:rsid w:val="00953AF4"/>
    <w:rsid w:val="00953D01"/>
    <w:rsid w:val="00953DC0"/>
    <w:rsid w:val="00954121"/>
    <w:rsid w:val="009542EE"/>
    <w:rsid w:val="0095492F"/>
    <w:rsid w:val="00954AF8"/>
    <w:rsid w:val="00954DA4"/>
    <w:rsid w:val="00954FAA"/>
    <w:rsid w:val="00954FFF"/>
    <w:rsid w:val="009551C1"/>
    <w:rsid w:val="00955631"/>
    <w:rsid w:val="00955EA8"/>
    <w:rsid w:val="009562B9"/>
    <w:rsid w:val="00956513"/>
    <w:rsid w:val="00956909"/>
    <w:rsid w:val="00957325"/>
    <w:rsid w:val="00957BFF"/>
    <w:rsid w:val="00957D88"/>
    <w:rsid w:val="00960750"/>
    <w:rsid w:val="00960A49"/>
    <w:rsid w:val="00960C43"/>
    <w:rsid w:val="00961A4B"/>
    <w:rsid w:val="009622FE"/>
    <w:rsid w:val="00962357"/>
    <w:rsid w:val="009625A3"/>
    <w:rsid w:val="0096299C"/>
    <w:rsid w:val="00962D96"/>
    <w:rsid w:val="00963157"/>
    <w:rsid w:val="009633F4"/>
    <w:rsid w:val="00964AA8"/>
    <w:rsid w:val="00964D75"/>
    <w:rsid w:val="0096600F"/>
    <w:rsid w:val="009660A1"/>
    <w:rsid w:val="00966519"/>
    <w:rsid w:val="00966D35"/>
    <w:rsid w:val="00966F10"/>
    <w:rsid w:val="00966F53"/>
    <w:rsid w:val="00970CC4"/>
    <w:rsid w:val="0097171A"/>
    <w:rsid w:val="00971BE9"/>
    <w:rsid w:val="009723FC"/>
    <w:rsid w:val="0097287E"/>
    <w:rsid w:val="00972937"/>
    <w:rsid w:val="00972979"/>
    <w:rsid w:val="009738B5"/>
    <w:rsid w:val="00973F64"/>
    <w:rsid w:val="00974159"/>
    <w:rsid w:val="00974DEB"/>
    <w:rsid w:val="00974EA9"/>
    <w:rsid w:val="00975056"/>
    <w:rsid w:val="00975175"/>
    <w:rsid w:val="009751F8"/>
    <w:rsid w:val="009757A2"/>
    <w:rsid w:val="0097586D"/>
    <w:rsid w:val="0097652C"/>
    <w:rsid w:val="00977091"/>
    <w:rsid w:val="00977601"/>
    <w:rsid w:val="00980D55"/>
    <w:rsid w:val="00980E8B"/>
    <w:rsid w:val="00981237"/>
    <w:rsid w:val="00981867"/>
    <w:rsid w:val="009818E8"/>
    <w:rsid w:val="00981BB0"/>
    <w:rsid w:val="0098223C"/>
    <w:rsid w:val="00982764"/>
    <w:rsid w:val="0098292C"/>
    <w:rsid w:val="0098299B"/>
    <w:rsid w:val="009830F5"/>
    <w:rsid w:val="009833C4"/>
    <w:rsid w:val="00983C1D"/>
    <w:rsid w:val="00983F3B"/>
    <w:rsid w:val="009842B7"/>
    <w:rsid w:val="00985763"/>
    <w:rsid w:val="00985805"/>
    <w:rsid w:val="00986447"/>
    <w:rsid w:val="0098666B"/>
    <w:rsid w:val="00987511"/>
    <w:rsid w:val="00987722"/>
    <w:rsid w:val="00990464"/>
    <w:rsid w:val="00990551"/>
    <w:rsid w:val="00990A86"/>
    <w:rsid w:val="00990AFC"/>
    <w:rsid w:val="00990CF9"/>
    <w:rsid w:val="00991B41"/>
    <w:rsid w:val="00991E93"/>
    <w:rsid w:val="00992A52"/>
    <w:rsid w:val="009931C2"/>
    <w:rsid w:val="009933D5"/>
    <w:rsid w:val="00993811"/>
    <w:rsid w:val="00993A65"/>
    <w:rsid w:val="0099404F"/>
    <w:rsid w:val="009944CB"/>
    <w:rsid w:val="0099498F"/>
    <w:rsid w:val="00995CC9"/>
    <w:rsid w:val="00995F10"/>
    <w:rsid w:val="00995F71"/>
    <w:rsid w:val="0099624B"/>
    <w:rsid w:val="00996456"/>
    <w:rsid w:val="00996848"/>
    <w:rsid w:val="00996BB8"/>
    <w:rsid w:val="009971B7"/>
    <w:rsid w:val="00997453"/>
    <w:rsid w:val="009975B9"/>
    <w:rsid w:val="009977F4"/>
    <w:rsid w:val="00997EEA"/>
    <w:rsid w:val="009A00D7"/>
    <w:rsid w:val="009A01E5"/>
    <w:rsid w:val="009A04D9"/>
    <w:rsid w:val="009A0591"/>
    <w:rsid w:val="009A066B"/>
    <w:rsid w:val="009A094F"/>
    <w:rsid w:val="009A1567"/>
    <w:rsid w:val="009A1EF3"/>
    <w:rsid w:val="009A2133"/>
    <w:rsid w:val="009A24FC"/>
    <w:rsid w:val="009A336B"/>
    <w:rsid w:val="009A3586"/>
    <w:rsid w:val="009A35C5"/>
    <w:rsid w:val="009A3A6A"/>
    <w:rsid w:val="009A467C"/>
    <w:rsid w:val="009A4D9B"/>
    <w:rsid w:val="009A4F81"/>
    <w:rsid w:val="009A6E15"/>
    <w:rsid w:val="009A7E6E"/>
    <w:rsid w:val="009A7FBB"/>
    <w:rsid w:val="009B02E4"/>
    <w:rsid w:val="009B0868"/>
    <w:rsid w:val="009B19B0"/>
    <w:rsid w:val="009B19C9"/>
    <w:rsid w:val="009B24CE"/>
    <w:rsid w:val="009B27AB"/>
    <w:rsid w:val="009B3516"/>
    <w:rsid w:val="009B38A1"/>
    <w:rsid w:val="009B3EC2"/>
    <w:rsid w:val="009B3EF9"/>
    <w:rsid w:val="009B3F4A"/>
    <w:rsid w:val="009B3F61"/>
    <w:rsid w:val="009B3FFF"/>
    <w:rsid w:val="009B406A"/>
    <w:rsid w:val="009B442E"/>
    <w:rsid w:val="009B493F"/>
    <w:rsid w:val="009B4DAE"/>
    <w:rsid w:val="009B4F3D"/>
    <w:rsid w:val="009B5199"/>
    <w:rsid w:val="009B5684"/>
    <w:rsid w:val="009B57DD"/>
    <w:rsid w:val="009B5851"/>
    <w:rsid w:val="009B6B9A"/>
    <w:rsid w:val="009B71C4"/>
    <w:rsid w:val="009B72E5"/>
    <w:rsid w:val="009B75C1"/>
    <w:rsid w:val="009B775D"/>
    <w:rsid w:val="009B784A"/>
    <w:rsid w:val="009B7AC5"/>
    <w:rsid w:val="009C02FB"/>
    <w:rsid w:val="009C0A35"/>
    <w:rsid w:val="009C115B"/>
    <w:rsid w:val="009C188E"/>
    <w:rsid w:val="009C1B9B"/>
    <w:rsid w:val="009C28E7"/>
    <w:rsid w:val="009C2D0F"/>
    <w:rsid w:val="009C3D43"/>
    <w:rsid w:val="009C40EC"/>
    <w:rsid w:val="009C4A55"/>
    <w:rsid w:val="009C4D1F"/>
    <w:rsid w:val="009C5589"/>
    <w:rsid w:val="009C5930"/>
    <w:rsid w:val="009D05D7"/>
    <w:rsid w:val="009D094D"/>
    <w:rsid w:val="009D0989"/>
    <w:rsid w:val="009D0DE5"/>
    <w:rsid w:val="009D13E8"/>
    <w:rsid w:val="009D1684"/>
    <w:rsid w:val="009D17EF"/>
    <w:rsid w:val="009D1A5D"/>
    <w:rsid w:val="009D1D68"/>
    <w:rsid w:val="009D2576"/>
    <w:rsid w:val="009D260E"/>
    <w:rsid w:val="009D2954"/>
    <w:rsid w:val="009D2A39"/>
    <w:rsid w:val="009D2B82"/>
    <w:rsid w:val="009D2CE8"/>
    <w:rsid w:val="009D310D"/>
    <w:rsid w:val="009D33DC"/>
    <w:rsid w:val="009D3483"/>
    <w:rsid w:val="009D3786"/>
    <w:rsid w:val="009D37E6"/>
    <w:rsid w:val="009D37F4"/>
    <w:rsid w:val="009D45F2"/>
    <w:rsid w:val="009D49E3"/>
    <w:rsid w:val="009D4C21"/>
    <w:rsid w:val="009D5227"/>
    <w:rsid w:val="009D6234"/>
    <w:rsid w:val="009D6E29"/>
    <w:rsid w:val="009D716D"/>
    <w:rsid w:val="009D7A86"/>
    <w:rsid w:val="009D7E67"/>
    <w:rsid w:val="009E03E5"/>
    <w:rsid w:val="009E0BA2"/>
    <w:rsid w:val="009E0C49"/>
    <w:rsid w:val="009E11A0"/>
    <w:rsid w:val="009E21F6"/>
    <w:rsid w:val="009E2CA7"/>
    <w:rsid w:val="009E3035"/>
    <w:rsid w:val="009E31A0"/>
    <w:rsid w:val="009E3CC8"/>
    <w:rsid w:val="009E3D73"/>
    <w:rsid w:val="009E3D82"/>
    <w:rsid w:val="009E3DF4"/>
    <w:rsid w:val="009E3EDF"/>
    <w:rsid w:val="009E3F51"/>
    <w:rsid w:val="009E412B"/>
    <w:rsid w:val="009E4956"/>
    <w:rsid w:val="009E584F"/>
    <w:rsid w:val="009E5AC5"/>
    <w:rsid w:val="009E5B1F"/>
    <w:rsid w:val="009E5C59"/>
    <w:rsid w:val="009E62D0"/>
    <w:rsid w:val="009E6323"/>
    <w:rsid w:val="009E6F9A"/>
    <w:rsid w:val="009E7738"/>
    <w:rsid w:val="009E7EA6"/>
    <w:rsid w:val="009F044C"/>
    <w:rsid w:val="009F072D"/>
    <w:rsid w:val="009F0CE6"/>
    <w:rsid w:val="009F144E"/>
    <w:rsid w:val="009F1868"/>
    <w:rsid w:val="009F1B0B"/>
    <w:rsid w:val="009F1E92"/>
    <w:rsid w:val="009F2F29"/>
    <w:rsid w:val="009F36CE"/>
    <w:rsid w:val="009F4299"/>
    <w:rsid w:val="009F432B"/>
    <w:rsid w:val="009F47BC"/>
    <w:rsid w:val="009F5D03"/>
    <w:rsid w:val="009F5DAB"/>
    <w:rsid w:val="009F6231"/>
    <w:rsid w:val="009F6379"/>
    <w:rsid w:val="009F6721"/>
    <w:rsid w:val="009F6A29"/>
    <w:rsid w:val="009F74EF"/>
    <w:rsid w:val="009F7BDD"/>
    <w:rsid w:val="00A0070C"/>
    <w:rsid w:val="00A00B36"/>
    <w:rsid w:val="00A0123E"/>
    <w:rsid w:val="00A022D7"/>
    <w:rsid w:val="00A024AA"/>
    <w:rsid w:val="00A0256C"/>
    <w:rsid w:val="00A027A3"/>
    <w:rsid w:val="00A03517"/>
    <w:rsid w:val="00A0353E"/>
    <w:rsid w:val="00A036E7"/>
    <w:rsid w:val="00A048F1"/>
    <w:rsid w:val="00A05E3C"/>
    <w:rsid w:val="00A05F65"/>
    <w:rsid w:val="00A0613D"/>
    <w:rsid w:val="00A0694B"/>
    <w:rsid w:val="00A06BEA"/>
    <w:rsid w:val="00A06CCD"/>
    <w:rsid w:val="00A0707A"/>
    <w:rsid w:val="00A07100"/>
    <w:rsid w:val="00A073A2"/>
    <w:rsid w:val="00A07EFA"/>
    <w:rsid w:val="00A11018"/>
    <w:rsid w:val="00A11C7D"/>
    <w:rsid w:val="00A12367"/>
    <w:rsid w:val="00A12566"/>
    <w:rsid w:val="00A128AC"/>
    <w:rsid w:val="00A128E6"/>
    <w:rsid w:val="00A130DC"/>
    <w:rsid w:val="00A133A0"/>
    <w:rsid w:val="00A13804"/>
    <w:rsid w:val="00A138D9"/>
    <w:rsid w:val="00A13CA1"/>
    <w:rsid w:val="00A14255"/>
    <w:rsid w:val="00A148B1"/>
    <w:rsid w:val="00A15351"/>
    <w:rsid w:val="00A16052"/>
    <w:rsid w:val="00A1609B"/>
    <w:rsid w:val="00A16860"/>
    <w:rsid w:val="00A1740D"/>
    <w:rsid w:val="00A17531"/>
    <w:rsid w:val="00A17C48"/>
    <w:rsid w:val="00A17EAA"/>
    <w:rsid w:val="00A17F42"/>
    <w:rsid w:val="00A20A08"/>
    <w:rsid w:val="00A20B2F"/>
    <w:rsid w:val="00A20C32"/>
    <w:rsid w:val="00A20F98"/>
    <w:rsid w:val="00A211D5"/>
    <w:rsid w:val="00A21660"/>
    <w:rsid w:val="00A21E3D"/>
    <w:rsid w:val="00A21FB1"/>
    <w:rsid w:val="00A2233B"/>
    <w:rsid w:val="00A22341"/>
    <w:rsid w:val="00A22BE5"/>
    <w:rsid w:val="00A23C2D"/>
    <w:rsid w:val="00A24010"/>
    <w:rsid w:val="00A260E2"/>
    <w:rsid w:val="00A26123"/>
    <w:rsid w:val="00A265E1"/>
    <w:rsid w:val="00A26F1A"/>
    <w:rsid w:val="00A27BE0"/>
    <w:rsid w:val="00A27D4B"/>
    <w:rsid w:val="00A307BE"/>
    <w:rsid w:val="00A30C1C"/>
    <w:rsid w:val="00A30CFE"/>
    <w:rsid w:val="00A30F85"/>
    <w:rsid w:val="00A31614"/>
    <w:rsid w:val="00A31E0D"/>
    <w:rsid w:val="00A32A4D"/>
    <w:rsid w:val="00A32F8E"/>
    <w:rsid w:val="00A3309D"/>
    <w:rsid w:val="00A333E9"/>
    <w:rsid w:val="00A335BB"/>
    <w:rsid w:val="00A33DE9"/>
    <w:rsid w:val="00A3428D"/>
    <w:rsid w:val="00A34B01"/>
    <w:rsid w:val="00A34EA5"/>
    <w:rsid w:val="00A34FD9"/>
    <w:rsid w:val="00A35796"/>
    <w:rsid w:val="00A35867"/>
    <w:rsid w:val="00A36034"/>
    <w:rsid w:val="00A36061"/>
    <w:rsid w:val="00A365E0"/>
    <w:rsid w:val="00A37124"/>
    <w:rsid w:val="00A372F6"/>
    <w:rsid w:val="00A37514"/>
    <w:rsid w:val="00A3786A"/>
    <w:rsid w:val="00A37F63"/>
    <w:rsid w:val="00A4010E"/>
    <w:rsid w:val="00A4017F"/>
    <w:rsid w:val="00A40B4E"/>
    <w:rsid w:val="00A40B76"/>
    <w:rsid w:val="00A41357"/>
    <w:rsid w:val="00A414A2"/>
    <w:rsid w:val="00A41694"/>
    <w:rsid w:val="00A41F32"/>
    <w:rsid w:val="00A42234"/>
    <w:rsid w:val="00A4235D"/>
    <w:rsid w:val="00A426DF"/>
    <w:rsid w:val="00A42C24"/>
    <w:rsid w:val="00A4341F"/>
    <w:rsid w:val="00A43ED7"/>
    <w:rsid w:val="00A45143"/>
    <w:rsid w:val="00A45F27"/>
    <w:rsid w:val="00A46189"/>
    <w:rsid w:val="00A47920"/>
    <w:rsid w:val="00A47C2E"/>
    <w:rsid w:val="00A47E53"/>
    <w:rsid w:val="00A50D38"/>
    <w:rsid w:val="00A513A9"/>
    <w:rsid w:val="00A51E06"/>
    <w:rsid w:val="00A5213C"/>
    <w:rsid w:val="00A52946"/>
    <w:rsid w:val="00A52AE4"/>
    <w:rsid w:val="00A52B46"/>
    <w:rsid w:val="00A52FC2"/>
    <w:rsid w:val="00A53128"/>
    <w:rsid w:val="00A5364E"/>
    <w:rsid w:val="00A53CC4"/>
    <w:rsid w:val="00A54974"/>
    <w:rsid w:val="00A54DDA"/>
    <w:rsid w:val="00A5581E"/>
    <w:rsid w:val="00A56434"/>
    <w:rsid w:val="00A56441"/>
    <w:rsid w:val="00A56DF7"/>
    <w:rsid w:val="00A571C4"/>
    <w:rsid w:val="00A57288"/>
    <w:rsid w:val="00A57C17"/>
    <w:rsid w:val="00A6069A"/>
    <w:rsid w:val="00A606C6"/>
    <w:rsid w:val="00A60FED"/>
    <w:rsid w:val="00A613E3"/>
    <w:rsid w:val="00A6217D"/>
    <w:rsid w:val="00A62318"/>
    <w:rsid w:val="00A62B5C"/>
    <w:rsid w:val="00A62FBF"/>
    <w:rsid w:val="00A630B4"/>
    <w:rsid w:val="00A631AC"/>
    <w:rsid w:val="00A6331C"/>
    <w:rsid w:val="00A63999"/>
    <w:rsid w:val="00A63C57"/>
    <w:rsid w:val="00A63F7B"/>
    <w:rsid w:val="00A64177"/>
    <w:rsid w:val="00A6440B"/>
    <w:rsid w:val="00A644BF"/>
    <w:rsid w:val="00A6495D"/>
    <w:rsid w:val="00A654B9"/>
    <w:rsid w:val="00A66845"/>
    <w:rsid w:val="00A671E3"/>
    <w:rsid w:val="00A67D8A"/>
    <w:rsid w:val="00A70C1B"/>
    <w:rsid w:val="00A70D18"/>
    <w:rsid w:val="00A713EA"/>
    <w:rsid w:val="00A7251F"/>
    <w:rsid w:val="00A731F8"/>
    <w:rsid w:val="00A73686"/>
    <w:rsid w:val="00A74785"/>
    <w:rsid w:val="00A75103"/>
    <w:rsid w:val="00A751BB"/>
    <w:rsid w:val="00A76284"/>
    <w:rsid w:val="00A76F0E"/>
    <w:rsid w:val="00A76F74"/>
    <w:rsid w:val="00A778AB"/>
    <w:rsid w:val="00A77CC7"/>
    <w:rsid w:val="00A80B85"/>
    <w:rsid w:val="00A80D27"/>
    <w:rsid w:val="00A81418"/>
    <w:rsid w:val="00A81ADC"/>
    <w:rsid w:val="00A81D21"/>
    <w:rsid w:val="00A81D4E"/>
    <w:rsid w:val="00A82641"/>
    <w:rsid w:val="00A82C0C"/>
    <w:rsid w:val="00A83505"/>
    <w:rsid w:val="00A83ABA"/>
    <w:rsid w:val="00A845F0"/>
    <w:rsid w:val="00A848CC"/>
    <w:rsid w:val="00A85098"/>
    <w:rsid w:val="00A8547F"/>
    <w:rsid w:val="00A858C7"/>
    <w:rsid w:val="00A858C8"/>
    <w:rsid w:val="00A85A66"/>
    <w:rsid w:val="00A85A8B"/>
    <w:rsid w:val="00A85E9E"/>
    <w:rsid w:val="00A865BA"/>
    <w:rsid w:val="00A86786"/>
    <w:rsid w:val="00A86BD9"/>
    <w:rsid w:val="00A86D1E"/>
    <w:rsid w:val="00A87559"/>
    <w:rsid w:val="00A876C9"/>
    <w:rsid w:val="00A876E9"/>
    <w:rsid w:val="00A8796B"/>
    <w:rsid w:val="00A87AB0"/>
    <w:rsid w:val="00A87FF7"/>
    <w:rsid w:val="00A9031A"/>
    <w:rsid w:val="00A90388"/>
    <w:rsid w:val="00A906E6"/>
    <w:rsid w:val="00A90F50"/>
    <w:rsid w:val="00A91029"/>
    <w:rsid w:val="00A9148E"/>
    <w:rsid w:val="00A914A5"/>
    <w:rsid w:val="00A915D1"/>
    <w:rsid w:val="00A9169A"/>
    <w:rsid w:val="00A917C7"/>
    <w:rsid w:val="00A91A28"/>
    <w:rsid w:val="00A9204F"/>
    <w:rsid w:val="00A927C6"/>
    <w:rsid w:val="00A92A61"/>
    <w:rsid w:val="00A92CA8"/>
    <w:rsid w:val="00A92E11"/>
    <w:rsid w:val="00A92EF6"/>
    <w:rsid w:val="00A9315F"/>
    <w:rsid w:val="00A937D7"/>
    <w:rsid w:val="00A93D13"/>
    <w:rsid w:val="00A94446"/>
    <w:rsid w:val="00A9659F"/>
    <w:rsid w:val="00A96859"/>
    <w:rsid w:val="00A96F03"/>
    <w:rsid w:val="00A97DCA"/>
    <w:rsid w:val="00AA1174"/>
    <w:rsid w:val="00AA1492"/>
    <w:rsid w:val="00AA19EC"/>
    <w:rsid w:val="00AA1A4A"/>
    <w:rsid w:val="00AA2028"/>
    <w:rsid w:val="00AA2A57"/>
    <w:rsid w:val="00AA2CF7"/>
    <w:rsid w:val="00AA3549"/>
    <w:rsid w:val="00AA3C2E"/>
    <w:rsid w:val="00AA43AE"/>
    <w:rsid w:val="00AA4BEA"/>
    <w:rsid w:val="00AA4F6C"/>
    <w:rsid w:val="00AA5025"/>
    <w:rsid w:val="00AA56E6"/>
    <w:rsid w:val="00AA5B5E"/>
    <w:rsid w:val="00AA6121"/>
    <w:rsid w:val="00AA61CB"/>
    <w:rsid w:val="00AA63BB"/>
    <w:rsid w:val="00AA66AC"/>
    <w:rsid w:val="00AA69A5"/>
    <w:rsid w:val="00AA6A4E"/>
    <w:rsid w:val="00AA7180"/>
    <w:rsid w:val="00AB012A"/>
    <w:rsid w:val="00AB0233"/>
    <w:rsid w:val="00AB05FB"/>
    <w:rsid w:val="00AB0710"/>
    <w:rsid w:val="00AB10D3"/>
    <w:rsid w:val="00AB1E01"/>
    <w:rsid w:val="00AB2640"/>
    <w:rsid w:val="00AB28FA"/>
    <w:rsid w:val="00AB3406"/>
    <w:rsid w:val="00AB35A3"/>
    <w:rsid w:val="00AB3DCC"/>
    <w:rsid w:val="00AB4088"/>
    <w:rsid w:val="00AB446A"/>
    <w:rsid w:val="00AB4BC0"/>
    <w:rsid w:val="00AB541C"/>
    <w:rsid w:val="00AB543F"/>
    <w:rsid w:val="00AB58DE"/>
    <w:rsid w:val="00AB5E7C"/>
    <w:rsid w:val="00AB5EC3"/>
    <w:rsid w:val="00AB6359"/>
    <w:rsid w:val="00AB6970"/>
    <w:rsid w:val="00AB6E9C"/>
    <w:rsid w:val="00AC020D"/>
    <w:rsid w:val="00AC127C"/>
    <w:rsid w:val="00AC12BC"/>
    <w:rsid w:val="00AC1998"/>
    <w:rsid w:val="00AC1EBC"/>
    <w:rsid w:val="00AC266C"/>
    <w:rsid w:val="00AC26F2"/>
    <w:rsid w:val="00AC2DB3"/>
    <w:rsid w:val="00AC385C"/>
    <w:rsid w:val="00AC3B36"/>
    <w:rsid w:val="00AC3B40"/>
    <w:rsid w:val="00AC3D3E"/>
    <w:rsid w:val="00AC3EB4"/>
    <w:rsid w:val="00AC43ED"/>
    <w:rsid w:val="00AC4538"/>
    <w:rsid w:val="00AC5591"/>
    <w:rsid w:val="00AC56F0"/>
    <w:rsid w:val="00AC57CB"/>
    <w:rsid w:val="00AC5DB3"/>
    <w:rsid w:val="00AC6401"/>
    <w:rsid w:val="00AC6780"/>
    <w:rsid w:val="00AC6F29"/>
    <w:rsid w:val="00AC711F"/>
    <w:rsid w:val="00AC71FE"/>
    <w:rsid w:val="00AC72AE"/>
    <w:rsid w:val="00AC74D1"/>
    <w:rsid w:val="00AC7B1D"/>
    <w:rsid w:val="00AD080E"/>
    <w:rsid w:val="00AD09E3"/>
    <w:rsid w:val="00AD0C07"/>
    <w:rsid w:val="00AD0C87"/>
    <w:rsid w:val="00AD0D03"/>
    <w:rsid w:val="00AD1D4B"/>
    <w:rsid w:val="00AD1EAB"/>
    <w:rsid w:val="00AD1F45"/>
    <w:rsid w:val="00AD26AC"/>
    <w:rsid w:val="00AD2BD9"/>
    <w:rsid w:val="00AD31DE"/>
    <w:rsid w:val="00AD3806"/>
    <w:rsid w:val="00AD3F86"/>
    <w:rsid w:val="00AD433B"/>
    <w:rsid w:val="00AD4B13"/>
    <w:rsid w:val="00AD50A4"/>
    <w:rsid w:val="00AD51B4"/>
    <w:rsid w:val="00AD522B"/>
    <w:rsid w:val="00AD52B3"/>
    <w:rsid w:val="00AD5503"/>
    <w:rsid w:val="00AD561F"/>
    <w:rsid w:val="00AD569E"/>
    <w:rsid w:val="00AD5C0A"/>
    <w:rsid w:val="00AD5C55"/>
    <w:rsid w:val="00AD630A"/>
    <w:rsid w:val="00AD63D6"/>
    <w:rsid w:val="00AD6B71"/>
    <w:rsid w:val="00AD6E23"/>
    <w:rsid w:val="00AD6F48"/>
    <w:rsid w:val="00AD71AE"/>
    <w:rsid w:val="00AD71D1"/>
    <w:rsid w:val="00AD7F63"/>
    <w:rsid w:val="00AE022D"/>
    <w:rsid w:val="00AE05EB"/>
    <w:rsid w:val="00AE114F"/>
    <w:rsid w:val="00AE173F"/>
    <w:rsid w:val="00AE1826"/>
    <w:rsid w:val="00AE2375"/>
    <w:rsid w:val="00AE262A"/>
    <w:rsid w:val="00AE29EC"/>
    <w:rsid w:val="00AE32E4"/>
    <w:rsid w:val="00AE38A4"/>
    <w:rsid w:val="00AE4FC2"/>
    <w:rsid w:val="00AE5206"/>
    <w:rsid w:val="00AE538C"/>
    <w:rsid w:val="00AE591D"/>
    <w:rsid w:val="00AE5D0F"/>
    <w:rsid w:val="00AE6253"/>
    <w:rsid w:val="00AE6497"/>
    <w:rsid w:val="00AE6A4F"/>
    <w:rsid w:val="00AE7756"/>
    <w:rsid w:val="00AE79C4"/>
    <w:rsid w:val="00AE7A80"/>
    <w:rsid w:val="00AE7BF2"/>
    <w:rsid w:val="00AE7F5D"/>
    <w:rsid w:val="00AF052C"/>
    <w:rsid w:val="00AF05B0"/>
    <w:rsid w:val="00AF0CAF"/>
    <w:rsid w:val="00AF0CC3"/>
    <w:rsid w:val="00AF15CA"/>
    <w:rsid w:val="00AF1667"/>
    <w:rsid w:val="00AF2347"/>
    <w:rsid w:val="00AF24D0"/>
    <w:rsid w:val="00AF2B9D"/>
    <w:rsid w:val="00AF36F1"/>
    <w:rsid w:val="00AF3DE8"/>
    <w:rsid w:val="00AF40AD"/>
    <w:rsid w:val="00AF44D2"/>
    <w:rsid w:val="00AF5194"/>
    <w:rsid w:val="00AF5387"/>
    <w:rsid w:val="00AF576A"/>
    <w:rsid w:val="00AF5854"/>
    <w:rsid w:val="00AF5DF6"/>
    <w:rsid w:val="00AF5FE0"/>
    <w:rsid w:val="00AF6100"/>
    <w:rsid w:val="00AF6EC6"/>
    <w:rsid w:val="00AF7838"/>
    <w:rsid w:val="00AF7CA1"/>
    <w:rsid w:val="00AF7FDC"/>
    <w:rsid w:val="00B00ACC"/>
    <w:rsid w:val="00B00F83"/>
    <w:rsid w:val="00B0124C"/>
    <w:rsid w:val="00B0168D"/>
    <w:rsid w:val="00B019B0"/>
    <w:rsid w:val="00B01CE9"/>
    <w:rsid w:val="00B01FCC"/>
    <w:rsid w:val="00B01FF9"/>
    <w:rsid w:val="00B020D7"/>
    <w:rsid w:val="00B0308A"/>
    <w:rsid w:val="00B0376F"/>
    <w:rsid w:val="00B04032"/>
    <w:rsid w:val="00B043F9"/>
    <w:rsid w:val="00B04652"/>
    <w:rsid w:val="00B04678"/>
    <w:rsid w:val="00B046F6"/>
    <w:rsid w:val="00B04854"/>
    <w:rsid w:val="00B04880"/>
    <w:rsid w:val="00B05568"/>
    <w:rsid w:val="00B05CCB"/>
    <w:rsid w:val="00B0603F"/>
    <w:rsid w:val="00B0648D"/>
    <w:rsid w:val="00B0718D"/>
    <w:rsid w:val="00B07306"/>
    <w:rsid w:val="00B077A4"/>
    <w:rsid w:val="00B10178"/>
    <w:rsid w:val="00B10B3A"/>
    <w:rsid w:val="00B10CF3"/>
    <w:rsid w:val="00B10E69"/>
    <w:rsid w:val="00B1111D"/>
    <w:rsid w:val="00B11146"/>
    <w:rsid w:val="00B112D4"/>
    <w:rsid w:val="00B11458"/>
    <w:rsid w:val="00B11855"/>
    <w:rsid w:val="00B11928"/>
    <w:rsid w:val="00B11C75"/>
    <w:rsid w:val="00B12DC1"/>
    <w:rsid w:val="00B1314D"/>
    <w:rsid w:val="00B13268"/>
    <w:rsid w:val="00B14E6C"/>
    <w:rsid w:val="00B153A9"/>
    <w:rsid w:val="00B16542"/>
    <w:rsid w:val="00B16F7D"/>
    <w:rsid w:val="00B17875"/>
    <w:rsid w:val="00B17A9B"/>
    <w:rsid w:val="00B17E98"/>
    <w:rsid w:val="00B2043A"/>
    <w:rsid w:val="00B20446"/>
    <w:rsid w:val="00B20D28"/>
    <w:rsid w:val="00B21158"/>
    <w:rsid w:val="00B21302"/>
    <w:rsid w:val="00B21F5A"/>
    <w:rsid w:val="00B22000"/>
    <w:rsid w:val="00B225B1"/>
    <w:rsid w:val="00B22722"/>
    <w:rsid w:val="00B230B2"/>
    <w:rsid w:val="00B23165"/>
    <w:rsid w:val="00B2318F"/>
    <w:rsid w:val="00B24B8E"/>
    <w:rsid w:val="00B24C2C"/>
    <w:rsid w:val="00B25241"/>
    <w:rsid w:val="00B258DD"/>
    <w:rsid w:val="00B258E9"/>
    <w:rsid w:val="00B25F38"/>
    <w:rsid w:val="00B25FAC"/>
    <w:rsid w:val="00B2619C"/>
    <w:rsid w:val="00B26967"/>
    <w:rsid w:val="00B27395"/>
    <w:rsid w:val="00B27639"/>
    <w:rsid w:val="00B27C4D"/>
    <w:rsid w:val="00B27FF9"/>
    <w:rsid w:val="00B306E7"/>
    <w:rsid w:val="00B30D97"/>
    <w:rsid w:val="00B31F5E"/>
    <w:rsid w:val="00B33728"/>
    <w:rsid w:val="00B33F5E"/>
    <w:rsid w:val="00B34396"/>
    <w:rsid w:val="00B346C9"/>
    <w:rsid w:val="00B34C96"/>
    <w:rsid w:val="00B34FF7"/>
    <w:rsid w:val="00B35178"/>
    <w:rsid w:val="00B35524"/>
    <w:rsid w:val="00B3574B"/>
    <w:rsid w:val="00B35CFC"/>
    <w:rsid w:val="00B35D6B"/>
    <w:rsid w:val="00B363EF"/>
    <w:rsid w:val="00B36518"/>
    <w:rsid w:val="00B36697"/>
    <w:rsid w:val="00B403AD"/>
    <w:rsid w:val="00B40B8B"/>
    <w:rsid w:val="00B40BFA"/>
    <w:rsid w:val="00B40D22"/>
    <w:rsid w:val="00B40E6E"/>
    <w:rsid w:val="00B411E9"/>
    <w:rsid w:val="00B41F8A"/>
    <w:rsid w:val="00B42296"/>
    <w:rsid w:val="00B4487A"/>
    <w:rsid w:val="00B4535F"/>
    <w:rsid w:val="00B453F4"/>
    <w:rsid w:val="00B4542F"/>
    <w:rsid w:val="00B455E2"/>
    <w:rsid w:val="00B45A16"/>
    <w:rsid w:val="00B4605E"/>
    <w:rsid w:val="00B46516"/>
    <w:rsid w:val="00B46A90"/>
    <w:rsid w:val="00B46BA9"/>
    <w:rsid w:val="00B46DB2"/>
    <w:rsid w:val="00B46E53"/>
    <w:rsid w:val="00B479E5"/>
    <w:rsid w:val="00B47D95"/>
    <w:rsid w:val="00B47F72"/>
    <w:rsid w:val="00B500ED"/>
    <w:rsid w:val="00B501BD"/>
    <w:rsid w:val="00B5045B"/>
    <w:rsid w:val="00B5126F"/>
    <w:rsid w:val="00B512F6"/>
    <w:rsid w:val="00B51489"/>
    <w:rsid w:val="00B51991"/>
    <w:rsid w:val="00B51F30"/>
    <w:rsid w:val="00B52055"/>
    <w:rsid w:val="00B52643"/>
    <w:rsid w:val="00B5284E"/>
    <w:rsid w:val="00B52F30"/>
    <w:rsid w:val="00B534A6"/>
    <w:rsid w:val="00B539B2"/>
    <w:rsid w:val="00B53D9C"/>
    <w:rsid w:val="00B5584B"/>
    <w:rsid w:val="00B55C51"/>
    <w:rsid w:val="00B560B0"/>
    <w:rsid w:val="00B560DD"/>
    <w:rsid w:val="00B5661F"/>
    <w:rsid w:val="00B56EA0"/>
    <w:rsid w:val="00B572CB"/>
    <w:rsid w:val="00B57B5B"/>
    <w:rsid w:val="00B57E6B"/>
    <w:rsid w:val="00B603C2"/>
    <w:rsid w:val="00B605A1"/>
    <w:rsid w:val="00B60A31"/>
    <w:rsid w:val="00B611FF"/>
    <w:rsid w:val="00B62385"/>
    <w:rsid w:val="00B6245D"/>
    <w:rsid w:val="00B62ADB"/>
    <w:rsid w:val="00B62FE7"/>
    <w:rsid w:val="00B63515"/>
    <w:rsid w:val="00B6352E"/>
    <w:rsid w:val="00B63D2C"/>
    <w:rsid w:val="00B6638C"/>
    <w:rsid w:val="00B66592"/>
    <w:rsid w:val="00B66FD5"/>
    <w:rsid w:val="00B6741D"/>
    <w:rsid w:val="00B67921"/>
    <w:rsid w:val="00B714F2"/>
    <w:rsid w:val="00B719F9"/>
    <w:rsid w:val="00B727DE"/>
    <w:rsid w:val="00B731A7"/>
    <w:rsid w:val="00B73CC1"/>
    <w:rsid w:val="00B74297"/>
    <w:rsid w:val="00B742C7"/>
    <w:rsid w:val="00B74513"/>
    <w:rsid w:val="00B74D6B"/>
    <w:rsid w:val="00B75227"/>
    <w:rsid w:val="00B75BEC"/>
    <w:rsid w:val="00B75DCF"/>
    <w:rsid w:val="00B76507"/>
    <w:rsid w:val="00B768CB"/>
    <w:rsid w:val="00B774C7"/>
    <w:rsid w:val="00B7773C"/>
    <w:rsid w:val="00B7788A"/>
    <w:rsid w:val="00B77FA8"/>
    <w:rsid w:val="00B802E5"/>
    <w:rsid w:val="00B809D4"/>
    <w:rsid w:val="00B8133B"/>
    <w:rsid w:val="00B81390"/>
    <w:rsid w:val="00B8183D"/>
    <w:rsid w:val="00B81B9A"/>
    <w:rsid w:val="00B832A7"/>
    <w:rsid w:val="00B8415A"/>
    <w:rsid w:val="00B8445F"/>
    <w:rsid w:val="00B84A0E"/>
    <w:rsid w:val="00B84F16"/>
    <w:rsid w:val="00B85BE8"/>
    <w:rsid w:val="00B85C74"/>
    <w:rsid w:val="00B86842"/>
    <w:rsid w:val="00B86C1A"/>
    <w:rsid w:val="00B90031"/>
    <w:rsid w:val="00B90A5F"/>
    <w:rsid w:val="00B90C23"/>
    <w:rsid w:val="00B9118A"/>
    <w:rsid w:val="00B914CC"/>
    <w:rsid w:val="00B9150A"/>
    <w:rsid w:val="00B91CEF"/>
    <w:rsid w:val="00B92BA9"/>
    <w:rsid w:val="00B92BC2"/>
    <w:rsid w:val="00B92EB8"/>
    <w:rsid w:val="00B93DBC"/>
    <w:rsid w:val="00B94274"/>
    <w:rsid w:val="00B94496"/>
    <w:rsid w:val="00B94866"/>
    <w:rsid w:val="00B94BAF"/>
    <w:rsid w:val="00B953E8"/>
    <w:rsid w:val="00B95AA6"/>
    <w:rsid w:val="00B95EAA"/>
    <w:rsid w:val="00B95F12"/>
    <w:rsid w:val="00B96346"/>
    <w:rsid w:val="00B964CF"/>
    <w:rsid w:val="00BA021A"/>
    <w:rsid w:val="00BA082A"/>
    <w:rsid w:val="00BA0A23"/>
    <w:rsid w:val="00BA12E4"/>
    <w:rsid w:val="00BA1639"/>
    <w:rsid w:val="00BA19F1"/>
    <w:rsid w:val="00BA1A4A"/>
    <w:rsid w:val="00BA1B3A"/>
    <w:rsid w:val="00BA1FF7"/>
    <w:rsid w:val="00BA23EB"/>
    <w:rsid w:val="00BA2763"/>
    <w:rsid w:val="00BA2876"/>
    <w:rsid w:val="00BA29DB"/>
    <w:rsid w:val="00BA2B70"/>
    <w:rsid w:val="00BA32B2"/>
    <w:rsid w:val="00BA32BA"/>
    <w:rsid w:val="00BA3C89"/>
    <w:rsid w:val="00BA4630"/>
    <w:rsid w:val="00BA4C1C"/>
    <w:rsid w:val="00BA4DB1"/>
    <w:rsid w:val="00BA5068"/>
    <w:rsid w:val="00BA7379"/>
    <w:rsid w:val="00BA76A1"/>
    <w:rsid w:val="00BA776F"/>
    <w:rsid w:val="00BA7DCF"/>
    <w:rsid w:val="00BA7E20"/>
    <w:rsid w:val="00BA7F1C"/>
    <w:rsid w:val="00BB005C"/>
    <w:rsid w:val="00BB01BE"/>
    <w:rsid w:val="00BB01E9"/>
    <w:rsid w:val="00BB04C4"/>
    <w:rsid w:val="00BB0D02"/>
    <w:rsid w:val="00BB0DE4"/>
    <w:rsid w:val="00BB1134"/>
    <w:rsid w:val="00BB1CCE"/>
    <w:rsid w:val="00BB263B"/>
    <w:rsid w:val="00BB2B70"/>
    <w:rsid w:val="00BB327E"/>
    <w:rsid w:val="00BB33F0"/>
    <w:rsid w:val="00BB3417"/>
    <w:rsid w:val="00BB3932"/>
    <w:rsid w:val="00BB3CCC"/>
    <w:rsid w:val="00BB3EBC"/>
    <w:rsid w:val="00BB4D31"/>
    <w:rsid w:val="00BB5266"/>
    <w:rsid w:val="00BB5369"/>
    <w:rsid w:val="00BB541B"/>
    <w:rsid w:val="00BB541C"/>
    <w:rsid w:val="00BB5CA0"/>
    <w:rsid w:val="00BB5DE8"/>
    <w:rsid w:val="00BB5DFB"/>
    <w:rsid w:val="00BB60F4"/>
    <w:rsid w:val="00BB616D"/>
    <w:rsid w:val="00BB642E"/>
    <w:rsid w:val="00BB657A"/>
    <w:rsid w:val="00BB690D"/>
    <w:rsid w:val="00BB7726"/>
    <w:rsid w:val="00BB7885"/>
    <w:rsid w:val="00BB7CD2"/>
    <w:rsid w:val="00BC13E4"/>
    <w:rsid w:val="00BC156D"/>
    <w:rsid w:val="00BC1AED"/>
    <w:rsid w:val="00BC1D1F"/>
    <w:rsid w:val="00BC1E2B"/>
    <w:rsid w:val="00BC269E"/>
    <w:rsid w:val="00BC3B56"/>
    <w:rsid w:val="00BC3DC3"/>
    <w:rsid w:val="00BC3EFB"/>
    <w:rsid w:val="00BC4025"/>
    <w:rsid w:val="00BC4F73"/>
    <w:rsid w:val="00BC5326"/>
    <w:rsid w:val="00BC5B61"/>
    <w:rsid w:val="00BC619B"/>
    <w:rsid w:val="00BC634A"/>
    <w:rsid w:val="00BC6BE2"/>
    <w:rsid w:val="00BD11BE"/>
    <w:rsid w:val="00BD19A0"/>
    <w:rsid w:val="00BD27F1"/>
    <w:rsid w:val="00BD2DDE"/>
    <w:rsid w:val="00BD355B"/>
    <w:rsid w:val="00BD38F0"/>
    <w:rsid w:val="00BD434C"/>
    <w:rsid w:val="00BD4B1E"/>
    <w:rsid w:val="00BD53A3"/>
    <w:rsid w:val="00BD5454"/>
    <w:rsid w:val="00BD5A39"/>
    <w:rsid w:val="00BD5A87"/>
    <w:rsid w:val="00BD5C1D"/>
    <w:rsid w:val="00BD6522"/>
    <w:rsid w:val="00BD6A63"/>
    <w:rsid w:val="00BD704A"/>
    <w:rsid w:val="00BD7138"/>
    <w:rsid w:val="00BD75D6"/>
    <w:rsid w:val="00BD77FE"/>
    <w:rsid w:val="00BD7A36"/>
    <w:rsid w:val="00BE0303"/>
    <w:rsid w:val="00BE0335"/>
    <w:rsid w:val="00BE042C"/>
    <w:rsid w:val="00BE08FE"/>
    <w:rsid w:val="00BE099C"/>
    <w:rsid w:val="00BE0A34"/>
    <w:rsid w:val="00BE0BAB"/>
    <w:rsid w:val="00BE15D6"/>
    <w:rsid w:val="00BE1642"/>
    <w:rsid w:val="00BE19DB"/>
    <w:rsid w:val="00BE2608"/>
    <w:rsid w:val="00BE2D78"/>
    <w:rsid w:val="00BE32CB"/>
    <w:rsid w:val="00BE355E"/>
    <w:rsid w:val="00BE3560"/>
    <w:rsid w:val="00BE386F"/>
    <w:rsid w:val="00BE4429"/>
    <w:rsid w:val="00BE4964"/>
    <w:rsid w:val="00BE501F"/>
    <w:rsid w:val="00BE5BFF"/>
    <w:rsid w:val="00BE5FF5"/>
    <w:rsid w:val="00BE6136"/>
    <w:rsid w:val="00BE623A"/>
    <w:rsid w:val="00BE6256"/>
    <w:rsid w:val="00BE6374"/>
    <w:rsid w:val="00BE6D66"/>
    <w:rsid w:val="00BE6E27"/>
    <w:rsid w:val="00BE7215"/>
    <w:rsid w:val="00BE78DB"/>
    <w:rsid w:val="00BE7FB3"/>
    <w:rsid w:val="00BF00AC"/>
    <w:rsid w:val="00BF0951"/>
    <w:rsid w:val="00BF0E2C"/>
    <w:rsid w:val="00BF1219"/>
    <w:rsid w:val="00BF237C"/>
    <w:rsid w:val="00BF23CC"/>
    <w:rsid w:val="00BF25BD"/>
    <w:rsid w:val="00BF2D2F"/>
    <w:rsid w:val="00BF50F4"/>
    <w:rsid w:val="00BF5291"/>
    <w:rsid w:val="00BF5E85"/>
    <w:rsid w:val="00BF6062"/>
    <w:rsid w:val="00BF655E"/>
    <w:rsid w:val="00BF70CB"/>
    <w:rsid w:val="00BF732C"/>
    <w:rsid w:val="00C02282"/>
    <w:rsid w:val="00C02C5F"/>
    <w:rsid w:val="00C02CF4"/>
    <w:rsid w:val="00C03288"/>
    <w:rsid w:val="00C03B1A"/>
    <w:rsid w:val="00C0474D"/>
    <w:rsid w:val="00C04EA3"/>
    <w:rsid w:val="00C04F14"/>
    <w:rsid w:val="00C05075"/>
    <w:rsid w:val="00C050D8"/>
    <w:rsid w:val="00C0525F"/>
    <w:rsid w:val="00C053E0"/>
    <w:rsid w:val="00C05BB0"/>
    <w:rsid w:val="00C06354"/>
    <w:rsid w:val="00C066E0"/>
    <w:rsid w:val="00C07BF4"/>
    <w:rsid w:val="00C1151C"/>
    <w:rsid w:val="00C115E2"/>
    <w:rsid w:val="00C11DCD"/>
    <w:rsid w:val="00C12164"/>
    <w:rsid w:val="00C12BC5"/>
    <w:rsid w:val="00C12C9A"/>
    <w:rsid w:val="00C133B2"/>
    <w:rsid w:val="00C133D9"/>
    <w:rsid w:val="00C135FE"/>
    <w:rsid w:val="00C13647"/>
    <w:rsid w:val="00C138BD"/>
    <w:rsid w:val="00C13931"/>
    <w:rsid w:val="00C14629"/>
    <w:rsid w:val="00C15950"/>
    <w:rsid w:val="00C1595B"/>
    <w:rsid w:val="00C15A04"/>
    <w:rsid w:val="00C16088"/>
    <w:rsid w:val="00C16286"/>
    <w:rsid w:val="00C16591"/>
    <w:rsid w:val="00C1694C"/>
    <w:rsid w:val="00C16BF5"/>
    <w:rsid w:val="00C17AED"/>
    <w:rsid w:val="00C206BD"/>
    <w:rsid w:val="00C20833"/>
    <w:rsid w:val="00C2133E"/>
    <w:rsid w:val="00C2235E"/>
    <w:rsid w:val="00C228D9"/>
    <w:rsid w:val="00C23288"/>
    <w:rsid w:val="00C235BF"/>
    <w:rsid w:val="00C2383B"/>
    <w:rsid w:val="00C242AF"/>
    <w:rsid w:val="00C2487C"/>
    <w:rsid w:val="00C24B92"/>
    <w:rsid w:val="00C24C9C"/>
    <w:rsid w:val="00C24EC3"/>
    <w:rsid w:val="00C25E83"/>
    <w:rsid w:val="00C27070"/>
    <w:rsid w:val="00C2781A"/>
    <w:rsid w:val="00C27A0B"/>
    <w:rsid w:val="00C27C5B"/>
    <w:rsid w:val="00C27EF3"/>
    <w:rsid w:val="00C30832"/>
    <w:rsid w:val="00C30FE9"/>
    <w:rsid w:val="00C314BA"/>
    <w:rsid w:val="00C31EA9"/>
    <w:rsid w:val="00C323A2"/>
    <w:rsid w:val="00C3250A"/>
    <w:rsid w:val="00C3281D"/>
    <w:rsid w:val="00C33204"/>
    <w:rsid w:val="00C33789"/>
    <w:rsid w:val="00C34AB4"/>
    <w:rsid w:val="00C34B00"/>
    <w:rsid w:val="00C351E0"/>
    <w:rsid w:val="00C35B84"/>
    <w:rsid w:val="00C35C79"/>
    <w:rsid w:val="00C3624B"/>
    <w:rsid w:val="00C368A5"/>
    <w:rsid w:val="00C36AA0"/>
    <w:rsid w:val="00C36AA7"/>
    <w:rsid w:val="00C36EAD"/>
    <w:rsid w:val="00C37053"/>
    <w:rsid w:val="00C370F7"/>
    <w:rsid w:val="00C371CE"/>
    <w:rsid w:val="00C375E7"/>
    <w:rsid w:val="00C3767C"/>
    <w:rsid w:val="00C40BC5"/>
    <w:rsid w:val="00C40C3E"/>
    <w:rsid w:val="00C41010"/>
    <w:rsid w:val="00C41206"/>
    <w:rsid w:val="00C418D2"/>
    <w:rsid w:val="00C42099"/>
    <w:rsid w:val="00C42170"/>
    <w:rsid w:val="00C424B9"/>
    <w:rsid w:val="00C425D2"/>
    <w:rsid w:val="00C427A9"/>
    <w:rsid w:val="00C42BEA"/>
    <w:rsid w:val="00C434E8"/>
    <w:rsid w:val="00C4392D"/>
    <w:rsid w:val="00C43A13"/>
    <w:rsid w:val="00C44F31"/>
    <w:rsid w:val="00C453AD"/>
    <w:rsid w:val="00C4545F"/>
    <w:rsid w:val="00C45C5F"/>
    <w:rsid w:val="00C45E64"/>
    <w:rsid w:val="00C4604A"/>
    <w:rsid w:val="00C466E3"/>
    <w:rsid w:val="00C46C7B"/>
    <w:rsid w:val="00C46E90"/>
    <w:rsid w:val="00C505E7"/>
    <w:rsid w:val="00C50663"/>
    <w:rsid w:val="00C50920"/>
    <w:rsid w:val="00C50D08"/>
    <w:rsid w:val="00C51C14"/>
    <w:rsid w:val="00C527A7"/>
    <w:rsid w:val="00C529D7"/>
    <w:rsid w:val="00C530DD"/>
    <w:rsid w:val="00C53203"/>
    <w:rsid w:val="00C532B5"/>
    <w:rsid w:val="00C5355E"/>
    <w:rsid w:val="00C53826"/>
    <w:rsid w:val="00C53A0C"/>
    <w:rsid w:val="00C54080"/>
    <w:rsid w:val="00C54E47"/>
    <w:rsid w:val="00C558E6"/>
    <w:rsid w:val="00C55E6D"/>
    <w:rsid w:val="00C563CB"/>
    <w:rsid w:val="00C56467"/>
    <w:rsid w:val="00C570F1"/>
    <w:rsid w:val="00C571B2"/>
    <w:rsid w:val="00C57558"/>
    <w:rsid w:val="00C5797F"/>
    <w:rsid w:val="00C57EDC"/>
    <w:rsid w:val="00C609F4"/>
    <w:rsid w:val="00C60C12"/>
    <w:rsid w:val="00C60CFC"/>
    <w:rsid w:val="00C61267"/>
    <w:rsid w:val="00C6192A"/>
    <w:rsid w:val="00C61FFE"/>
    <w:rsid w:val="00C62402"/>
    <w:rsid w:val="00C62838"/>
    <w:rsid w:val="00C629CC"/>
    <w:rsid w:val="00C62CF0"/>
    <w:rsid w:val="00C62D42"/>
    <w:rsid w:val="00C630B9"/>
    <w:rsid w:val="00C6372F"/>
    <w:rsid w:val="00C63AE2"/>
    <w:rsid w:val="00C63CBF"/>
    <w:rsid w:val="00C6401D"/>
    <w:rsid w:val="00C64A4D"/>
    <w:rsid w:val="00C65073"/>
    <w:rsid w:val="00C65440"/>
    <w:rsid w:val="00C66033"/>
    <w:rsid w:val="00C6636B"/>
    <w:rsid w:val="00C668A3"/>
    <w:rsid w:val="00C66952"/>
    <w:rsid w:val="00C6705C"/>
    <w:rsid w:val="00C67DB5"/>
    <w:rsid w:val="00C70632"/>
    <w:rsid w:val="00C70CE8"/>
    <w:rsid w:val="00C712D1"/>
    <w:rsid w:val="00C71E72"/>
    <w:rsid w:val="00C72534"/>
    <w:rsid w:val="00C729CE"/>
    <w:rsid w:val="00C72DB7"/>
    <w:rsid w:val="00C7391A"/>
    <w:rsid w:val="00C73DCA"/>
    <w:rsid w:val="00C752E7"/>
    <w:rsid w:val="00C753BC"/>
    <w:rsid w:val="00C75676"/>
    <w:rsid w:val="00C757F0"/>
    <w:rsid w:val="00C75FE3"/>
    <w:rsid w:val="00C7632C"/>
    <w:rsid w:val="00C76985"/>
    <w:rsid w:val="00C769DE"/>
    <w:rsid w:val="00C76E92"/>
    <w:rsid w:val="00C76EE2"/>
    <w:rsid w:val="00C772EB"/>
    <w:rsid w:val="00C773F0"/>
    <w:rsid w:val="00C777CB"/>
    <w:rsid w:val="00C77E6A"/>
    <w:rsid w:val="00C80073"/>
    <w:rsid w:val="00C8049E"/>
    <w:rsid w:val="00C811C7"/>
    <w:rsid w:val="00C815CE"/>
    <w:rsid w:val="00C8166D"/>
    <w:rsid w:val="00C81B39"/>
    <w:rsid w:val="00C81C14"/>
    <w:rsid w:val="00C81D7F"/>
    <w:rsid w:val="00C81FD2"/>
    <w:rsid w:val="00C8282C"/>
    <w:rsid w:val="00C8306A"/>
    <w:rsid w:val="00C83D1D"/>
    <w:rsid w:val="00C8467F"/>
    <w:rsid w:val="00C84E1A"/>
    <w:rsid w:val="00C85118"/>
    <w:rsid w:val="00C85B58"/>
    <w:rsid w:val="00C86B2F"/>
    <w:rsid w:val="00C8790B"/>
    <w:rsid w:val="00C879C7"/>
    <w:rsid w:val="00C90DC0"/>
    <w:rsid w:val="00C913BF"/>
    <w:rsid w:val="00C92362"/>
    <w:rsid w:val="00C92C06"/>
    <w:rsid w:val="00C93983"/>
    <w:rsid w:val="00C93C39"/>
    <w:rsid w:val="00C9400C"/>
    <w:rsid w:val="00C94768"/>
    <w:rsid w:val="00C94A25"/>
    <w:rsid w:val="00C94C78"/>
    <w:rsid w:val="00C95602"/>
    <w:rsid w:val="00C95B08"/>
    <w:rsid w:val="00C9646D"/>
    <w:rsid w:val="00C969C9"/>
    <w:rsid w:val="00C974F4"/>
    <w:rsid w:val="00C97B28"/>
    <w:rsid w:val="00C97CFD"/>
    <w:rsid w:val="00CA0242"/>
    <w:rsid w:val="00CA0F74"/>
    <w:rsid w:val="00CA1045"/>
    <w:rsid w:val="00CA1C4F"/>
    <w:rsid w:val="00CA24F1"/>
    <w:rsid w:val="00CA278F"/>
    <w:rsid w:val="00CA2C81"/>
    <w:rsid w:val="00CA3241"/>
    <w:rsid w:val="00CA3BA4"/>
    <w:rsid w:val="00CA3BDB"/>
    <w:rsid w:val="00CA4E88"/>
    <w:rsid w:val="00CA4F39"/>
    <w:rsid w:val="00CA4FB2"/>
    <w:rsid w:val="00CA5185"/>
    <w:rsid w:val="00CA5310"/>
    <w:rsid w:val="00CA59E0"/>
    <w:rsid w:val="00CA6054"/>
    <w:rsid w:val="00CA64BA"/>
    <w:rsid w:val="00CA6EEB"/>
    <w:rsid w:val="00CA70EE"/>
    <w:rsid w:val="00CA74B5"/>
    <w:rsid w:val="00CB0597"/>
    <w:rsid w:val="00CB06FB"/>
    <w:rsid w:val="00CB07A8"/>
    <w:rsid w:val="00CB09DD"/>
    <w:rsid w:val="00CB0B24"/>
    <w:rsid w:val="00CB0F20"/>
    <w:rsid w:val="00CB1861"/>
    <w:rsid w:val="00CB1D5F"/>
    <w:rsid w:val="00CB215E"/>
    <w:rsid w:val="00CB24F6"/>
    <w:rsid w:val="00CB377F"/>
    <w:rsid w:val="00CB3E5C"/>
    <w:rsid w:val="00CB3E8B"/>
    <w:rsid w:val="00CB3F91"/>
    <w:rsid w:val="00CB4229"/>
    <w:rsid w:val="00CB487F"/>
    <w:rsid w:val="00CB537D"/>
    <w:rsid w:val="00CB698D"/>
    <w:rsid w:val="00CB78BD"/>
    <w:rsid w:val="00CB7E48"/>
    <w:rsid w:val="00CC0554"/>
    <w:rsid w:val="00CC0AB1"/>
    <w:rsid w:val="00CC0F1D"/>
    <w:rsid w:val="00CC1034"/>
    <w:rsid w:val="00CC1AC5"/>
    <w:rsid w:val="00CC1D15"/>
    <w:rsid w:val="00CC1E5A"/>
    <w:rsid w:val="00CC213C"/>
    <w:rsid w:val="00CC237E"/>
    <w:rsid w:val="00CC394E"/>
    <w:rsid w:val="00CC4121"/>
    <w:rsid w:val="00CC434A"/>
    <w:rsid w:val="00CC499A"/>
    <w:rsid w:val="00CC4D70"/>
    <w:rsid w:val="00CC5E3C"/>
    <w:rsid w:val="00CC66A4"/>
    <w:rsid w:val="00CC6DAF"/>
    <w:rsid w:val="00CC6F05"/>
    <w:rsid w:val="00CC70CE"/>
    <w:rsid w:val="00CC72AD"/>
    <w:rsid w:val="00CC75FD"/>
    <w:rsid w:val="00CD047C"/>
    <w:rsid w:val="00CD1178"/>
    <w:rsid w:val="00CD16B7"/>
    <w:rsid w:val="00CD1818"/>
    <w:rsid w:val="00CD2720"/>
    <w:rsid w:val="00CD286B"/>
    <w:rsid w:val="00CD2CB6"/>
    <w:rsid w:val="00CD3204"/>
    <w:rsid w:val="00CD3984"/>
    <w:rsid w:val="00CD4670"/>
    <w:rsid w:val="00CD4BE3"/>
    <w:rsid w:val="00CD4D73"/>
    <w:rsid w:val="00CD4E03"/>
    <w:rsid w:val="00CD598E"/>
    <w:rsid w:val="00CD6119"/>
    <w:rsid w:val="00CD651F"/>
    <w:rsid w:val="00CD6A8C"/>
    <w:rsid w:val="00CD6B6F"/>
    <w:rsid w:val="00CD6C64"/>
    <w:rsid w:val="00CD6CB1"/>
    <w:rsid w:val="00CD6D4B"/>
    <w:rsid w:val="00CD78DD"/>
    <w:rsid w:val="00CD7972"/>
    <w:rsid w:val="00CE05BD"/>
    <w:rsid w:val="00CE05C4"/>
    <w:rsid w:val="00CE13B5"/>
    <w:rsid w:val="00CE17C2"/>
    <w:rsid w:val="00CE226F"/>
    <w:rsid w:val="00CE28AC"/>
    <w:rsid w:val="00CE3325"/>
    <w:rsid w:val="00CE3583"/>
    <w:rsid w:val="00CE378A"/>
    <w:rsid w:val="00CE3AC7"/>
    <w:rsid w:val="00CE405F"/>
    <w:rsid w:val="00CE4069"/>
    <w:rsid w:val="00CE4B85"/>
    <w:rsid w:val="00CE6AAB"/>
    <w:rsid w:val="00CE6D06"/>
    <w:rsid w:val="00CE6EFE"/>
    <w:rsid w:val="00CE70D6"/>
    <w:rsid w:val="00CE7719"/>
    <w:rsid w:val="00CE7766"/>
    <w:rsid w:val="00CE7BA4"/>
    <w:rsid w:val="00CF24A1"/>
    <w:rsid w:val="00CF3824"/>
    <w:rsid w:val="00CF4218"/>
    <w:rsid w:val="00CF47FA"/>
    <w:rsid w:val="00CF53DC"/>
    <w:rsid w:val="00CF5683"/>
    <w:rsid w:val="00CF57CE"/>
    <w:rsid w:val="00CF5833"/>
    <w:rsid w:val="00CF5FEA"/>
    <w:rsid w:val="00CF6802"/>
    <w:rsid w:val="00CF68F9"/>
    <w:rsid w:val="00CF6D1F"/>
    <w:rsid w:val="00CF6FEF"/>
    <w:rsid w:val="00D0068B"/>
    <w:rsid w:val="00D0078A"/>
    <w:rsid w:val="00D00F81"/>
    <w:rsid w:val="00D013C4"/>
    <w:rsid w:val="00D01491"/>
    <w:rsid w:val="00D01B9A"/>
    <w:rsid w:val="00D01DCD"/>
    <w:rsid w:val="00D023BF"/>
    <w:rsid w:val="00D02C44"/>
    <w:rsid w:val="00D035FC"/>
    <w:rsid w:val="00D0375C"/>
    <w:rsid w:val="00D03957"/>
    <w:rsid w:val="00D046F6"/>
    <w:rsid w:val="00D0472B"/>
    <w:rsid w:val="00D04851"/>
    <w:rsid w:val="00D04B87"/>
    <w:rsid w:val="00D0522D"/>
    <w:rsid w:val="00D059CF"/>
    <w:rsid w:val="00D0614E"/>
    <w:rsid w:val="00D064BD"/>
    <w:rsid w:val="00D076F0"/>
    <w:rsid w:val="00D078F8"/>
    <w:rsid w:val="00D079B9"/>
    <w:rsid w:val="00D102DD"/>
    <w:rsid w:val="00D1148A"/>
    <w:rsid w:val="00D11D05"/>
    <w:rsid w:val="00D126D3"/>
    <w:rsid w:val="00D126E3"/>
    <w:rsid w:val="00D12A21"/>
    <w:rsid w:val="00D1349E"/>
    <w:rsid w:val="00D13949"/>
    <w:rsid w:val="00D14F3A"/>
    <w:rsid w:val="00D15C25"/>
    <w:rsid w:val="00D15CEE"/>
    <w:rsid w:val="00D15D85"/>
    <w:rsid w:val="00D16460"/>
    <w:rsid w:val="00D171C0"/>
    <w:rsid w:val="00D177CA"/>
    <w:rsid w:val="00D17ED0"/>
    <w:rsid w:val="00D203B7"/>
    <w:rsid w:val="00D20648"/>
    <w:rsid w:val="00D21954"/>
    <w:rsid w:val="00D22262"/>
    <w:rsid w:val="00D2391A"/>
    <w:rsid w:val="00D23E94"/>
    <w:rsid w:val="00D23EE5"/>
    <w:rsid w:val="00D24259"/>
    <w:rsid w:val="00D24504"/>
    <w:rsid w:val="00D24695"/>
    <w:rsid w:val="00D247B3"/>
    <w:rsid w:val="00D24CBA"/>
    <w:rsid w:val="00D255D4"/>
    <w:rsid w:val="00D26348"/>
    <w:rsid w:val="00D26465"/>
    <w:rsid w:val="00D267FF"/>
    <w:rsid w:val="00D26C8B"/>
    <w:rsid w:val="00D26D5C"/>
    <w:rsid w:val="00D273A7"/>
    <w:rsid w:val="00D27BD8"/>
    <w:rsid w:val="00D308E3"/>
    <w:rsid w:val="00D3160D"/>
    <w:rsid w:val="00D318E5"/>
    <w:rsid w:val="00D31A71"/>
    <w:rsid w:val="00D31B1B"/>
    <w:rsid w:val="00D32069"/>
    <w:rsid w:val="00D32AF5"/>
    <w:rsid w:val="00D32E19"/>
    <w:rsid w:val="00D33044"/>
    <w:rsid w:val="00D3378A"/>
    <w:rsid w:val="00D33AF2"/>
    <w:rsid w:val="00D33CBA"/>
    <w:rsid w:val="00D33E96"/>
    <w:rsid w:val="00D33ED5"/>
    <w:rsid w:val="00D3488B"/>
    <w:rsid w:val="00D35377"/>
    <w:rsid w:val="00D3537B"/>
    <w:rsid w:val="00D35440"/>
    <w:rsid w:val="00D3547D"/>
    <w:rsid w:val="00D359ED"/>
    <w:rsid w:val="00D35F76"/>
    <w:rsid w:val="00D360E1"/>
    <w:rsid w:val="00D3616D"/>
    <w:rsid w:val="00D36647"/>
    <w:rsid w:val="00D36D2B"/>
    <w:rsid w:val="00D37169"/>
    <w:rsid w:val="00D37A70"/>
    <w:rsid w:val="00D37B25"/>
    <w:rsid w:val="00D37F53"/>
    <w:rsid w:val="00D37F90"/>
    <w:rsid w:val="00D40512"/>
    <w:rsid w:val="00D41245"/>
    <w:rsid w:val="00D41371"/>
    <w:rsid w:val="00D4137E"/>
    <w:rsid w:val="00D41438"/>
    <w:rsid w:val="00D41453"/>
    <w:rsid w:val="00D4187F"/>
    <w:rsid w:val="00D41A45"/>
    <w:rsid w:val="00D41DC8"/>
    <w:rsid w:val="00D42E12"/>
    <w:rsid w:val="00D43418"/>
    <w:rsid w:val="00D43B77"/>
    <w:rsid w:val="00D4406A"/>
    <w:rsid w:val="00D449D8"/>
    <w:rsid w:val="00D44B7C"/>
    <w:rsid w:val="00D451E1"/>
    <w:rsid w:val="00D4594B"/>
    <w:rsid w:val="00D45C5E"/>
    <w:rsid w:val="00D45E91"/>
    <w:rsid w:val="00D465B9"/>
    <w:rsid w:val="00D4784E"/>
    <w:rsid w:val="00D479E6"/>
    <w:rsid w:val="00D47D6C"/>
    <w:rsid w:val="00D51D19"/>
    <w:rsid w:val="00D51D87"/>
    <w:rsid w:val="00D52842"/>
    <w:rsid w:val="00D52872"/>
    <w:rsid w:val="00D52BF1"/>
    <w:rsid w:val="00D52CC1"/>
    <w:rsid w:val="00D53E4B"/>
    <w:rsid w:val="00D53F8B"/>
    <w:rsid w:val="00D541C1"/>
    <w:rsid w:val="00D54749"/>
    <w:rsid w:val="00D54753"/>
    <w:rsid w:val="00D5483B"/>
    <w:rsid w:val="00D56229"/>
    <w:rsid w:val="00D565AE"/>
    <w:rsid w:val="00D56655"/>
    <w:rsid w:val="00D566C5"/>
    <w:rsid w:val="00D56F31"/>
    <w:rsid w:val="00D570DF"/>
    <w:rsid w:val="00D57948"/>
    <w:rsid w:val="00D57B84"/>
    <w:rsid w:val="00D57E63"/>
    <w:rsid w:val="00D6011C"/>
    <w:rsid w:val="00D608FB"/>
    <w:rsid w:val="00D616C6"/>
    <w:rsid w:val="00D619E1"/>
    <w:rsid w:val="00D622A2"/>
    <w:rsid w:val="00D63194"/>
    <w:rsid w:val="00D63B51"/>
    <w:rsid w:val="00D63F32"/>
    <w:rsid w:val="00D64002"/>
    <w:rsid w:val="00D641A0"/>
    <w:rsid w:val="00D64E3C"/>
    <w:rsid w:val="00D64F4F"/>
    <w:rsid w:val="00D65659"/>
    <w:rsid w:val="00D65C16"/>
    <w:rsid w:val="00D65ECF"/>
    <w:rsid w:val="00D668AC"/>
    <w:rsid w:val="00D66D57"/>
    <w:rsid w:val="00D6795D"/>
    <w:rsid w:val="00D67994"/>
    <w:rsid w:val="00D679D9"/>
    <w:rsid w:val="00D7065B"/>
    <w:rsid w:val="00D717EB"/>
    <w:rsid w:val="00D71C16"/>
    <w:rsid w:val="00D71D6B"/>
    <w:rsid w:val="00D71EEF"/>
    <w:rsid w:val="00D734AD"/>
    <w:rsid w:val="00D74CBA"/>
    <w:rsid w:val="00D7599D"/>
    <w:rsid w:val="00D76E61"/>
    <w:rsid w:val="00D7786D"/>
    <w:rsid w:val="00D803D0"/>
    <w:rsid w:val="00D80668"/>
    <w:rsid w:val="00D80A4C"/>
    <w:rsid w:val="00D80B01"/>
    <w:rsid w:val="00D80E24"/>
    <w:rsid w:val="00D81621"/>
    <w:rsid w:val="00D81DD4"/>
    <w:rsid w:val="00D82176"/>
    <w:rsid w:val="00D828D5"/>
    <w:rsid w:val="00D82CF1"/>
    <w:rsid w:val="00D82ECA"/>
    <w:rsid w:val="00D83A95"/>
    <w:rsid w:val="00D83C28"/>
    <w:rsid w:val="00D83C3B"/>
    <w:rsid w:val="00D83DB5"/>
    <w:rsid w:val="00D84115"/>
    <w:rsid w:val="00D85417"/>
    <w:rsid w:val="00D856C3"/>
    <w:rsid w:val="00D85D81"/>
    <w:rsid w:val="00D86128"/>
    <w:rsid w:val="00D867C9"/>
    <w:rsid w:val="00D86B49"/>
    <w:rsid w:val="00D87E38"/>
    <w:rsid w:val="00D87EC9"/>
    <w:rsid w:val="00D90C9D"/>
    <w:rsid w:val="00D916F6"/>
    <w:rsid w:val="00D916F7"/>
    <w:rsid w:val="00D91BF3"/>
    <w:rsid w:val="00D93182"/>
    <w:rsid w:val="00D9355D"/>
    <w:rsid w:val="00D94AB8"/>
    <w:rsid w:val="00D95B68"/>
    <w:rsid w:val="00D95F10"/>
    <w:rsid w:val="00D96942"/>
    <w:rsid w:val="00D96B87"/>
    <w:rsid w:val="00D9710E"/>
    <w:rsid w:val="00D971D3"/>
    <w:rsid w:val="00D97368"/>
    <w:rsid w:val="00D97715"/>
    <w:rsid w:val="00DA0247"/>
    <w:rsid w:val="00DA074E"/>
    <w:rsid w:val="00DA07D4"/>
    <w:rsid w:val="00DA0B5F"/>
    <w:rsid w:val="00DA0B68"/>
    <w:rsid w:val="00DA0D47"/>
    <w:rsid w:val="00DA18D4"/>
    <w:rsid w:val="00DA246C"/>
    <w:rsid w:val="00DA2E4B"/>
    <w:rsid w:val="00DA321A"/>
    <w:rsid w:val="00DA3578"/>
    <w:rsid w:val="00DA3770"/>
    <w:rsid w:val="00DA3B6D"/>
    <w:rsid w:val="00DA3C56"/>
    <w:rsid w:val="00DA54C5"/>
    <w:rsid w:val="00DA5B92"/>
    <w:rsid w:val="00DA5DDA"/>
    <w:rsid w:val="00DA6379"/>
    <w:rsid w:val="00DA672C"/>
    <w:rsid w:val="00DA6D5C"/>
    <w:rsid w:val="00DA6DEC"/>
    <w:rsid w:val="00DA789A"/>
    <w:rsid w:val="00DA79A6"/>
    <w:rsid w:val="00DA7D9D"/>
    <w:rsid w:val="00DA7E8C"/>
    <w:rsid w:val="00DA7FC3"/>
    <w:rsid w:val="00DB0872"/>
    <w:rsid w:val="00DB117B"/>
    <w:rsid w:val="00DB1387"/>
    <w:rsid w:val="00DB1389"/>
    <w:rsid w:val="00DB1CC8"/>
    <w:rsid w:val="00DB2195"/>
    <w:rsid w:val="00DB2DA1"/>
    <w:rsid w:val="00DB2EEC"/>
    <w:rsid w:val="00DB2F69"/>
    <w:rsid w:val="00DB3D06"/>
    <w:rsid w:val="00DB4154"/>
    <w:rsid w:val="00DB41FA"/>
    <w:rsid w:val="00DB4222"/>
    <w:rsid w:val="00DB4338"/>
    <w:rsid w:val="00DB46FA"/>
    <w:rsid w:val="00DB48B6"/>
    <w:rsid w:val="00DB507A"/>
    <w:rsid w:val="00DB55CC"/>
    <w:rsid w:val="00DB5BAD"/>
    <w:rsid w:val="00DB5EFF"/>
    <w:rsid w:val="00DB6EDD"/>
    <w:rsid w:val="00DB7226"/>
    <w:rsid w:val="00DB7430"/>
    <w:rsid w:val="00DC0029"/>
    <w:rsid w:val="00DC044F"/>
    <w:rsid w:val="00DC05F7"/>
    <w:rsid w:val="00DC0883"/>
    <w:rsid w:val="00DC08A7"/>
    <w:rsid w:val="00DC0DCA"/>
    <w:rsid w:val="00DC0F49"/>
    <w:rsid w:val="00DC1201"/>
    <w:rsid w:val="00DC1555"/>
    <w:rsid w:val="00DC2C5D"/>
    <w:rsid w:val="00DC3419"/>
    <w:rsid w:val="00DC3575"/>
    <w:rsid w:val="00DC38B3"/>
    <w:rsid w:val="00DC4DD5"/>
    <w:rsid w:val="00DC5092"/>
    <w:rsid w:val="00DC5F94"/>
    <w:rsid w:val="00DC6A11"/>
    <w:rsid w:val="00DC6EA3"/>
    <w:rsid w:val="00DC748F"/>
    <w:rsid w:val="00DC7EC5"/>
    <w:rsid w:val="00DC7F86"/>
    <w:rsid w:val="00DD0155"/>
    <w:rsid w:val="00DD1998"/>
    <w:rsid w:val="00DD1EF4"/>
    <w:rsid w:val="00DD25AF"/>
    <w:rsid w:val="00DD2C12"/>
    <w:rsid w:val="00DD3316"/>
    <w:rsid w:val="00DD3573"/>
    <w:rsid w:val="00DD38FF"/>
    <w:rsid w:val="00DD39B0"/>
    <w:rsid w:val="00DD40BE"/>
    <w:rsid w:val="00DD46FC"/>
    <w:rsid w:val="00DD4A0D"/>
    <w:rsid w:val="00DD5431"/>
    <w:rsid w:val="00DD5715"/>
    <w:rsid w:val="00DD659D"/>
    <w:rsid w:val="00DD6647"/>
    <w:rsid w:val="00DD697D"/>
    <w:rsid w:val="00DD698F"/>
    <w:rsid w:val="00DD70AE"/>
    <w:rsid w:val="00DE00D4"/>
    <w:rsid w:val="00DE0177"/>
    <w:rsid w:val="00DE0E7D"/>
    <w:rsid w:val="00DE2384"/>
    <w:rsid w:val="00DE2C0B"/>
    <w:rsid w:val="00DE3440"/>
    <w:rsid w:val="00DE3AE4"/>
    <w:rsid w:val="00DE5528"/>
    <w:rsid w:val="00DE5601"/>
    <w:rsid w:val="00DE6118"/>
    <w:rsid w:val="00DE6209"/>
    <w:rsid w:val="00DE6A49"/>
    <w:rsid w:val="00DE6BF9"/>
    <w:rsid w:val="00DE6C9A"/>
    <w:rsid w:val="00DE6D19"/>
    <w:rsid w:val="00DE6DDE"/>
    <w:rsid w:val="00DE6F69"/>
    <w:rsid w:val="00DE7D71"/>
    <w:rsid w:val="00DF01E1"/>
    <w:rsid w:val="00DF06E4"/>
    <w:rsid w:val="00DF0C2F"/>
    <w:rsid w:val="00DF0EB9"/>
    <w:rsid w:val="00DF1354"/>
    <w:rsid w:val="00DF2E90"/>
    <w:rsid w:val="00DF3800"/>
    <w:rsid w:val="00DF38F7"/>
    <w:rsid w:val="00DF3E85"/>
    <w:rsid w:val="00DF5777"/>
    <w:rsid w:val="00DF5B28"/>
    <w:rsid w:val="00DF6ADA"/>
    <w:rsid w:val="00DF784A"/>
    <w:rsid w:val="00DF78AD"/>
    <w:rsid w:val="00DF795D"/>
    <w:rsid w:val="00DF7E2C"/>
    <w:rsid w:val="00E00056"/>
    <w:rsid w:val="00E01537"/>
    <w:rsid w:val="00E01550"/>
    <w:rsid w:val="00E023BD"/>
    <w:rsid w:val="00E02934"/>
    <w:rsid w:val="00E0344C"/>
    <w:rsid w:val="00E03700"/>
    <w:rsid w:val="00E038D1"/>
    <w:rsid w:val="00E04064"/>
    <w:rsid w:val="00E043A8"/>
    <w:rsid w:val="00E052B8"/>
    <w:rsid w:val="00E054DD"/>
    <w:rsid w:val="00E06022"/>
    <w:rsid w:val="00E063E3"/>
    <w:rsid w:val="00E06606"/>
    <w:rsid w:val="00E0734F"/>
    <w:rsid w:val="00E07776"/>
    <w:rsid w:val="00E10404"/>
    <w:rsid w:val="00E11315"/>
    <w:rsid w:val="00E1142C"/>
    <w:rsid w:val="00E11459"/>
    <w:rsid w:val="00E11F16"/>
    <w:rsid w:val="00E12311"/>
    <w:rsid w:val="00E12686"/>
    <w:rsid w:val="00E1347B"/>
    <w:rsid w:val="00E139A8"/>
    <w:rsid w:val="00E146AB"/>
    <w:rsid w:val="00E148A1"/>
    <w:rsid w:val="00E14A56"/>
    <w:rsid w:val="00E15662"/>
    <w:rsid w:val="00E158C9"/>
    <w:rsid w:val="00E15BD0"/>
    <w:rsid w:val="00E15EBF"/>
    <w:rsid w:val="00E163B5"/>
    <w:rsid w:val="00E168ED"/>
    <w:rsid w:val="00E16DA2"/>
    <w:rsid w:val="00E174DC"/>
    <w:rsid w:val="00E179CB"/>
    <w:rsid w:val="00E2003F"/>
    <w:rsid w:val="00E2013E"/>
    <w:rsid w:val="00E208B9"/>
    <w:rsid w:val="00E20A5B"/>
    <w:rsid w:val="00E20E86"/>
    <w:rsid w:val="00E21183"/>
    <w:rsid w:val="00E212A0"/>
    <w:rsid w:val="00E21B18"/>
    <w:rsid w:val="00E22B16"/>
    <w:rsid w:val="00E22F30"/>
    <w:rsid w:val="00E23D1C"/>
    <w:rsid w:val="00E246F4"/>
    <w:rsid w:val="00E24C22"/>
    <w:rsid w:val="00E24C67"/>
    <w:rsid w:val="00E24EAF"/>
    <w:rsid w:val="00E255C0"/>
    <w:rsid w:val="00E25D9E"/>
    <w:rsid w:val="00E26051"/>
    <w:rsid w:val="00E262C7"/>
    <w:rsid w:val="00E27017"/>
    <w:rsid w:val="00E300FA"/>
    <w:rsid w:val="00E30990"/>
    <w:rsid w:val="00E31212"/>
    <w:rsid w:val="00E313D8"/>
    <w:rsid w:val="00E319CB"/>
    <w:rsid w:val="00E32014"/>
    <w:rsid w:val="00E3211E"/>
    <w:rsid w:val="00E32618"/>
    <w:rsid w:val="00E335B6"/>
    <w:rsid w:val="00E34575"/>
    <w:rsid w:val="00E34BF1"/>
    <w:rsid w:val="00E354E3"/>
    <w:rsid w:val="00E3608F"/>
    <w:rsid w:val="00E36616"/>
    <w:rsid w:val="00E368E8"/>
    <w:rsid w:val="00E369D8"/>
    <w:rsid w:val="00E37B4A"/>
    <w:rsid w:val="00E4038C"/>
    <w:rsid w:val="00E404F4"/>
    <w:rsid w:val="00E407B9"/>
    <w:rsid w:val="00E40B45"/>
    <w:rsid w:val="00E414FC"/>
    <w:rsid w:val="00E41D4B"/>
    <w:rsid w:val="00E42CDC"/>
    <w:rsid w:val="00E42D46"/>
    <w:rsid w:val="00E43899"/>
    <w:rsid w:val="00E43CB3"/>
    <w:rsid w:val="00E44BE4"/>
    <w:rsid w:val="00E44D77"/>
    <w:rsid w:val="00E44DA8"/>
    <w:rsid w:val="00E44FED"/>
    <w:rsid w:val="00E45886"/>
    <w:rsid w:val="00E45A73"/>
    <w:rsid w:val="00E477ED"/>
    <w:rsid w:val="00E479E7"/>
    <w:rsid w:val="00E47A77"/>
    <w:rsid w:val="00E50CAF"/>
    <w:rsid w:val="00E521E2"/>
    <w:rsid w:val="00E5260F"/>
    <w:rsid w:val="00E532D1"/>
    <w:rsid w:val="00E5334D"/>
    <w:rsid w:val="00E5408D"/>
    <w:rsid w:val="00E54516"/>
    <w:rsid w:val="00E54AEF"/>
    <w:rsid w:val="00E56422"/>
    <w:rsid w:val="00E5682D"/>
    <w:rsid w:val="00E57372"/>
    <w:rsid w:val="00E5780C"/>
    <w:rsid w:val="00E578B0"/>
    <w:rsid w:val="00E57963"/>
    <w:rsid w:val="00E57F57"/>
    <w:rsid w:val="00E6113C"/>
    <w:rsid w:val="00E6117F"/>
    <w:rsid w:val="00E61D39"/>
    <w:rsid w:val="00E6205A"/>
    <w:rsid w:val="00E6268C"/>
    <w:rsid w:val="00E627AE"/>
    <w:rsid w:val="00E627D9"/>
    <w:rsid w:val="00E62837"/>
    <w:rsid w:val="00E63340"/>
    <w:rsid w:val="00E63395"/>
    <w:rsid w:val="00E635A6"/>
    <w:rsid w:val="00E6375D"/>
    <w:rsid w:val="00E63846"/>
    <w:rsid w:val="00E63D50"/>
    <w:rsid w:val="00E63F59"/>
    <w:rsid w:val="00E64C5A"/>
    <w:rsid w:val="00E65477"/>
    <w:rsid w:val="00E65B4E"/>
    <w:rsid w:val="00E669B3"/>
    <w:rsid w:val="00E67FD0"/>
    <w:rsid w:val="00E703F4"/>
    <w:rsid w:val="00E70842"/>
    <w:rsid w:val="00E70FDA"/>
    <w:rsid w:val="00E71E3E"/>
    <w:rsid w:val="00E71FA7"/>
    <w:rsid w:val="00E723D6"/>
    <w:rsid w:val="00E725CE"/>
    <w:rsid w:val="00E72949"/>
    <w:rsid w:val="00E73172"/>
    <w:rsid w:val="00E733B7"/>
    <w:rsid w:val="00E73B9F"/>
    <w:rsid w:val="00E73DBE"/>
    <w:rsid w:val="00E74553"/>
    <w:rsid w:val="00E74B1F"/>
    <w:rsid w:val="00E74C59"/>
    <w:rsid w:val="00E75F6E"/>
    <w:rsid w:val="00E77053"/>
    <w:rsid w:val="00E77256"/>
    <w:rsid w:val="00E776F7"/>
    <w:rsid w:val="00E807AE"/>
    <w:rsid w:val="00E807FD"/>
    <w:rsid w:val="00E80EFD"/>
    <w:rsid w:val="00E821BB"/>
    <w:rsid w:val="00E825F3"/>
    <w:rsid w:val="00E82708"/>
    <w:rsid w:val="00E82861"/>
    <w:rsid w:val="00E8349D"/>
    <w:rsid w:val="00E83663"/>
    <w:rsid w:val="00E844E4"/>
    <w:rsid w:val="00E845BC"/>
    <w:rsid w:val="00E856AF"/>
    <w:rsid w:val="00E85825"/>
    <w:rsid w:val="00E860E9"/>
    <w:rsid w:val="00E878CA"/>
    <w:rsid w:val="00E87A30"/>
    <w:rsid w:val="00E90C1C"/>
    <w:rsid w:val="00E917D0"/>
    <w:rsid w:val="00E919BE"/>
    <w:rsid w:val="00E92959"/>
    <w:rsid w:val="00E92C3F"/>
    <w:rsid w:val="00E92DA2"/>
    <w:rsid w:val="00E93698"/>
    <w:rsid w:val="00E938D2"/>
    <w:rsid w:val="00E94431"/>
    <w:rsid w:val="00E94E10"/>
    <w:rsid w:val="00E94E31"/>
    <w:rsid w:val="00E95CB1"/>
    <w:rsid w:val="00E95D78"/>
    <w:rsid w:val="00E95FF5"/>
    <w:rsid w:val="00E9651D"/>
    <w:rsid w:val="00E96C97"/>
    <w:rsid w:val="00E973DB"/>
    <w:rsid w:val="00E97469"/>
    <w:rsid w:val="00E975A0"/>
    <w:rsid w:val="00E97848"/>
    <w:rsid w:val="00E97C20"/>
    <w:rsid w:val="00EA06EF"/>
    <w:rsid w:val="00EA0C41"/>
    <w:rsid w:val="00EA1136"/>
    <w:rsid w:val="00EA12F4"/>
    <w:rsid w:val="00EA13C1"/>
    <w:rsid w:val="00EA16F0"/>
    <w:rsid w:val="00EA17F0"/>
    <w:rsid w:val="00EA1842"/>
    <w:rsid w:val="00EA18D5"/>
    <w:rsid w:val="00EA1934"/>
    <w:rsid w:val="00EA1C8A"/>
    <w:rsid w:val="00EA20B8"/>
    <w:rsid w:val="00EA284D"/>
    <w:rsid w:val="00EA2CFE"/>
    <w:rsid w:val="00EA3EFE"/>
    <w:rsid w:val="00EA444A"/>
    <w:rsid w:val="00EA503B"/>
    <w:rsid w:val="00EA52D2"/>
    <w:rsid w:val="00EA544C"/>
    <w:rsid w:val="00EA59ED"/>
    <w:rsid w:val="00EA5AD7"/>
    <w:rsid w:val="00EA692F"/>
    <w:rsid w:val="00EA79CB"/>
    <w:rsid w:val="00EA7ACC"/>
    <w:rsid w:val="00EA7CC8"/>
    <w:rsid w:val="00EB003B"/>
    <w:rsid w:val="00EB0909"/>
    <w:rsid w:val="00EB11CA"/>
    <w:rsid w:val="00EB1815"/>
    <w:rsid w:val="00EB188E"/>
    <w:rsid w:val="00EB3AED"/>
    <w:rsid w:val="00EB3B0B"/>
    <w:rsid w:val="00EB4189"/>
    <w:rsid w:val="00EB41C2"/>
    <w:rsid w:val="00EB4A0D"/>
    <w:rsid w:val="00EB4E15"/>
    <w:rsid w:val="00EB6041"/>
    <w:rsid w:val="00EB637A"/>
    <w:rsid w:val="00EB6CC3"/>
    <w:rsid w:val="00EB6D04"/>
    <w:rsid w:val="00EB7073"/>
    <w:rsid w:val="00EB7B50"/>
    <w:rsid w:val="00EC056B"/>
    <w:rsid w:val="00EC0B2D"/>
    <w:rsid w:val="00EC0FF9"/>
    <w:rsid w:val="00EC1254"/>
    <w:rsid w:val="00EC1513"/>
    <w:rsid w:val="00EC1B40"/>
    <w:rsid w:val="00EC2375"/>
    <w:rsid w:val="00EC2A1B"/>
    <w:rsid w:val="00EC2E8D"/>
    <w:rsid w:val="00EC3AFB"/>
    <w:rsid w:val="00EC3D36"/>
    <w:rsid w:val="00EC3DB6"/>
    <w:rsid w:val="00EC4028"/>
    <w:rsid w:val="00EC43F7"/>
    <w:rsid w:val="00EC45D1"/>
    <w:rsid w:val="00EC48DF"/>
    <w:rsid w:val="00EC4D4F"/>
    <w:rsid w:val="00EC4E8A"/>
    <w:rsid w:val="00EC4FE6"/>
    <w:rsid w:val="00EC5544"/>
    <w:rsid w:val="00EC5AFF"/>
    <w:rsid w:val="00EC5BF6"/>
    <w:rsid w:val="00EC6250"/>
    <w:rsid w:val="00EC6424"/>
    <w:rsid w:val="00EC6E50"/>
    <w:rsid w:val="00EC7B81"/>
    <w:rsid w:val="00EC7FE1"/>
    <w:rsid w:val="00ED06FD"/>
    <w:rsid w:val="00ED0923"/>
    <w:rsid w:val="00ED104E"/>
    <w:rsid w:val="00ED1132"/>
    <w:rsid w:val="00ED117A"/>
    <w:rsid w:val="00ED14CE"/>
    <w:rsid w:val="00ED1D88"/>
    <w:rsid w:val="00ED209B"/>
    <w:rsid w:val="00ED225D"/>
    <w:rsid w:val="00ED29D2"/>
    <w:rsid w:val="00ED2D31"/>
    <w:rsid w:val="00ED30D6"/>
    <w:rsid w:val="00ED3984"/>
    <w:rsid w:val="00ED3D63"/>
    <w:rsid w:val="00ED45A5"/>
    <w:rsid w:val="00ED5AC5"/>
    <w:rsid w:val="00ED5DF9"/>
    <w:rsid w:val="00ED5EC5"/>
    <w:rsid w:val="00ED5FCD"/>
    <w:rsid w:val="00ED622A"/>
    <w:rsid w:val="00ED682E"/>
    <w:rsid w:val="00ED6E9F"/>
    <w:rsid w:val="00ED733C"/>
    <w:rsid w:val="00EE01EC"/>
    <w:rsid w:val="00EE0737"/>
    <w:rsid w:val="00EE0A15"/>
    <w:rsid w:val="00EE0A9A"/>
    <w:rsid w:val="00EE0C41"/>
    <w:rsid w:val="00EE15AF"/>
    <w:rsid w:val="00EE1840"/>
    <w:rsid w:val="00EE1E86"/>
    <w:rsid w:val="00EE1FDE"/>
    <w:rsid w:val="00EE28EB"/>
    <w:rsid w:val="00EE35A5"/>
    <w:rsid w:val="00EE3874"/>
    <w:rsid w:val="00EE39CD"/>
    <w:rsid w:val="00EE43CC"/>
    <w:rsid w:val="00EE4BB0"/>
    <w:rsid w:val="00EE56C1"/>
    <w:rsid w:val="00EE591D"/>
    <w:rsid w:val="00EE6561"/>
    <w:rsid w:val="00EE72A7"/>
    <w:rsid w:val="00EE7D86"/>
    <w:rsid w:val="00EF0093"/>
    <w:rsid w:val="00EF1685"/>
    <w:rsid w:val="00EF18F2"/>
    <w:rsid w:val="00EF2251"/>
    <w:rsid w:val="00EF23D7"/>
    <w:rsid w:val="00EF2DCB"/>
    <w:rsid w:val="00EF3112"/>
    <w:rsid w:val="00EF35B3"/>
    <w:rsid w:val="00EF499D"/>
    <w:rsid w:val="00EF4FD8"/>
    <w:rsid w:val="00EF519F"/>
    <w:rsid w:val="00EF5396"/>
    <w:rsid w:val="00EF5558"/>
    <w:rsid w:val="00EF6223"/>
    <w:rsid w:val="00EF6290"/>
    <w:rsid w:val="00EF6334"/>
    <w:rsid w:val="00EF67F4"/>
    <w:rsid w:val="00EF6943"/>
    <w:rsid w:val="00EF7864"/>
    <w:rsid w:val="00EF7CB6"/>
    <w:rsid w:val="00EF7D47"/>
    <w:rsid w:val="00EF7FEB"/>
    <w:rsid w:val="00F0089F"/>
    <w:rsid w:val="00F0093A"/>
    <w:rsid w:val="00F00AB1"/>
    <w:rsid w:val="00F01681"/>
    <w:rsid w:val="00F019D7"/>
    <w:rsid w:val="00F01B4D"/>
    <w:rsid w:val="00F01F41"/>
    <w:rsid w:val="00F02402"/>
    <w:rsid w:val="00F0242C"/>
    <w:rsid w:val="00F02527"/>
    <w:rsid w:val="00F0288C"/>
    <w:rsid w:val="00F028E0"/>
    <w:rsid w:val="00F02A3E"/>
    <w:rsid w:val="00F02C3B"/>
    <w:rsid w:val="00F02D2E"/>
    <w:rsid w:val="00F02E3B"/>
    <w:rsid w:val="00F030F1"/>
    <w:rsid w:val="00F03980"/>
    <w:rsid w:val="00F04644"/>
    <w:rsid w:val="00F046EF"/>
    <w:rsid w:val="00F05EA4"/>
    <w:rsid w:val="00F05ECC"/>
    <w:rsid w:val="00F062F4"/>
    <w:rsid w:val="00F06654"/>
    <w:rsid w:val="00F070BA"/>
    <w:rsid w:val="00F075CF"/>
    <w:rsid w:val="00F07CED"/>
    <w:rsid w:val="00F101CC"/>
    <w:rsid w:val="00F1048A"/>
    <w:rsid w:val="00F11063"/>
    <w:rsid w:val="00F11851"/>
    <w:rsid w:val="00F12014"/>
    <w:rsid w:val="00F135CB"/>
    <w:rsid w:val="00F1375A"/>
    <w:rsid w:val="00F13F74"/>
    <w:rsid w:val="00F145AD"/>
    <w:rsid w:val="00F14F2C"/>
    <w:rsid w:val="00F15805"/>
    <w:rsid w:val="00F159F1"/>
    <w:rsid w:val="00F16B05"/>
    <w:rsid w:val="00F16D3D"/>
    <w:rsid w:val="00F16E42"/>
    <w:rsid w:val="00F172E2"/>
    <w:rsid w:val="00F177EF"/>
    <w:rsid w:val="00F17C1D"/>
    <w:rsid w:val="00F17E9E"/>
    <w:rsid w:val="00F20137"/>
    <w:rsid w:val="00F20D3A"/>
    <w:rsid w:val="00F21981"/>
    <w:rsid w:val="00F21F37"/>
    <w:rsid w:val="00F2263C"/>
    <w:rsid w:val="00F22676"/>
    <w:rsid w:val="00F23403"/>
    <w:rsid w:val="00F23BE7"/>
    <w:rsid w:val="00F23F49"/>
    <w:rsid w:val="00F248DF"/>
    <w:rsid w:val="00F2490C"/>
    <w:rsid w:val="00F25D06"/>
    <w:rsid w:val="00F26691"/>
    <w:rsid w:val="00F26D5F"/>
    <w:rsid w:val="00F2717C"/>
    <w:rsid w:val="00F300A5"/>
    <w:rsid w:val="00F30425"/>
    <w:rsid w:val="00F30451"/>
    <w:rsid w:val="00F30E81"/>
    <w:rsid w:val="00F32316"/>
    <w:rsid w:val="00F32955"/>
    <w:rsid w:val="00F32EF9"/>
    <w:rsid w:val="00F33119"/>
    <w:rsid w:val="00F336DC"/>
    <w:rsid w:val="00F3393F"/>
    <w:rsid w:val="00F33FC9"/>
    <w:rsid w:val="00F3480D"/>
    <w:rsid w:val="00F34F3C"/>
    <w:rsid w:val="00F34F5D"/>
    <w:rsid w:val="00F357C0"/>
    <w:rsid w:val="00F357DA"/>
    <w:rsid w:val="00F36302"/>
    <w:rsid w:val="00F3634A"/>
    <w:rsid w:val="00F36679"/>
    <w:rsid w:val="00F36F37"/>
    <w:rsid w:val="00F37331"/>
    <w:rsid w:val="00F40593"/>
    <w:rsid w:val="00F41901"/>
    <w:rsid w:val="00F41AE1"/>
    <w:rsid w:val="00F42F72"/>
    <w:rsid w:val="00F43085"/>
    <w:rsid w:val="00F43FCC"/>
    <w:rsid w:val="00F447BD"/>
    <w:rsid w:val="00F45016"/>
    <w:rsid w:val="00F4506E"/>
    <w:rsid w:val="00F4513F"/>
    <w:rsid w:val="00F455BD"/>
    <w:rsid w:val="00F45885"/>
    <w:rsid w:val="00F45F60"/>
    <w:rsid w:val="00F46FAE"/>
    <w:rsid w:val="00F47DDD"/>
    <w:rsid w:val="00F517FB"/>
    <w:rsid w:val="00F52365"/>
    <w:rsid w:val="00F523CE"/>
    <w:rsid w:val="00F524C3"/>
    <w:rsid w:val="00F527FB"/>
    <w:rsid w:val="00F53425"/>
    <w:rsid w:val="00F53717"/>
    <w:rsid w:val="00F5407E"/>
    <w:rsid w:val="00F54894"/>
    <w:rsid w:val="00F54C7D"/>
    <w:rsid w:val="00F55032"/>
    <w:rsid w:val="00F557C3"/>
    <w:rsid w:val="00F5673D"/>
    <w:rsid w:val="00F57166"/>
    <w:rsid w:val="00F57AED"/>
    <w:rsid w:val="00F6008E"/>
    <w:rsid w:val="00F6049E"/>
    <w:rsid w:val="00F60D5B"/>
    <w:rsid w:val="00F60DFC"/>
    <w:rsid w:val="00F61AA5"/>
    <w:rsid w:val="00F61EFE"/>
    <w:rsid w:val="00F61F4A"/>
    <w:rsid w:val="00F621E5"/>
    <w:rsid w:val="00F63120"/>
    <w:rsid w:val="00F6384A"/>
    <w:rsid w:val="00F63D57"/>
    <w:rsid w:val="00F63DDD"/>
    <w:rsid w:val="00F6419B"/>
    <w:rsid w:val="00F64641"/>
    <w:rsid w:val="00F65812"/>
    <w:rsid w:val="00F6676E"/>
    <w:rsid w:val="00F669A2"/>
    <w:rsid w:val="00F66BB6"/>
    <w:rsid w:val="00F6741B"/>
    <w:rsid w:val="00F67A23"/>
    <w:rsid w:val="00F67B54"/>
    <w:rsid w:val="00F67B7C"/>
    <w:rsid w:val="00F67FE9"/>
    <w:rsid w:val="00F70320"/>
    <w:rsid w:val="00F704EC"/>
    <w:rsid w:val="00F70D47"/>
    <w:rsid w:val="00F72747"/>
    <w:rsid w:val="00F72933"/>
    <w:rsid w:val="00F72BDD"/>
    <w:rsid w:val="00F732C0"/>
    <w:rsid w:val="00F733ED"/>
    <w:rsid w:val="00F737E2"/>
    <w:rsid w:val="00F738A9"/>
    <w:rsid w:val="00F74348"/>
    <w:rsid w:val="00F74EF5"/>
    <w:rsid w:val="00F74FB8"/>
    <w:rsid w:val="00F7532E"/>
    <w:rsid w:val="00F75599"/>
    <w:rsid w:val="00F758B3"/>
    <w:rsid w:val="00F761E1"/>
    <w:rsid w:val="00F76CAD"/>
    <w:rsid w:val="00F7735E"/>
    <w:rsid w:val="00F773B4"/>
    <w:rsid w:val="00F775BD"/>
    <w:rsid w:val="00F77674"/>
    <w:rsid w:val="00F77915"/>
    <w:rsid w:val="00F77AD5"/>
    <w:rsid w:val="00F77BEB"/>
    <w:rsid w:val="00F80977"/>
    <w:rsid w:val="00F81B2E"/>
    <w:rsid w:val="00F81E12"/>
    <w:rsid w:val="00F83095"/>
    <w:rsid w:val="00F8328F"/>
    <w:rsid w:val="00F83736"/>
    <w:rsid w:val="00F83A86"/>
    <w:rsid w:val="00F83BEE"/>
    <w:rsid w:val="00F8478C"/>
    <w:rsid w:val="00F847DC"/>
    <w:rsid w:val="00F84832"/>
    <w:rsid w:val="00F8574F"/>
    <w:rsid w:val="00F85792"/>
    <w:rsid w:val="00F86F64"/>
    <w:rsid w:val="00F86FA0"/>
    <w:rsid w:val="00F9029A"/>
    <w:rsid w:val="00F910A0"/>
    <w:rsid w:val="00F9118E"/>
    <w:rsid w:val="00F911B2"/>
    <w:rsid w:val="00F918DA"/>
    <w:rsid w:val="00F91D19"/>
    <w:rsid w:val="00F91FB1"/>
    <w:rsid w:val="00F927A9"/>
    <w:rsid w:val="00F93218"/>
    <w:rsid w:val="00F93421"/>
    <w:rsid w:val="00F93509"/>
    <w:rsid w:val="00F93807"/>
    <w:rsid w:val="00F93839"/>
    <w:rsid w:val="00F93E29"/>
    <w:rsid w:val="00F94252"/>
    <w:rsid w:val="00F95B30"/>
    <w:rsid w:val="00F95C88"/>
    <w:rsid w:val="00F9612C"/>
    <w:rsid w:val="00F97323"/>
    <w:rsid w:val="00F9755A"/>
    <w:rsid w:val="00FA0036"/>
    <w:rsid w:val="00FA030A"/>
    <w:rsid w:val="00FA037D"/>
    <w:rsid w:val="00FA0677"/>
    <w:rsid w:val="00FA152D"/>
    <w:rsid w:val="00FA17F6"/>
    <w:rsid w:val="00FA1A0A"/>
    <w:rsid w:val="00FA1C5A"/>
    <w:rsid w:val="00FA2294"/>
    <w:rsid w:val="00FA2BC5"/>
    <w:rsid w:val="00FA2E65"/>
    <w:rsid w:val="00FA342E"/>
    <w:rsid w:val="00FA3F26"/>
    <w:rsid w:val="00FA4387"/>
    <w:rsid w:val="00FA4870"/>
    <w:rsid w:val="00FA4C53"/>
    <w:rsid w:val="00FA5460"/>
    <w:rsid w:val="00FA5780"/>
    <w:rsid w:val="00FA58BA"/>
    <w:rsid w:val="00FA5FAD"/>
    <w:rsid w:val="00FA64AA"/>
    <w:rsid w:val="00FA6EB9"/>
    <w:rsid w:val="00FA7241"/>
    <w:rsid w:val="00FA7463"/>
    <w:rsid w:val="00FA7980"/>
    <w:rsid w:val="00FB028B"/>
    <w:rsid w:val="00FB0973"/>
    <w:rsid w:val="00FB0E14"/>
    <w:rsid w:val="00FB10DA"/>
    <w:rsid w:val="00FB136F"/>
    <w:rsid w:val="00FB19A4"/>
    <w:rsid w:val="00FB1A2C"/>
    <w:rsid w:val="00FB2639"/>
    <w:rsid w:val="00FB2C91"/>
    <w:rsid w:val="00FB2D7D"/>
    <w:rsid w:val="00FB3274"/>
    <w:rsid w:val="00FB3611"/>
    <w:rsid w:val="00FB3B98"/>
    <w:rsid w:val="00FB4260"/>
    <w:rsid w:val="00FB439D"/>
    <w:rsid w:val="00FB4670"/>
    <w:rsid w:val="00FB4C46"/>
    <w:rsid w:val="00FB5382"/>
    <w:rsid w:val="00FB5BC2"/>
    <w:rsid w:val="00FB5EB9"/>
    <w:rsid w:val="00FB62A3"/>
    <w:rsid w:val="00FB6642"/>
    <w:rsid w:val="00FB6839"/>
    <w:rsid w:val="00FB742F"/>
    <w:rsid w:val="00FC0428"/>
    <w:rsid w:val="00FC18E4"/>
    <w:rsid w:val="00FC234D"/>
    <w:rsid w:val="00FC2423"/>
    <w:rsid w:val="00FC25C3"/>
    <w:rsid w:val="00FC3053"/>
    <w:rsid w:val="00FC3192"/>
    <w:rsid w:val="00FC3DC0"/>
    <w:rsid w:val="00FC3F26"/>
    <w:rsid w:val="00FC3F95"/>
    <w:rsid w:val="00FC4E96"/>
    <w:rsid w:val="00FC4FCF"/>
    <w:rsid w:val="00FC58C5"/>
    <w:rsid w:val="00FC5BE9"/>
    <w:rsid w:val="00FC5C38"/>
    <w:rsid w:val="00FC6E03"/>
    <w:rsid w:val="00FC7470"/>
    <w:rsid w:val="00FC765C"/>
    <w:rsid w:val="00FD02E0"/>
    <w:rsid w:val="00FD061F"/>
    <w:rsid w:val="00FD0C19"/>
    <w:rsid w:val="00FD0F66"/>
    <w:rsid w:val="00FD109F"/>
    <w:rsid w:val="00FD141F"/>
    <w:rsid w:val="00FD17A7"/>
    <w:rsid w:val="00FD190C"/>
    <w:rsid w:val="00FD1BBF"/>
    <w:rsid w:val="00FD1F3C"/>
    <w:rsid w:val="00FD242D"/>
    <w:rsid w:val="00FD2E5E"/>
    <w:rsid w:val="00FD30FC"/>
    <w:rsid w:val="00FD4044"/>
    <w:rsid w:val="00FD426D"/>
    <w:rsid w:val="00FD45C0"/>
    <w:rsid w:val="00FD4994"/>
    <w:rsid w:val="00FD4B33"/>
    <w:rsid w:val="00FD4C4E"/>
    <w:rsid w:val="00FD4D20"/>
    <w:rsid w:val="00FD50CA"/>
    <w:rsid w:val="00FD5EEC"/>
    <w:rsid w:val="00FD627C"/>
    <w:rsid w:val="00FD64E1"/>
    <w:rsid w:val="00FD65F9"/>
    <w:rsid w:val="00FD667A"/>
    <w:rsid w:val="00FD679E"/>
    <w:rsid w:val="00FD70AB"/>
    <w:rsid w:val="00FD785A"/>
    <w:rsid w:val="00FD7D8B"/>
    <w:rsid w:val="00FE06B2"/>
    <w:rsid w:val="00FE1351"/>
    <w:rsid w:val="00FE14A8"/>
    <w:rsid w:val="00FE182D"/>
    <w:rsid w:val="00FE22AF"/>
    <w:rsid w:val="00FE2DEB"/>
    <w:rsid w:val="00FE2E82"/>
    <w:rsid w:val="00FE31A8"/>
    <w:rsid w:val="00FE3780"/>
    <w:rsid w:val="00FE389F"/>
    <w:rsid w:val="00FE3B4C"/>
    <w:rsid w:val="00FE3BA6"/>
    <w:rsid w:val="00FE3D2E"/>
    <w:rsid w:val="00FE478E"/>
    <w:rsid w:val="00FE4C0C"/>
    <w:rsid w:val="00FE55C5"/>
    <w:rsid w:val="00FE589C"/>
    <w:rsid w:val="00FE5F78"/>
    <w:rsid w:val="00FE6346"/>
    <w:rsid w:val="00FE6499"/>
    <w:rsid w:val="00FE69BB"/>
    <w:rsid w:val="00FE6B72"/>
    <w:rsid w:val="00FE79C8"/>
    <w:rsid w:val="00FF0A2D"/>
    <w:rsid w:val="00FF14EC"/>
    <w:rsid w:val="00FF173E"/>
    <w:rsid w:val="00FF2646"/>
    <w:rsid w:val="00FF329C"/>
    <w:rsid w:val="00FF3926"/>
    <w:rsid w:val="00FF3AE6"/>
    <w:rsid w:val="00FF4A23"/>
    <w:rsid w:val="00FF4B2F"/>
    <w:rsid w:val="00FF4E88"/>
    <w:rsid w:val="00FF613C"/>
    <w:rsid w:val="00FF62A5"/>
    <w:rsid w:val="00FF6417"/>
    <w:rsid w:val="00FF690B"/>
    <w:rsid w:val="00FF6D8F"/>
    <w:rsid w:val="00FF6E20"/>
    <w:rsid w:val="00FF72D1"/>
    <w:rsid w:val="00FF73D5"/>
    <w:rsid w:val="00FF7657"/>
    <w:rsid w:val="00FF7C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date"/>
  <w:smartTagType w:namespaceuri="urn:schemas-microsoft-com:office:smarttags" w:name="State"/>
  <w:smartTagType w:namespaceuri="urn:schemas-microsoft-com:office:smarttags" w:name="place"/>
  <w:shapeDefaults>
    <o:shapedefaults v:ext="edit" spidmax="2050"/>
    <o:shapelayout v:ext="edit">
      <o:idmap v:ext="edit" data="2"/>
    </o:shapelayout>
  </w:shapeDefaults>
  <w:decimalSymbol w:val="."/>
  <w:listSeparator w:val=","/>
  <w14:docId w14:val="6A7828FB"/>
  <w15:docId w15:val="{6ED3F1CA-06BB-4B68-B5A1-443F91C01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A5D61"/>
    <w:pPr>
      <w:spacing w:after="240"/>
    </w:pPr>
    <w:rPr>
      <w:sz w:val="24"/>
      <w:szCs w:val="24"/>
    </w:rPr>
  </w:style>
  <w:style w:type="paragraph" w:styleId="Heading1">
    <w:name w:val="heading 1"/>
    <w:basedOn w:val="Normal"/>
    <w:next w:val="Normal"/>
    <w:qFormat/>
    <w:rsid w:val="00752CC4"/>
    <w:pPr>
      <w:keepNext/>
      <w:numPr>
        <w:numId w:val="47"/>
      </w:numPr>
      <w:tabs>
        <w:tab w:val="clear" w:pos="810"/>
        <w:tab w:val="num" w:pos="720"/>
      </w:tabs>
      <w:spacing w:before="480"/>
      <w:ind w:left="720"/>
      <w:outlineLvl w:val="0"/>
    </w:pPr>
    <w:rPr>
      <w:rFonts w:ascii="Arial" w:hAnsi="Arial" w:cs="Arial"/>
      <w:b/>
      <w:bCs/>
      <w:kern w:val="32"/>
      <w:sz w:val="48"/>
      <w:szCs w:val="32"/>
    </w:rPr>
  </w:style>
  <w:style w:type="paragraph" w:styleId="Heading2">
    <w:name w:val="heading 2"/>
    <w:basedOn w:val="Normal"/>
    <w:next w:val="Normal"/>
    <w:qFormat/>
    <w:rsid w:val="009E7738"/>
    <w:pPr>
      <w:keepNext/>
      <w:numPr>
        <w:ilvl w:val="1"/>
        <w:numId w:val="47"/>
      </w:numPr>
      <w:tabs>
        <w:tab w:val="clear" w:pos="576"/>
        <w:tab w:val="left" w:pos="720"/>
      </w:tabs>
      <w:spacing w:before="240" w:after="120"/>
      <w:outlineLvl w:val="1"/>
    </w:pPr>
    <w:rPr>
      <w:rFonts w:ascii="Arial" w:hAnsi="Arial" w:cs="Arial"/>
      <w:b/>
      <w:bCs/>
      <w:i/>
      <w:iCs/>
      <w:sz w:val="28"/>
      <w:szCs w:val="28"/>
    </w:rPr>
  </w:style>
  <w:style w:type="paragraph" w:styleId="Heading3">
    <w:name w:val="heading 3"/>
    <w:basedOn w:val="Normal"/>
    <w:next w:val="Normal"/>
    <w:qFormat/>
    <w:rsid w:val="009E7738"/>
    <w:pPr>
      <w:keepNext/>
      <w:numPr>
        <w:ilvl w:val="2"/>
        <w:numId w:val="47"/>
      </w:numPr>
      <w:tabs>
        <w:tab w:val="clear" w:pos="1080"/>
        <w:tab w:val="left" w:pos="864"/>
      </w:tabs>
      <w:spacing w:before="240" w:after="60"/>
      <w:ind w:left="720"/>
      <w:outlineLvl w:val="2"/>
    </w:pPr>
    <w:rPr>
      <w:rFonts w:ascii="Arial" w:hAnsi="Arial" w:cs="Arial"/>
      <w:b/>
      <w:bCs/>
      <w:szCs w:val="26"/>
    </w:rPr>
  </w:style>
  <w:style w:type="paragraph" w:styleId="Heading4">
    <w:name w:val="heading 4"/>
    <w:basedOn w:val="Normal"/>
    <w:next w:val="Normal"/>
    <w:qFormat/>
    <w:rsid w:val="00A64177"/>
    <w:pPr>
      <w:keepNext/>
      <w:numPr>
        <w:ilvl w:val="3"/>
        <w:numId w:val="47"/>
      </w:numPr>
      <w:tabs>
        <w:tab w:val="clear" w:pos="2034"/>
        <w:tab w:val="num" w:pos="864"/>
      </w:tabs>
      <w:spacing w:before="240" w:after="60"/>
      <w:ind w:left="864"/>
      <w:outlineLvl w:val="3"/>
    </w:pPr>
    <w:rPr>
      <w:b/>
      <w:bCs/>
      <w:szCs w:val="28"/>
    </w:rPr>
  </w:style>
  <w:style w:type="paragraph" w:styleId="Heading5">
    <w:name w:val="heading 5"/>
    <w:basedOn w:val="Normal"/>
    <w:next w:val="Normal"/>
    <w:qFormat/>
    <w:rsid w:val="00983C1D"/>
    <w:pPr>
      <w:numPr>
        <w:ilvl w:val="4"/>
        <w:numId w:val="47"/>
      </w:numPr>
      <w:spacing w:before="240" w:after="60"/>
      <w:outlineLvl w:val="4"/>
    </w:pPr>
    <w:rPr>
      <w:b/>
      <w:bCs/>
      <w:i/>
      <w:iCs/>
      <w:sz w:val="26"/>
      <w:szCs w:val="26"/>
    </w:rPr>
  </w:style>
  <w:style w:type="paragraph" w:styleId="Heading6">
    <w:name w:val="heading 6"/>
    <w:basedOn w:val="Normal"/>
    <w:next w:val="Normal"/>
    <w:qFormat/>
    <w:rsid w:val="00983C1D"/>
    <w:pPr>
      <w:numPr>
        <w:ilvl w:val="5"/>
        <w:numId w:val="47"/>
      </w:numPr>
      <w:spacing w:before="240" w:after="60"/>
      <w:outlineLvl w:val="5"/>
    </w:pPr>
    <w:rPr>
      <w:b/>
      <w:bCs/>
      <w:sz w:val="22"/>
      <w:szCs w:val="22"/>
    </w:rPr>
  </w:style>
  <w:style w:type="paragraph" w:styleId="Heading7">
    <w:name w:val="heading 7"/>
    <w:basedOn w:val="Normal"/>
    <w:next w:val="Normal"/>
    <w:qFormat/>
    <w:rsid w:val="00983C1D"/>
    <w:pPr>
      <w:numPr>
        <w:ilvl w:val="6"/>
        <w:numId w:val="47"/>
      </w:numPr>
      <w:spacing w:before="240" w:after="60"/>
      <w:outlineLvl w:val="6"/>
    </w:pPr>
  </w:style>
  <w:style w:type="paragraph" w:styleId="Heading8">
    <w:name w:val="heading 8"/>
    <w:basedOn w:val="Normal"/>
    <w:next w:val="Normal"/>
    <w:qFormat/>
    <w:rsid w:val="00983C1D"/>
    <w:pPr>
      <w:numPr>
        <w:ilvl w:val="7"/>
        <w:numId w:val="47"/>
      </w:numPr>
      <w:spacing w:before="240" w:after="60"/>
      <w:outlineLvl w:val="7"/>
    </w:pPr>
    <w:rPr>
      <w:i/>
      <w:iCs/>
    </w:rPr>
  </w:style>
  <w:style w:type="paragraph" w:styleId="Heading9">
    <w:name w:val="heading 9"/>
    <w:basedOn w:val="Normal"/>
    <w:next w:val="Normal"/>
    <w:qFormat/>
    <w:rsid w:val="00983C1D"/>
    <w:pPr>
      <w:numPr>
        <w:ilvl w:val="8"/>
        <w:numId w:val="47"/>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rsid w:val="00055054"/>
    <w:rPr>
      <w:szCs w:val="20"/>
    </w:rPr>
  </w:style>
  <w:style w:type="character" w:styleId="Hyperlink">
    <w:name w:val="Hyperlink"/>
    <w:basedOn w:val="DefaultParagraphFont"/>
    <w:uiPriority w:val="99"/>
    <w:rsid w:val="00055054"/>
    <w:rPr>
      <w:color w:val="0000FF"/>
      <w:u w:val="single"/>
    </w:rPr>
  </w:style>
  <w:style w:type="paragraph" w:styleId="Header">
    <w:name w:val="header"/>
    <w:basedOn w:val="Normal"/>
    <w:rsid w:val="00055054"/>
    <w:pPr>
      <w:tabs>
        <w:tab w:val="center" w:pos="4320"/>
        <w:tab w:val="right" w:pos="8640"/>
      </w:tabs>
    </w:pPr>
  </w:style>
  <w:style w:type="paragraph" w:styleId="Footer">
    <w:name w:val="footer"/>
    <w:basedOn w:val="Normal"/>
    <w:rsid w:val="00055054"/>
    <w:pPr>
      <w:tabs>
        <w:tab w:val="center" w:pos="4320"/>
        <w:tab w:val="right" w:pos="8640"/>
      </w:tabs>
    </w:pPr>
  </w:style>
  <w:style w:type="paragraph" w:styleId="TOC1">
    <w:name w:val="toc 1"/>
    <w:basedOn w:val="Normal"/>
    <w:next w:val="Normal"/>
    <w:autoRedefine/>
    <w:uiPriority w:val="39"/>
    <w:rsid w:val="00527E86"/>
    <w:pPr>
      <w:spacing w:after="120"/>
    </w:pPr>
    <w:rPr>
      <w:b/>
      <w:caps/>
      <w:sz w:val="22"/>
    </w:rPr>
  </w:style>
  <w:style w:type="paragraph" w:styleId="TOC2">
    <w:name w:val="toc 2"/>
    <w:basedOn w:val="Normal"/>
    <w:next w:val="Normal"/>
    <w:autoRedefine/>
    <w:uiPriority w:val="39"/>
    <w:rsid w:val="00527E86"/>
    <w:pPr>
      <w:spacing w:after="120"/>
      <w:ind w:left="245"/>
    </w:pPr>
    <w:rPr>
      <w:smallCaps/>
      <w:sz w:val="22"/>
    </w:rPr>
  </w:style>
  <w:style w:type="paragraph" w:styleId="TOC3">
    <w:name w:val="toc 3"/>
    <w:basedOn w:val="Normal"/>
    <w:next w:val="Normal"/>
    <w:autoRedefine/>
    <w:uiPriority w:val="39"/>
    <w:rsid w:val="00527E86"/>
    <w:pPr>
      <w:spacing w:after="120"/>
      <w:ind w:left="475"/>
    </w:pPr>
    <w:rPr>
      <w:i/>
      <w:sz w:val="22"/>
    </w:rPr>
  </w:style>
  <w:style w:type="paragraph" w:styleId="TOC4">
    <w:name w:val="toc 4"/>
    <w:basedOn w:val="Normal"/>
    <w:next w:val="Normal"/>
    <w:autoRedefine/>
    <w:uiPriority w:val="39"/>
    <w:rsid w:val="00527E86"/>
    <w:pPr>
      <w:spacing w:after="120"/>
      <w:ind w:left="720"/>
    </w:pPr>
    <w:rPr>
      <w:i/>
      <w:sz w:val="22"/>
    </w:rPr>
  </w:style>
  <w:style w:type="paragraph" w:styleId="TOC5">
    <w:name w:val="toc 5"/>
    <w:basedOn w:val="Normal"/>
    <w:next w:val="Normal"/>
    <w:autoRedefine/>
    <w:semiHidden/>
    <w:rsid w:val="00055054"/>
    <w:pPr>
      <w:ind w:left="960"/>
    </w:pPr>
    <w:rPr>
      <w:sz w:val="18"/>
    </w:rPr>
  </w:style>
  <w:style w:type="paragraph" w:styleId="TOC6">
    <w:name w:val="toc 6"/>
    <w:basedOn w:val="Normal"/>
    <w:next w:val="Normal"/>
    <w:autoRedefine/>
    <w:semiHidden/>
    <w:rsid w:val="00055054"/>
    <w:pPr>
      <w:ind w:left="1200"/>
    </w:pPr>
    <w:rPr>
      <w:sz w:val="18"/>
    </w:rPr>
  </w:style>
  <w:style w:type="paragraph" w:styleId="TOC7">
    <w:name w:val="toc 7"/>
    <w:basedOn w:val="Normal"/>
    <w:next w:val="Normal"/>
    <w:autoRedefine/>
    <w:semiHidden/>
    <w:rsid w:val="00055054"/>
    <w:pPr>
      <w:ind w:left="1440"/>
    </w:pPr>
    <w:rPr>
      <w:sz w:val="18"/>
    </w:rPr>
  </w:style>
  <w:style w:type="paragraph" w:styleId="TOC8">
    <w:name w:val="toc 8"/>
    <w:basedOn w:val="Normal"/>
    <w:next w:val="Normal"/>
    <w:autoRedefine/>
    <w:semiHidden/>
    <w:rsid w:val="00055054"/>
    <w:pPr>
      <w:ind w:left="1680"/>
    </w:pPr>
    <w:rPr>
      <w:sz w:val="18"/>
    </w:rPr>
  </w:style>
  <w:style w:type="paragraph" w:styleId="TOC9">
    <w:name w:val="toc 9"/>
    <w:basedOn w:val="Normal"/>
    <w:next w:val="Normal"/>
    <w:autoRedefine/>
    <w:semiHidden/>
    <w:rsid w:val="00055054"/>
    <w:pPr>
      <w:ind w:left="1920"/>
    </w:pPr>
    <w:rPr>
      <w:sz w:val="18"/>
    </w:rPr>
  </w:style>
  <w:style w:type="character" w:styleId="CommentReference">
    <w:name w:val="annotation reference"/>
    <w:basedOn w:val="DefaultParagraphFont"/>
    <w:rsid w:val="00055054"/>
    <w:rPr>
      <w:sz w:val="16"/>
    </w:rPr>
  </w:style>
  <w:style w:type="paragraph" w:styleId="CommentText">
    <w:name w:val="annotation text"/>
    <w:basedOn w:val="Normal"/>
    <w:link w:val="CommentTextChar"/>
    <w:rsid w:val="00055054"/>
    <w:rPr>
      <w:sz w:val="20"/>
    </w:rPr>
  </w:style>
  <w:style w:type="paragraph" w:styleId="FootnoteText">
    <w:name w:val="footnote text"/>
    <w:basedOn w:val="Normal"/>
    <w:link w:val="FootnoteTextChar"/>
    <w:uiPriority w:val="99"/>
    <w:rsid w:val="009E11A0"/>
    <w:pPr>
      <w:spacing w:after="120"/>
      <w:ind w:left="144" w:hanging="144"/>
    </w:pPr>
    <w:rPr>
      <w:sz w:val="20"/>
    </w:rPr>
  </w:style>
  <w:style w:type="character" w:styleId="FootnoteReference">
    <w:name w:val="footnote reference"/>
    <w:basedOn w:val="DefaultParagraphFont"/>
    <w:uiPriority w:val="99"/>
    <w:rsid w:val="00055054"/>
    <w:rPr>
      <w:vertAlign w:val="superscript"/>
    </w:rPr>
  </w:style>
  <w:style w:type="paragraph" w:styleId="BodyText">
    <w:name w:val="Body Text"/>
    <w:basedOn w:val="Normal"/>
    <w:rsid w:val="00055054"/>
    <w:pPr>
      <w:pBdr>
        <w:top w:val="single" w:sz="4" w:space="1" w:color="auto"/>
        <w:left w:val="single" w:sz="4" w:space="4" w:color="auto"/>
        <w:bottom w:val="single" w:sz="4" w:space="1" w:color="auto"/>
        <w:right w:val="single" w:sz="4" w:space="4" w:color="auto"/>
      </w:pBdr>
    </w:pPr>
    <w:rPr>
      <w:b/>
      <w:snapToGrid w:val="0"/>
    </w:rPr>
  </w:style>
  <w:style w:type="paragraph" w:styleId="BodyText2">
    <w:name w:val="Body Text 2"/>
    <w:basedOn w:val="Normal"/>
    <w:rsid w:val="00055054"/>
    <w:rPr>
      <w:b/>
    </w:rPr>
  </w:style>
  <w:style w:type="paragraph" w:customStyle="1" w:styleId="H2">
    <w:name w:val="H2"/>
    <w:basedOn w:val="Normal"/>
    <w:next w:val="Normal"/>
    <w:rsid w:val="00055054"/>
    <w:pPr>
      <w:keepNext/>
      <w:spacing w:before="100" w:after="100"/>
      <w:outlineLvl w:val="2"/>
    </w:pPr>
    <w:rPr>
      <w:b/>
      <w:snapToGrid w:val="0"/>
      <w:sz w:val="36"/>
    </w:rPr>
  </w:style>
  <w:style w:type="paragraph" w:styleId="BodyText3">
    <w:name w:val="Body Text 3"/>
    <w:basedOn w:val="Normal"/>
    <w:rsid w:val="00055054"/>
    <w:pPr>
      <w:tabs>
        <w:tab w:val="left" w:pos="-1440"/>
        <w:tab w:val="left" w:pos="-720"/>
        <w:tab w:val="left" w:pos="600"/>
        <w:tab w:val="left" w:pos="777"/>
        <w:tab w:val="left" w:pos="921"/>
        <w:tab w:val="left" w:pos="1159"/>
        <w:tab w:val="left" w:pos="1584"/>
        <w:tab w:val="left" w:pos="1728"/>
        <w:tab w:val="left" w:pos="2865"/>
        <w:tab w:val="left" w:pos="3600"/>
      </w:tabs>
      <w:suppressAutoHyphens/>
      <w:jc w:val="both"/>
    </w:pPr>
    <w:rPr>
      <w:snapToGrid w:val="0"/>
    </w:rPr>
  </w:style>
  <w:style w:type="character" w:styleId="FollowedHyperlink">
    <w:name w:val="FollowedHyperlink"/>
    <w:basedOn w:val="DefaultParagraphFont"/>
    <w:rsid w:val="00055054"/>
    <w:rPr>
      <w:color w:val="800080"/>
      <w:u w:val="single"/>
    </w:rPr>
  </w:style>
  <w:style w:type="paragraph" w:styleId="BodyTextIndent">
    <w:name w:val="Body Text Indent"/>
    <w:basedOn w:val="Normal"/>
    <w:rsid w:val="00055054"/>
    <w:pPr>
      <w:ind w:firstLine="720"/>
    </w:pPr>
  </w:style>
  <w:style w:type="paragraph" w:styleId="Caption">
    <w:name w:val="caption"/>
    <w:basedOn w:val="Normal"/>
    <w:next w:val="Normal"/>
    <w:qFormat/>
    <w:rsid w:val="00055054"/>
    <w:pPr>
      <w:spacing w:before="120" w:after="120"/>
    </w:pPr>
    <w:rPr>
      <w:b/>
    </w:rPr>
  </w:style>
  <w:style w:type="paragraph" w:styleId="Subtitle">
    <w:name w:val="Subtitle"/>
    <w:basedOn w:val="Normal"/>
    <w:qFormat/>
    <w:rsid w:val="00055054"/>
    <w:rPr>
      <w:b/>
    </w:rPr>
  </w:style>
  <w:style w:type="paragraph" w:styleId="PlainText">
    <w:name w:val="Plain Text"/>
    <w:basedOn w:val="Normal"/>
    <w:link w:val="PlainTextChar"/>
    <w:rsid w:val="00055054"/>
    <w:rPr>
      <w:rFonts w:ascii="Courier New" w:hAnsi="Courier New"/>
      <w:sz w:val="20"/>
    </w:rPr>
  </w:style>
  <w:style w:type="character" w:styleId="PageNumber">
    <w:name w:val="page number"/>
    <w:basedOn w:val="DefaultParagraphFont"/>
    <w:rsid w:val="00055054"/>
  </w:style>
  <w:style w:type="paragraph" w:styleId="BodyTextIndent2">
    <w:name w:val="Body Text Indent 2"/>
    <w:aliases w:val="Body Text Indent 2 Char"/>
    <w:basedOn w:val="Normal"/>
    <w:link w:val="BodyTextIndent2Char1"/>
    <w:rsid w:val="00055054"/>
    <w:pPr>
      <w:ind w:left="720"/>
    </w:pPr>
    <w:rPr>
      <w:i/>
    </w:rPr>
  </w:style>
  <w:style w:type="paragraph" w:styleId="BodyTextIndent3">
    <w:name w:val="Body Text Indent 3"/>
    <w:basedOn w:val="Normal"/>
    <w:rsid w:val="00055054"/>
    <w:pPr>
      <w:ind w:left="720"/>
    </w:pPr>
    <w:rPr>
      <w:snapToGrid w:val="0"/>
    </w:rPr>
  </w:style>
  <w:style w:type="paragraph" w:styleId="BalloonText">
    <w:name w:val="Balloon Text"/>
    <w:basedOn w:val="Normal"/>
    <w:semiHidden/>
    <w:rsid w:val="007741A7"/>
    <w:rPr>
      <w:rFonts w:ascii="Tahoma" w:hAnsi="Tahoma" w:cs="Tahoma"/>
      <w:sz w:val="16"/>
      <w:szCs w:val="16"/>
    </w:rPr>
  </w:style>
  <w:style w:type="paragraph" w:styleId="CommentSubject">
    <w:name w:val="annotation subject"/>
    <w:basedOn w:val="CommentText"/>
    <w:next w:val="CommentText"/>
    <w:semiHidden/>
    <w:rsid w:val="00C45C5F"/>
    <w:rPr>
      <w:b/>
      <w:bCs/>
      <w:szCs w:val="20"/>
    </w:rPr>
  </w:style>
  <w:style w:type="paragraph" w:customStyle="1" w:styleId="InsideAddressName">
    <w:name w:val="Inside Address Name"/>
    <w:basedOn w:val="Normal"/>
    <w:rsid w:val="00154BE2"/>
    <w:rPr>
      <w:szCs w:val="20"/>
    </w:rPr>
  </w:style>
  <w:style w:type="paragraph" w:customStyle="1" w:styleId="InsideAddress">
    <w:name w:val="Inside Address"/>
    <w:basedOn w:val="Normal"/>
    <w:rsid w:val="00154BE2"/>
    <w:rPr>
      <w:szCs w:val="20"/>
    </w:rPr>
  </w:style>
  <w:style w:type="character" w:customStyle="1" w:styleId="BodyTextIndent2Char1">
    <w:name w:val="Body Text Indent 2 Char1"/>
    <w:aliases w:val="Body Text Indent 2 Char Char"/>
    <w:basedOn w:val="DefaultParagraphFont"/>
    <w:link w:val="BodyTextIndent2"/>
    <w:rsid w:val="004A5FC2"/>
    <w:rPr>
      <w:i/>
      <w:sz w:val="24"/>
      <w:szCs w:val="24"/>
      <w:lang w:val="en-US" w:eastAsia="en-US" w:bidi="ar-SA"/>
    </w:rPr>
  </w:style>
  <w:style w:type="paragraph" w:customStyle="1" w:styleId="StyleHeading1Left0Firstline0">
    <w:name w:val="Style Heading 1 + Left:  0&quot; First line:  0&quot;"/>
    <w:basedOn w:val="Heading1"/>
    <w:rsid w:val="00983C1D"/>
    <w:pPr>
      <w:numPr>
        <w:numId w:val="2"/>
      </w:numPr>
    </w:pPr>
    <w:rPr>
      <w:rFonts w:cs="Times New Roman"/>
      <w:szCs w:val="20"/>
    </w:rPr>
  </w:style>
  <w:style w:type="paragraph" w:styleId="HTMLPreformatted">
    <w:name w:val="HTML Preformatted"/>
    <w:basedOn w:val="Normal"/>
    <w:link w:val="HTMLPreformattedChar"/>
    <w:rsid w:val="003E55CE"/>
    <w:rPr>
      <w:rFonts w:ascii="Consolas" w:hAnsi="Consolas" w:cs="Consolas"/>
      <w:sz w:val="20"/>
      <w:szCs w:val="20"/>
    </w:rPr>
  </w:style>
  <w:style w:type="character" w:customStyle="1" w:styleId="HTMLPreformattedChar">
    <w:name w:val="HTML Preformatted Char"/>
    <w:basedOn w:val="DefaultParagraphFont"/>
    <w:link w:val="HTMLPreformatted"/>
    <w:rsid w:val="003E55CE"/>
    <w:rPr>
      <w:rFonts w:ascii="Consolas" w:hAnsi="Consolas" w:cs="Consolas"/>
    </w:rPr>
  </w:style>
  <w:style w:type="paragraph" w:styleId="ListParagraph">
    <w:name w:val="List Paragraph"/>
    <w:basedOn w:val="Normal"/>
    <w:uiPriority w:val="34"/>
    <w:qFormat/>
    <w:rsid w:val="00822BCF"/>
    <w:pPr>
      <w:ind w:left="720"/>
      <w:contextualSpacing/>
    </w:pPr>
  </w:style>
  <w:style w:type="table" w:styleId="TableGrid">
    <w:name w:val="Table Grid"/>
    <w:basedOn w:val="TableNormal"/>
    <w:rsid w:val="004117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42771"/>
    <w:pPr>
      <w:autoSpaceDE w:val="0"/>
      <w:autoSpaceDN w:val="0"/>
      <w:adjustRightInd w:val="0"/>
    </w:pPr>
    <w:rPr>
      <w:color w:val="000000"/>
      <w:sz w:val="24"/>
      <w:szCs w:val="24"/>
    </w:rPr>
  </w:style>
  <w:style w:type="paragraph" w:styleId="Revision">
    <w:name w:val="Revision"/>
    <w:hidden/>
    <w:uiPriority w:val="99"/>
    <w:semiHidden/>
    <w:rsid w:val="00274CAE"/>
    <w:rPr>
      <w:sz w:val="24"/>
      <w:szCs w:val="24"/>
    </w:rPr>
  </w:style>
  <w:style w:type="character" w:customStyle="1" w:styleId="FootnoteTextChar">
    <w:name w:val="Footnote Text Char"/>
    <w:basedOn w:val="DefaultParagraphFont"/>
    <w:link w:val="FootnoteText"/>
    <w:uiPriority w:val="99"/>
    <w:rsid w:val="009E11A0"/>
    <w:rPr>
      <w:szCs w:val="24"/>
    </w:rPr>
  </w:style>
  <w:style w:type="character" w:customStyle="1" w:styleId="PlainTextChar">
    <w:name w:val="Plain Text Char"/>
    <w:basedOn w:val="DefaultParagraphFont"/>
    <w:link w:val="PlainText"/>
    <w:rsid w:val="00D078F8"/>
    <w:rPr>
      <w:rFonts w:ascii="Courier New" w:hAnsi="Courier New"/>
      <w:szCs w:val="24"/>
    </w:rPr>
  </w:style>
  <w:style w:type="character" w:customStyle="1" w:styleId="CommentTextChar">
    <w:name w:val="Comment Text Char"/>
    <w:basedOn w:val="DefaultParagraphFont"/>
    <w:link w:val="CommentText"/>
    <w:rsid w:val="00D078F8"/>
    <w:rPr>
      <w:szCs w:val="24"/>
    </w:rPr>
  </w:style>
  <w:style w:type="paragraph" w:styleId="DocumentMap">
    <w:name w:val="Document Map"/>
    <w:basedOn w:val="Normal"/>
    <w:link w:val="DocumentMapChar"/>
    <w:semiHidden/>
    <w:unhideWhenUsed/>
    <w:rsid w:val="00284476"/>
    <w:pPr>
      <w:spacing w:after="0"/>
    </w:pPr>
    <w:rPr>
      <w:rFonts w:ascii="Tahoma" w:hAnsi="Tahoma" w:cs="Tahoma"/>
      <w:sz w:val="16"/>
      <w:szCs w:val="16"/>
    </w:rPr>
  </w:style>
  <w:style w:type="character" w:customStyle="1" w:styleId="DocumentMapChar">
    <w:name w:val="Document Map Char"/>
    <w:basedOn w:val="DefaultParagraphFont"/>
    <w:link w:val="DocumentMap"/>
    <w:semiHidden/>
    <w:rsid w:val="00284476"/>
    <w:rPr>
      <w:rFonts w:ascii="Tahoma" w:hAnsi="Tahoma" w:cs="Tahoma"/>
      <w:sz w:val="16"/>
      <w:szCs w:val="16"/>
    </w:rPr>
  </w:style>
  <w:style w:type="paragraph" w:styleId="TableofFigures">
    <w:name w:val="table of figures"/>
    <w:basedOn w:val="Normal"/>
    <w:next w:val="Normal"/>
    <w:uiPriority w:val="99"/>
    <w:unhideWhenUsed/>
    <w:rsid w:val="00AB1E01"/>
    <w:pPr>
      <w:spacing w:after="120"/>
    </w:pPr>
    <w:rPr>
      <w:sz w:val="22"/>
    </w:rPr>
  </w:style>
  <w:style w:type="paragraph" w:customStyle="1" w:styleId="CheckReminder">
    <w:name w:val="Check Reminder"/>
    <w:basedOn w:val="Normal"/>
    <w:link w:val="CheckReminderChar"/>
    <w:qFormat/>
    <w:rsid w:val="00B04032"/>
    <w:pPr>
      <w:numPr>
        <w:numId w:val="14"/>
      </w:numPr>
      <w:ind w:hanging="475"/>
    </w:pPr>
    <w:rPr>
      <w:snapToGrid w:val="0"/>
    </w:rPr>
  </w:style>
  <w:style w:type="paragraph" w:customStyle="1" w:styleId="Level5">
    <w:name w:val="Level 5"/>
    <w:basedOn w:val="Normal"/>
    <w:link w:val="Level5Char"/>
    <w:qFormat/>
    <w:rsid w:val="00B10CF3"/>
    <w:pPr>
      <w:keepNext/>
      <w:spacing w:after="60"/>
    </w:pPr>
    <w:rPr>
      <w:i/>
      <w:snapToGrid w:val="0"/>
      <w:u w:val="single"/>
      <w:lang w:val="it-IT"/>
    </w:rPr>
  </w:style>
  <w:style w:type="character" w:customStyle="1" w:styleId="CheckReminderChar">
    <w:name w:val="Check Reminder Char"/>
    <w:basedOn w:val="DefaultParagraphFont"/>
    <w:link w:val="CheckReminder"/>
    <w:rsid w:val="00B04032"/>
    <w:rPr>
      <w:snapToGrid w:val="0"/>
      <w:sz w:val="24"/>
      <w:szCs w:val="24"/>
    </w:rPr>
  </w:style>
  <w:style w:type="character" w:styleId="Emphasis">
    <w:name w:val="Emphasis"/>
    <w:basedOn w:val="DefaultParagraphFont"/>
    <w:qFormat/>
    <w:rsid w:val="00B10CF3"/>
    <w:rPr>
      <w:i/>
      <w:iCs/>
    </w:rPr>
  </w:style>
  <w:style w:type="character" w:customStyle="1" w:styleId="Level5Char">
    <w:name w:val="Level 5 Char"/>
    <w:basedOn w:val="DefaultParagraphFont"/>
    <w:link w:val="Level5"/>
    <w:rsid w:val="00B10CF3"/>
    <w:rPr>
      <w:i/>
      <w:snapToGrid w:val="0"/>
      <w:sz w:val="24"/>
      <w:szCs w:val="24"/>
      <w:u w:val="single"/>
      <w:lang w:val="it-IT"/>
    </w:rPr>
  </w:style>
  <w:style w:type="paragraph" w:customStyle="1" w:styleId="KeyPoint">
    <w:name w:val="Key Point:"/>
    <w:basedOn w:val="BodyTextIndent2"/>
    <w:link w:val="KeyPointChar"/>
    <w:qFormat/>
    <w:rsid w:val="00167BBA"/>
    <w:pPr>
      <w:keepNext/>
      <w:spacing w:after="120"/>
    </w:pPr>
    <w:rPr>
      <w:snapToGrid w:val="0"/>
    </w:rPr>
  </w:style>
  <w:style w:type="character" w:customStyle="1" w:styleId="KeyPointChar">
    <w:name w:val="Key Point: Char"/>
    <w:basedOn w:val="BodyTextIndent2Char1"/>
    <w:link w:val="KeyPoint"/>
    <w:rsid w:val="00167BBA"/>
    <w:rPr>
      <w:i/>
      <w:snapToGrid w:val="0"/>
      <w:sz w:val="24"/>
      <w:szCs w:val="24"/>
      <w:lang w:val="en-US" w:eastAsia="en-US" w:bidi="ar-SA"/>
    </w:rPr>
  </w:style>
  <w:style w:type="paragraph" w:customStyle="1" w:styleId="MemoTable">
    <w:name w:val="Memo Table"/>
    <w:basedOn w:val="Normal"/>
    <w:next w:val="Normal"/>
    <w:qFormat/>
    <w:rsid w:val="00BE6D66"/>
    <w:pPr>
      <w:keepNext/>
      <w:keepLines/>
      <w:spacing w:after="120"/>
      <w:contextualSpacing/>
      <w:jc w:val="center"/>
    </w:pPr>
    <w:rPr>
      <w:rFonts w:ascii="Times" w:hAnsi="Times"/>
      <w:b/>
      <w:b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779615">
      <w:bodyDiv w:val="1"/>
      <w:marLeft w:val="0"/>
      <w:marRight w:val="0"/>
      <w:marTop w:val="0"/>
      <w:marBottom w:val="0"/>
      <w:divBdr>
        <w:top w:val="none" w:sz="0" w:space="0" w:color="auto"/>
        <w:left w:val="none" w:sz="0" w:space="0" w:color="auto"/>
        <w:bottom w:val="none" w:sz="0" w:space="0" w:color="auto"/>
        <w:right w:val="none" w:sz="0" w:space="0" w:color="auto"/>
      </w:divBdr>
      <w:divsChild>
        <w:div w:id="43338350">
          <w:marLeft w:val="547"/>
          <w:marRight w:val="0"/>
          <w:marTop w:val="134"/>
          <w:marBottom w:val="0"/>
          <w:divBdr>
            <w:top w:val="none" w:sz="0" w:space="0" w:color="auto"/>
            <w:left w:val="none" w:sz="0" w:space="0" w:color="auto"/>
            <w:bottom w:val="none" w:sz="0" w:space="0" w:color="auto"/>
            <w:right w:val="none" w:sz="0" w:space="0" w:color="auto"/>
          </w:divBdr>
        </w:div>
        <w:div w:id="179004105">
          <w:marLeft w:val="1166"/>
          <w:marRight w:val="0"/>
          <w:marTop w:val="115"/>
          <w:marBottom w:val="0"/>
          <w:divBdr>
            <w:top w:val="none" w:sz="0" w:space="0" w:color="auto"/>
            <w:left w:val="none" w:sz="0" w:space="0" w:color="auto"/>
            <w:bottom w:val="none" w:sz="0" w:space="0" w:color="auto"/>
            <w:right w:val="none" w:sz="0" w:space="0" w:color="auto"/>
          </w:divBdr>
        </w:div>
        <w:div w:id="1781299125">
          <w:marLeft w:val="1800"/>
          <w:marRight w:val="0"/>
          <w:marTop w:val="96"/>
          <w:marBottom w:val="0"/>
          <w:divBdr>
            <w:top w:val="none" w:sz="0" w:space="0" w:color="auto"/>
            <w:left w:val="none" w:sz="0" w:space="0" w:color="auto"/>
            <w:bottom w:val="none" w:sz="0" w:space="0" w:color="auto"/>
            <w:right w:val="none" w:sz="0" w:space="0" w:color="auto"/>
          </w:divBdr>
        </w:div>
      </w:divsChild>
    </w:div>
    <w:div w:id="146097055">
      <w:bodyDiv w:val="1"/>
      <w:marLeft w:val="0"/>
      <w:marRight w:val="0"/>
      <w:marTop w:val="0"/>
      <w:marBottom w:val="0"/>
      <w:divBdr>
        <w:top w:val="none" w:sz="0" w:space="0" w:color="auto"/>
        <w:left w:val="none" w:sz="0" w:space="0" w:color="auto"/>
        <w:bottom w:val="none" w:sz="0" w:space="0" w:color="auto"/>
        <w:right w:val="none" w:sz="0" w:space="0" w:color="auto"/>
      </w:divBdr>
    </w:div>
    <w:div w:id="169680610">
      <w:bodyDiv w:val="1"/>
      <w:marLeft w:val="0"/>
      <w:marRight w:val="0"/>
      <w:marTop w:val="0"/>
      <w:marBottom w:val="0"/>
      <w:divBdr>
        <w:top w:val="none" w:sz="0" w:space="0" w:color="auto"/>
        <w:left w:val="none" w:sz="0" w:space="0" w:color="auto"/>
        <w:bottom w:val="none" w:sz="0" w:space="0" w:color="auto"/>
        <w:right w:val="none" w:sz="0" w:space="0" w:color="auto"/>
      </w:divBdr>
    </w:div>
    <w:div w:id="193925988">
      <w:bodyDiv w:val="1"/>
      <w:marLeft w:val="0"/>
      <w:marRight w:val="0"/>
      <w:marTop w:val="0"/>
      <w:marBottom w:val="0"/>
      <w:divBdr>
        <w:top w:val="none" w:sz="0" w:space="0" w:color="auto"/>
        <w:left w:val="none" w:sz="0" w:space="0" w:color="auto"/>
        <w:bottom w:val="none" w:sz="0" w:space="0" w:color="auto"/>
        <w:right w:val="none" w:sz="0" w:space="0" w:color="auto"/>
      </w:divBdr>
    </w:div>
    <w:div w:id="278605812">
      <w:bodyDiv w:val="1"/>
      <w:marLeft w:val="0"/>
      <w:marRight w:val="0"/>
      <w:marTop w:val="0"/>
      <w:marBottom w:val="0"/>
      <w:divBdr>
        <w:top w:val="none" w:sz="0" w:space="0" w:color="auto"/>
        <w:left w:val="none" w:sz="0" w:space="0" w:color="auto"/>
        <w:bottom w:val="none" w:sz="0" w:space="0" w:color="auto"/>
        <w:right w:val="none" w:sz="0" w:space="0" w:color="auto"/>
      </w:divBdr>
    </w:div>
    <w:div w:id="297028108">
      <w:bodyDiv w:val="1"/>
      <w:marLeft w:val="0"/>
      <w:marRight w:val="0"/>
      <w:marTop w:val="0"/>
      <w:marBottom w:val="0"/>
      <w:divBdr>
        <w:top w:val="none" w:sz="0" w:space="0" w:color="auto"/>
        <w:left w:val="none" w:sz="0" w:space="0" w:color="auto"/>
        <w:bottom w:val="none" w:sz="0" w:space="0" w:color="auto"/>
        <w:right w:val="none" w:sz="0" w:space="0" w:color="auto"/>
      </w:divBdr>
    </w:div>
    <w:div w:id="418135834">
      <w:bodyDiv w:val="1"/>
      <w:marLeft w:val="0"/>
      <w:marRight w:val="0"/>
      <w:marTop w:val="0"/>
      <w:marBottom w:val="0"/>
      <w:divBdr>
        <w:top w:val="none" w:sz="0" w:space="0" w:color="auto"/>
        <w:left w:val="none" w:sz="0" w:space="0" w:color="auto"/>
        <w:bottom w:val="none" w:sz="0" w:space="0" w:color="auto"/>
        <w:right w:val="none" w:sz="0" w:space="0" w:color="auto"/>
      </w:divBdr>
    </w:div>
    <w:div w:id="504052519">
      <w:bodyDiv w:val="1"/>
      <w:marLeft w:val="0"/>
      <w:marRight w:val="0"/>
      <w:marTop w:val="0"/>
      <w:marBottom w:val="0"/>
      <w:divBdr>
        <w:top w:val="none" w:sz="0" w:space="0" w:color="auto"/>
        <w:left w:val="none" w:sz="0" w:space="0" w:color="auto"/>
        <w:bottom w:val="none" w:sz="0" w:space="0" w:color="auto"/>
        <w:right w:val="none" w:sz="0" w:space="0" w:color="auto"/>
      </w:divBdr>
    </w:div>
    <w:div w:id="518352789">
      <w:bodyDiv w:val="1"/>
      <w:marLeft w:val="0"/>
      <w:marRight w:val="0"/>
      <w:marTop w:val="0"/>
      <w:marBottom w:val="0"/>
      <w:divBdr>
        <w:top w:val="none" w:sz="0" w:space="0" w:color="auto"/>
        <w:left w:val="none" w:sz="0" w:space="0" w:color="auto"/>
        <w:bottom w:val="none" w:sz="0" w:space="0" w:color="auto"/>
        <w:right w:val="none" w:sz="0" w:space="0" w:color="auto"/>
      </w:divBdr>
    </w:div>
    <w:div w:id="587924650">
      <w:bodyDiv w:val="1"/>
      <w:marLeft w:val="0"/>
      <w:marRight w:val="0"/>
      <w:marTop w:val="0"/>
      <w:marBottom w:val="0"/>
      <w:divBdr>
        <w:top w:val="none" w:sz="0" w:space="0" w:color="auto"/>
        <w:left w:val="none" w:sz="0" w:space="0" w:color="auto"/>
        <w:bottom w:val="none" w:sz="0" w:space="0" w:color="auto"/>
        <w:right w:val="none" w:sz="0" w:space="0" w:color="auto"/>
      </w:divBdr>
    </w:div>
    <w:div w:id="649335097">
      <w:bodyDiv w:val="1"/>
      <w:marLeft w:val="0"/>
      <w:marRight w:val="0"/>
      <w:marTop w:val="0"/>
      <w:marBottom w:val="0"/>
      <w:divBdr>
        <w:top w:val="none" w:sz="0" w:space="0" w:color="auto"/>
        <w:left w:val="none" w:sz="0" w:space="0" w:color="auto"/>
        <w:bottom w:val="none" w:sz="0" w:space="0" w:color="auto"/>
        <w:right w:val="none" w:sz="0" w:space="0" w:color="auto"/>
      </w:divBdr>
    </w:div>
    <w:div w:id="676076837">
      <w:bodyDiv w:val="1"/>
      <w:marLeft w:val="0"/>
      <w:marRight w:val="0"/>
      <w:marTop w:val="0"/>
      <w:marBottom w:val="0"/>
      <w:divBdr>
        <w:top w:val="none" w:sz="0" w:space="0" w:color="auto"/>
        <w:left w:val="none" w:sz="0" w:space="0" w:color="auto"/>
        <w:bottom w:val="none" w:sz="0" w:space="0" w:color="auto"/>
        <w:right w:val="none" w:sz="0" w:space="0" w:color="auto"/>
      </w:divBdr>
    </w:div>
    <w:div w:id="771247525">
      <w:bodyDiv w:val="1"/>
      <w:marLeft w:val="0"/>
      <w:marRight w:val="0"/>
      <w:marTop w:val="0"/>
      <w:marBottom w:val="0"/>
      <w:divBdr>
        <w:top w:val="none" w:sz="0" w:space="0" w:color="auto"/>
        <w:left w:val="none" w:sz="0" w:space="0" w:color="auto"/>
        <w:bottom w:val="none" w:sz="0" w:space="0" w:color="auto"/>
        <w:right w:val="none" w:sz="0" w:space="0" w:color="auto"/>
      </w:divBdr>
      <w:divsChild>
        <w:div w:id="1575243681">
          <w:marLeft w:val="547"/>
          <w:marRight w:val="0"/>
          <w:marTop w:val="134"/>
          <w:marBottom w:val="0"/>
          <w:divBdr>
            <w:top w:val="none" w:sz="0" w:space="0" w:color="auto"/>
            <w:left w:val="none" w:sz="0" w:space="0" w:color="auto"/>
            <w:bottom w:val="none" w:sz="0" w:space="0" w:color="auto"/>
            <w:right w:val="none" w:sz="0" w:space="0" w:color="auto"/>
          </w:divBdr>
        </w:div>
        <w:div w:id="1638292874">
          <w:marLeft w:val="1166"/>
          <w:marRight w:val="0"/>
          <w:marTop w:val="115"/>
          <w:marBottom w:val="0"/>
          <w:divBdr>
            <w:top w:val="none" w:sz="0" w:space="0" w:color="auto"/>
            <w:left w:val="none" w:sz="0" w:space="0" w:color="auto"/>
            <w:bottom w:val="none" w:sz="0" w:space="0" w:color="auto"/>
            <w:right w:val="none" w:sz="0" w:space="0" w:color="auto"/>
          </w:divBdr>
        </w:div>
      </w:divsChild>
    </w:div>
    <w:div w:id="877161265">
      <w:bodyDiv w:val="1"/>
      <w:marLeft w:val="0"/>
      <w:marRight w:val="0"/>
      <w:marTop w:val="0"/>
      <w:marBottom w:val="0"/>
      <w:divBdr>
        <w:top w:val="none" w:sz="0" w:space="0" w:color="auto"/>
        <w:left w:val="none" w:sz="0" w:space="0" w:color="auto"/>
        <w:bottom w:val="none" w:sz="0" w:space="0" w:color="auto"/>
        <w:right w:val="none" w:sz="0" w:space="0" w:color="auto"/>
      </w:divBdr>
    </w:div>
    <w:div w:id="925379783">
      <w:bodyDiv w:val="1"/>
      <w:marLeft w:val="0"/>
      <w:marRight w:val="0"/>
      <w:marTop w:val="0"/>
      <w:marBottom w:val="0"/>
      <w:divBdr>
        <w:top w:val="none" w:sz="0" w:space="0" w:color="auto"/>
        <w:left w:val="none" w:sz="0" w:space="0" w:color="auto"/>
        <w:bottom w:val="none" w:sz="0" w:space="0" w:color="auto"/>
        <w:right w:val="none" w:sz="0" w:space="0" w:color="auto"/>
      </w:divBdr>
    </w:div>
    <w:div w:id="971248441">
      <w:bodyDiv w:val="1"/>
      <w:marLeft w:val="0"/>
      <w:marRight w:val="0"/>
      <w:marTop w:val="0"/>
      <w:marBottom w:val="0"/>
      <w:divBdr>
        <w:top w:val="none" w:sz="0" w:space="0" w:color="auto"/>
        <w:left w:val="none" w:sz="0" w:space="0" w:color="auto"/>
        <w:bottom w:val="none" w:sz="0" w:space="0" w:color="auto"/>
        <w:right w:val="none" w:sz="0" w:space="0" w:color="auto"/>
      </w:divBdr>
    </w:div>
    <w:div w:id="983899128">
      <w:bodyDiv w:val="1"/>
      <w:marLeft w:val="0"/>
      <w:marRight w:val="0"/>
      <w:marTop w:val="0"/>
      <w:marBottom w:val="0"/>
      <w:divBdr>
        <w:top w:val="none" w:sz="0" w:space="0" w:color="auto"/>
        <w:left w:val="none" w:sz="0" w:space="0" w:color="auto"/>
        <w:bottom w:val="none" w:sz="0" w:space="0" w:color="auto"/>
        <w:right w:val="none" w:sz="0" w:space="0" w:color="auto"/>
      </w:divBdr>
    </w:div>
    <w:div w:id="986124736">
      <w:bodyDiv w:val="1"/>
      <w:marLeft w:val="0"/>
      <w:marRight w:val="0"/>
      <w:marTop w:val="0"/>
      <w:marBottom w:val="0"/>
      <w:divBdr>
        <w:top w:val="none" w:sz="0" w:space="0" w:color="auto"/>
        <w:left w:val="none" w:sz="0" w:space="0" w:color="auto"/>
        <w:bottom w:val="none" w:sz="0" w:space="0" w:color="auto"/>
        <w:right w:val="none" w:sz="0" w:space="0" w:color="auto"/>
      </w:divBdr>
    </w:div>
    <w:div w:id="986321676">
      <w:bodyDiv w:val="1"/>
      <w:marLeft w:val="0"/>
      <w:marRight w:val="0"/>
      <w:marTop w:val="0"/>
      <w:marBottom w:val="0"/>
      <w:divBdr>
        <w:top w:val="none" w:sz="0" w:space="0" w:color="auto"/>
        <w:left w:val="none" w:sz="0" w:space="0" w:color="auto"/>
        <w:bottom w:val="none" w:sz="0" w:space="0" w:color="auto"/>
        <w:right w:val="none" w:sz="0" w:space="0" w:color="auto"/>
      </w:divBdr>
    </w:div>
    <w:div w:id="989866749">
      <w:bodyDiv w:val="1"/>
      <w:marLeft w:val="0"/>
      <w:marRight w:val="0"/>
      <w:marTop w:val="0"/>
      <w:marBottom w:val="0"/>
      <w:divBdr>
        <w:top w:val="none" w:sz="0" w:space="0" w:color="auto"/>
        <w:left w:val="none" w:sz="0" w:space="0" w:color="auto"/>
        <w:bottom w:val="none" w:sz="0" w:space="0" w:color="auto"/>
        <w:right w:val="none" w:sz="0" w:space="0" w:color="auto"/>
      </w:divBdr>
    </w:div>
    <w:div w:id="1018850868">
      <w:bodyDiv w:val="1"/>
      <w:marLeft w:val="0"/>
      <w:marRight w:val="0"/>
      <w:marTop w:val="0"/>
      <w:marBottom w:val="0"/>
      <w:divBdr>
        <w:top w:val="none" w:sz="0" w:space="0" w:color="auto"/>
        <w:left w:val="none" w:sz="0" w:space="0" w:color="auto"/>
        <w:bottom w:val="none" w:sz="0" w:space="0" w:color="auto"/>
        <w:right w:val="none" w:sz="0" w:space="0" w:color="auto"/>
      </w:divBdr>
    </w:div>
    <w:div w:id="1140612739">
      <w:bodyDiv w:val="1"/>
      <w:marLeft w:val="0"/>
      <w:marRight w:val="0"/>
      <w:marTop w:val="0"/>
      <w:marBottom w:val="0"/>
      <w:divBdr>
        <w:top w:val="none" w:sz="0" w:space="0" w:color="auto"/>
        <w:left w:val="none" w:sz="0" w:space="0" w:color="auto"/>
        <w:bottom w:val="none" w:sz="0" w:space="0" w:color="auto"/>
        <w:right w:val="none" w:sz="0" w:space="0" w:color="auto"/>
      </w:divBdr>
    </w:div>
    <w:div w:id="1221601632">
      <w:bodyDiv w:val="1"/>
      <w:marLeft w:val="0"/>
      <w:marRight w:val="0"/>
      <w:marTop w:val="0"/>
      <w:marBottom w:val="0"/>
      <w:divBdr>
        <w:top w:val="none" w:sz="0" w:space="0" w:color="auto"/>
        <w:left w:val="none" w:sz="0" w:space="0" w:color="auto"/>
        <w:bottom w:val="none" w:sz="0" w:space="0" w:color="auto"/>
        <w:right w:val="none" w:sz="0" w:space="0" w:color="auto"/>
      </w:divBdr>
    </w:div>
    <w:div w:id="1229264207">
      <w:bodyDiv w:val="1"/>
      <w:marLeft w:val="0"/>
      <w:marRight w:val="0"/>
      <w:marTop w:val="0"/>
      <w:marBottom w:val="0"/>
      <w:divBdr>
        <w:top w:val="none" w:sz="0" w:space="0" w:color="auto"/>
        <w:left w:val="none" w:sz="0" w:space="0" w:color="auto"/>
        <w:bottom w:val="none" w:sz="0" w:space="0" w:color="auto"/>
        <w:right w:val="none" w:sz="0" w:space="0" w:color="auto"/>
      </w:divBdr>
    </w:div>
    <w:div w:id="1281106024">
      <w:bodyDiv w:val="1"/>
      <w:marLeft w:val="0"/>
      <w:marRight w:val="0"/>
      <w:marTop w:val="0"/>
      <w:marBottom w:val="0"/>
      <w:divBdr>
        <w:top w:val="none" w:sz="0" w:space="0" w:color="auto"/>
        <w:left w:val="none" w:sz="0" w:space="0" w:color="auto"/>
        <w:bottom w:val="none" w:sz="0" w:space="0" w:color="auto"/>
        <w:right w:val="none" w:sz="0" w:space="0" w:color="auto"/>
      </w:divBdr>
      <w:divsChild>
        <w:div w:id="248345526">
          <w:marLeft w:val="547"/>
          <w:marRight w:val="0"/>
          <w:marTop w:val="134"/>
          <w:marBottom w:val="0"/>
          <w:divBdr>
            <w:top w:val="none" w:sz="0" w:space="0" w:color="auto"/>
            <w:left w:val="none" w:sz="0" w:space="0" w:color="auto"/>
            <w:bottom w:val="none" w:sz="0" w:space="0" w:color="auto"/>
            <w:right w:val="none" w:sz="0" w:space="0" w:color="auto"/>
          </w:divBdr>
        </w:div>
        <w:div w:id="1024212960">
          <w:marLeft w:val="547"/>
          <w:marRight w:val="0"/>
          <w:marTop w:val="134"/>
          <w:marBottom w:val="0"/>
          <w:divBdr>
            <w:top w:val="none" w:sz="0" w:space="0" w:color="auto"/>
            <w:left w:val="none" w:sz="0" w:space="0" w:color="auto"/>
            <w:bottom w:val="none" w:sz="0" w:space="0" w:color="auto"/>
            <w:right w:val="none" w:sz="0" w:space="0" w:color="auto"/>
          </w:divBdr>
        </w:div>
        <w:div w:id="1412310624">
          <w:marLeft w:val="547"/>
          <w:marRight w:val="0"/>
          <w:marTop w:val="134"/>
          <w:marBottom w:val="0"/>
          <w:divBdr>
            <w:top w:val="none" w:sz="0" w:space="0" w:color="auto"/>
            <w:left w:val="none" w:sz="0" w:space="0" w:color="auto"/>
            <w:bottom w:val="none" w:sz="0" w:space="0" w:color="auto"/>
            <w:right w:val="none" w:sz="0" w:space="0" w:color="auto"/>
          </w:divBdr>
        </w:div>
        <w:div w:id="1867520940">
          <w:marLeft w:val="1166"/>
          <w:marRight w:val="0"/>
          <w:marTop w:val="115"/>
          <w:marBottom w:val="0"/>
          <w:divBdr>
            <w:top w:val="none" w:sz="0" w:space="0" w:color="auto"/>
            <w:left w:val="none" w:sz="0" w:space="0" w:color="auto"/>
            <w:bottom w:val="none" w:sz="0" w:space="0" w:color="auto"/>
            <w:right w:val="none" w:sz="0" w:space="0" w:color="auto"/>
          </w:divBdr>
        </w:div>
        <w:div w:id="65543101">
          <w:marLeft w:val="1800"/>
          <w:marRight w:val="0"/>
          <w:marTop w:val="106"/>
          <w:marBottom w:val="0"/>
          <w:divBdr>
            <w:top w:val="none" w:sz="0" w:space="0" w:color="auto"/>
            <w:left w:val="none" w:sz="0" w:space="0" w:color="auto"/>
            <w:bottom w:val="none" w:sz="0" w:space="0" w:color="auto"/>
            <w:right w:val="none" w:sz="0" w:space="0" w:color="auto"/>
          </w:divBdr>
        </w:div>
        <w:div w:id="116140434">
          <w:marLeft w:val="1166"/>
          <w:marRight w:val="0"/>
          <w:marTop w:val="115"/>
          <w:marBottom w:val="0"/>
          <w:divBdr>
            <w:top w:val="none" w:sz="0" w:space="0" w:color="auto"/>
            <w:left w:val="none" w:sz="0" w:space="0" w:color="auto"/>
            <w:bottom w:val="none" w:sz="0" w:space="0" w:color="auto"/>
            <w:right w:val="none" w:sz="0" w:space="0" w:color="auto"/>
          </w:divBdr>
        </w:div>
        <w:div w:id="672878068">
          <w:marLeft w:val="1800"/>
          <w:marRight w:val="0"/>
          <w:marTop w:val="106"/>
          <w:marBottom w:val="0"/>
          <w:divBdr>
            <w:top w:val="none" w:sz="0" w:space="0" w:color="auto"/>
            <w:left w:val="none" w:sz="0" w:space="0" w:color="auto"/>
            <w:bottom w:val="none" w:sz="0" w:space="0" w:color="auto"/>
            <w:right w:val="none" w:sz="0" w:space="0" w:color="auto"/>
          </w:divBdr>
        </w:div>
        <w:div w:id="607154192">
          <w:marLeft w:val="1800"/>
          <w:marRight w:val="0"/>
          <w:marTop w:val="106"/>
          <w:marBottom w:val="0"/>
          <w:divBdr>
            <w:top w:val="none" w:sz="0" w:space="0" w:color="auto"/>
            <w:left w:val="none" w:sz="0" w:space="0" w:color="auto"/>
            <w:bottom w:val="none" w:sz="0" w:space="0" w:color="auto"/>
            <w:right w:val="none" w:sz="0" w:space="0" w:color="auto"/>
          </w:divBdr>
        </w:div>
      </w:divsChild>
    </w:div>
    <w:div w:id="1323893172">
      <w:bodyDiv w:val="1"/>
      <w:marLeft w:val="0"/>
      <w:marRight w:val="0"/>
      <w:marTop w:val="0"/>
      <w:marBottom w:val="0"/>
      <w:divBdr>
        <w:top w:val="none" w:sz="0" w:space="0" w:color="auto"/>
        <w:left w:val="none" w:sz="0" w:space="0" w:color="auto"/>
        <w:bottom w:val="none" w:sz="0" w:space="0" w:color="auto"/>
        <w:right w:val="none" w:sz="0" w:space="0" w:color="auto"/>
      </w:divBdr>
    </w:div>
    <w:div w:id="1432776056">
      <w:bodyDiv w:val="1"/>
      <w:marLeft w:val="0"/>
      <w:marRight w:val="0"/>
      <w:marTop w:val="0"/>
      <w:marBottom w:val="0"/>
      <w:divBdr>
        <w:top w:val="none" w:sz="0" w:space="0" w:color="auto"/>
        <w:left w:val="none" w:sz="0" w:space="0" w:color="auto"/>
        <w:bottom w:val="none" w:sz="0" w:space="0" w:color="auto"/>
        <w:right w:val="none" w:sz="0" w:space="0" w:color="auto"/>
      </w:divBdr>
    </w:div>
    <w:div w:id="1514876709">
      <w:bodyDiv w:val="1"/>
      <w:marLeft w:val="0"/>
      <w:marRight w:val="0"/>
      <w:marTop w:val="0"/>
      <w:marBottom w:val="0"/>
      <w:divBdr>
        <w:top w:val="none" w:sz="0" w:space="0" w:color="auto"/>
        <w:left w:val="none" w:sz="0" w:space="0" w:color="auto"/>
        <w:bottom w:val="none" w:sz="0" w:space="0" w:color="auto"/>
        <w:right w:val="none" w:sz="0" w:space="0" w:color="auto"/>
      </w:divBdr>
      <w:divsChild>
        <w:div w:id="2132279463">
          <w:marLeft w:val="547"/>
          <w:marRight w:val="0"/>
          <w:marTop w:val="134"/>
          <w:marBottom w:val="0"/>
          <w:divBdr>
            <w:top w:val="none" w:sz="0" w:space="0" w:color="auto"/>
            <w:left w:val="none" w:sz="0" w:space="0" w:color="auto"/>
            <w:bottom w:val="none" w:sz="0" w:space="0" w:color="auto"/>
            <w:right w:val="none" w:sz="0" w:space="0" w:color="auto"/>
          </w:divBdr>
        </w:div>
        <w:div w:id="365909027">
          <w:marLeft w:val="1166"/>
          <w:marRight w:val="0"/>
          <w:marTop w:val="115"/>
          <w:marBottom w:val="0"/>
          <w:divBdr>
            <w:top w:val="none" w:sz="0" w:space="0" w:color="auto"/>
            <w:left w:val="none" w:sz="0" w:space="0" w:color="auto"/>
            <w:bottom w:val="none" w:sz="0" w:space="0" w:color="auto"/>
            <w:right w:val="none" w:sz="0" w:space="0" w:color="auto"/>
          </w:divBdr>
        </w:div>
        <w:div w:id="218057629">
          <w:marLeft w:val="1800"/>
          <w:marRight w:val="0"/>
          <w:marTop w:val="96"/>
          <w:marBottom w:val="0"/>
          <w:divBdr>
            <w:top w:val="none" w:sz="0" w:space="0" w:color="auto"/>
            <w:left w:val="none" w:sz="0" w:space="0" w:color="auto"/>
            <w:bottom w:val="none" w:sz="0" w:space="0" w:color="auto"/>
            <w:right w:val="none" w:sz="0" w:space="0" w:color="auto"/>
          </w:divBdr>
        </w:div>
        <w:div w:id="72897162">
          <w:marLeft w:val="1166"/>
          <w:marRight w:val="0"/>
          <w:marTop w:val="115"/>
          <w:marBottom w:val="0"/>
          <w:divBdr>
            <w:top w:val="none" w:sz="0" w:space="0" w:color="auto"/>
            <w:left w:val="none" w:sz="0" w:space="0" w:color="auto"/>
            <w:bottom w:val="none" w:sz="0" w:space="0" w:color="auto"/>
            <w:right w:val="none" w:sz="0" w:space="0" w:color="auto"/>
          </w:divBdr>
        </w:div>
        <w:div w:id="353043661">
          <w:marLeft w:val="1800"/>
          <w:marRight w:val="0"/>
          <w:marTop w:val="96"/>
          <w:marBottom w:val="0"/>
          <w:divBdr>
            <w:top w:val="none" w:sz="0" w:space="0" w:color="auto"/>
            <w:left w:val="none" w:sz="0" w:space="0" w:color="auto"/>
            <w:bottom w:val="none" w:sz="0" w:space="0" w:color="auto"/>
            <w:right w:val="none" w:sz="0" w:space="0" w:color="auto"/>
          </w:divBdr>
        </w:div>
        <w:div w:id="1453523641">
          <w:marLeft w:val="1166"/>
          <w:marRight w:val="0"/>
          <w:marTop w:val="115"/>
          <w:marBottom w:val="0"/>
          <w:divBdr>
            <w:top w:val="none" w:sz="0" w:space="0" w:color="auto"/>
            <w:left w:val="none" w:sz="0" w:space="0" w:color="auto"/>
            <w:bottom w:val="none" w:sz="0" w:space="0" w:color="auto"/>
            <w:right w:val="none" w:sz="0" w:space="0" w:color="auto"/>
          </w:divBdr>
        </w:div>
        <w:div w:id="611978510">
          <w:marLeft w:val="1800"/>
          <w:marRight w:val="0"/>
          <w:marTop w:val="96"/>
          <w:marBottom w:val="0"/>
          <w:divBdr>
            <w:top w:val="none" w:sz="0" w:space="0" w:color="auto"/>
            <w:left w:val="none" w:sz="0" w:space="0" w:color="auto"/>
            <w:bottom w:val="none" w:sz="0" w:space="0" w:color="auto"/>
            <w:right w:val="none" w:sz="0" w:space="0" w:color="auto"/>
          </w:divBdr>
        </w:div>
      </w:divsChild>
    </w:div>
    <w:div w:id="1548566409">
      <w:bodyDiv w:val="1"/>
      <w:marLeft w:val="0"/>
      <w:marRight w:val="0"/>
      <w:marTop w:val="0"/>
      <w:marBottom w:val="0"/>
      <w:divBdr>
        <w:top w:val="none" w:sz="0" w:space="0" w:color="auto"/>
        <w:left w:val="none" w:sz="0" w:space="0" w:color="auto"/>
        <w:bottom w:val="none" w:sz="0" w:space="0" w:color="auto"/>
        <w:right w:val="none" w:sz="0" w:space="0" w:color="auto"/>
      </w:divBdr>
    </w:div>
    <w:div w:id="1571890680">
      <w:bodyDiv w:val="1"/>
      <w:marLeft w:val="0"/>
      <w:marRight w:val="0"/>
      <w:marTop w:val="0"/>
      <w:marBottom w:val="0"/>
      <w:divBdr>
        <w:top w:val="none" w:sz="0" w:space="0" w:color="auto"/>
        <w:left w:val="none" w:sz="0" w:space="0" w:color="auto"/>
        <w:bottom w:val="none" w:sz="0" w:space="0" w:color="auto"/>
        <w:right w:val="none" w:sz="0" w:space="0" w:color="auto"/>
      </w:divBdr>
    </w:div>
    <w:div w:id="1632514764">
      <w:bodyDiv w:val="1"/>
      <w:marLeft w:val="0"/>
      <w:marRight w:val="0"/>
      <w:marTop w:val="0"/>
      <w:marBottom w:val="0"/>
      <w:divBdr>
        <w:top w:val="none" w:sz="0" w:space="0" w:color="auto"/>
        <w:left w:val="none" w:sz="0" w:space="0" w:color="auto"/>
        <w:bottom w:val="none" w:sz="0" w:space="0" w:color="auto"/>
        <w:right w:val="none" w:sz="0" w:space="0" w:color="auto"/>
      </w:divBdr>
    </w:div>
    <w:div w:id="1637368385">
      <w:bodyDiv w:val="1"/>
      <w:marLeft w:val="0"/>
      <w:marRight w:val="0"/>
      <w:marTop w:val="0"/>
      <w:marBottom w:val="0"/>
      <w:divBdr>
        <w:top w:val="none" w:sz="0" w:space="0" w:color="auto"/>
        <w:left w:val="none" w:sz="0" w:space="0" w:color="auto"/>
        <w:bottom w:val="none" w:sz="0" w:space="0" w:color="auto"/>
        <w:right w:val="none" w:sz="0" w:space="0" w:color="auto"/>
      </w:divBdr>
    </w:div>
    <w:div w:id="1820995651">
      <w:bodyDiv w:val="1"/>
      <w:marLeft w:val="0"/>
      <w:marRight w:val="0"/>
      <w:marTop w:val="0"/>
      <w:marBottom w:val="0"/>
      <w:divBdr>
        <w:top w:val="none" w:sz="0" w:space="0" w:color="auto"/>
        <w:left w:val="none" w:sz="0" w:space="0" w:color="auto"/>
        <w:bottom w:val="none" w:sz="0" w:space="0" w:color="auto"/>
        <w:right w:val="none" w:sz="0" w:space="0" w:color="auto"/>
      </w:divBdr>
    </w:div>
    <w:div w:id="1830056559">
      <w:bodyDiv w:val="1"/>
      <w:marLeft w:val="0"/>
      <w:marRight w:val="0"/>
      <w:marTop w:val="0"/>
      <w:marBottom w:val="0"/>
      <w:divBdr>
        <w:top w:val="none" w:sz="0" w:space="0" w:color="auto"/>
        <w:left w:val="none" w:sz="0" w:space="0" w:color="auto"/>
        <w:bottom w:val="none" w:sz="0" w:space="0" w:color="auto"/>
        <w:right w:val="none" w:sz="0" w:space="0" w:color="auto"/>
      </w:divBdr>
    </w:div>
    <w:div w:id="1836456241">
      <w:bodyDiv w:val="1"/>
      <w:marLeft w:val="0"/>
      <w:marRight w:val="0"/>
      <w:marTop w:val="0"/>
      <w:marBottom w:val="0"/>
      <w:divBdr>
        <w:top w:val="none" w:sz="0" w:space="0" w:color="auto"/>
        <w:left w:val="none" w:sz="0" w:space="0" w:color="auto"/>
        <w:bottom w:val="none" w:sz="0" w:space="0" w:color="auto"/>
        <w:right w:val="none" w:sz="0" w:space="0" w:color="auto"/>
      </w:divBdr>
    </w:div>
    <w:div w:id="1844585621">
      <w:bodyDiv w:val="1"/>
      <w:marLeft w:val="0"/>
      <w:marRight w:val="0"/>
      <w:marTop w:val="0"/>
      <w:marBottom w:val="0"/>
      <w:divBdr>
        <w:top w:val="none" w:sz="0" w:space="0" w:color="auto"/>
        <w:left w:val="none" w:sz="0" w:space="0" w:color="auto"/>
        <w:bottom w:val="none" w:sz="0" w:space="0" w:color="auto"/>
        <w:right w:val="none" w:sz="0" w:space="0" w:color="auto"/>
      </w:divBdr>
    </w:div>
    <w:div w:id="1915046983">
      <w:bodyDiv w:val="1"/>
      <w:marLeft w:val="0"/>
      <w:marRight w:val="0"/>
      <w:marTop w:val="0"/>
      <w:marBottom w:val="0"/>
      <w:divBdr>
        <w:top w:val="none" w:sz="0" w:space="0" w:color="auto"/>
        <w:left w:val="none" w:sz="0" w:space="0" w:color="auto"/>
        <w:bottom w:val="none" w:sz="0" w:space="0" w:color="auto"/>
        <w:right w:val="none" w:sz="0" w:space="0" w:color="auto"/>
      </w:divBdr>
    </w:div>
    <w:div w:id="1916741848">
      <w:bodyDiv w:val="1"/>
      <w:marLeft w:val="0"/>
      <w:marRight w:val="0"/>
      <w:marTop w:val="0"/>
      <w:marBottom w:val="0"/>
      <w:divBdr>
        <w:top w:val="none" w:sz="0" w:space="0" w:color="auto"/>
        <w:left w:val="none" w:sz="0" w:space="0" w:color="auto"/>
        <w:bottom w:val="none" w:sz="0" w:space="0" w:color="auto"/>
        <w:right w:val="none" w:sz="0" w:space="0" w:color="auto"/>
      </w:divBdr>
    </w:div>
    <w:div w:id="2006518467">
      <w:bodyDiv w:val="1"/>
      <w:marLeft w:val="0"/>
      <w:marRight w:val="0"/>
      <w:marTop w:val="0"/>
      <w:marBottom w:val="0"/>
      <w:divBdr>
        <w:top w:val="none" w:sz="0" w:space="0" w:color="auto"/>
        <w:left w:val="none" w:sz="0" w:space="0" w:color="auto"/>
        <w:bottom w:val="none" w:sz="0" w:space="0" w:color="auto"/>
        <w:right w:val="none" w:sz="0" w:space="0" w:color="auto"/>
      </w:divBdr>
    </w:div>
    <w:div w:id="2010254699">
      <w:bodyDiv w:val="1"/>
      <w:marLeft w:val="0"/>
      <w:marRight w:val="0"/>
      <w:marTop w:val="0"/>
      <w:marBottom w:val="0"/>
      <w:divBdr>
        <w:top w:val="none" w:sz="0" w:space="0" w:color="auto"/>
        <w:left w:val="none" w:sz="0" w:space="0" w:color="auto"/>
        <w:bottom w:val="none" w:sz="0" w:space="0" w:color="auto"/>
        <w:right w:val="none" w:sz="0" w:space="0" w:color="auto"/>
      </w:divBdr>
    </w:div>
    <w:div w:id="2015499616">
      <w:bodyDiv w:val="1"/>
      <w:marLeft w:val="0"/>
      <w:marRight w:val="0"/>
      <w:marTop w:val="0"/>
      <w:marBottom w:val="0"/>
      <w:divBdr>
        <w:top w:val="none" w:sz="0" w:space="0" w:color="auto"/>
        <w:left w:val="none" w:sz="0" w:space="0" w:color="auto"/>
        <w:bottom w:val="none" w:sz="0" w:space="0" w:color="auto"/>
        <w:right w:val="none" w:sz="0" w:space="0" w:color="auto"/>
      </w:divBdr>
    </w:div>
    <w:div w:id="2033726554">
      <w:bodyDiv w:val="1"/>
      <w:marLeft w:val="0"/>
      <w:marRight w:val="0"/>
      <w:marTop w:val="0"/>
      <w:marBottom w:val="0"/>
      <w:divBdr>
        <w:top w:val="none" w:sz="0" w:space="0" w:color="auto"/>
        <w:left w:val="none" w:sz="0" w:space="0" w:color="auto"/>
        <w:bottom w:val="none" w:sz="0" w:space="0" w:color="auto"/>
        <w:right w:val="none" w:sz="0" w:space="0" w:color="auto"/>
      </w:divBdr>
    </w:div>
    <w:div w:id="2038893754">
      <w:bodyDiv w:val="1"/>
      <w:marLeft w:val="0"/>
      <w:marRight w:val="0"/>
      <w:marTop w:val="0"/>
      <w:marBottom w:val="0"/>
      <w:divBdr>
        <w:top w:val="none" w:sz="0" w:space="0" w:color="auto"/>
        <w:left w:val="none" w:sz="0" w:space="0" w:color="auto"/>
        <w:bottom w:val="none" w:sz="0" w:space="0" w:color="auto"/>
        <w:right w:val="none" w:sz="0" w:space="0" w:color="auto"/>
      </w:divBdr>
    </w:div>
    <w:div w:id="2074814943">
      <w:bodyDiv w:val="1"/>
      <w:marLeft w:val="0"/>
      <w:marRight w:val="0"/>
      <w:marTop w:val="0"/>
      <w:marBottom w:val="0"/>
      <w:divBdr>
        <w:top w:val="none" w:sz="0" w:space="0" w:color="auto"/>
        <w:left w:val="none" w:sz="0" w:space="0" w:color="auto"/>
        <w:bottom w:val="none" w:sz="0" w:space="0" w:color="auto"/>
        <w:right w:val="none" w:sz="0" w:space="0" w:color="auto"/>
      </w:divBdr>
    </w:div>
    <w:div w:id="2113164553">
      <w:bodyDiv w:val="1"/>
      <w:marLeft w:val="0"/>
      <w:marRight w:val="0"/>
      <w:marTop w:val="0"/>
      <w:marBottom w:val="0"/>
      <w:divBdr>
        <w:top w:val="none" w:sz="0" w:space="0" w:color="auto"/>
        <w:left w:val="none" w:sz="0" w:space="0" w:color="auto"/>
        <w:bottom w:val="none" w:sz="0" w:space="0" w:color="auto"/>
        <w:right w:val="none" w:sz="0" w:space="0" w:color="auto"/>
      </w:divBdr>
    </w:div>
    <w:div w:id="2117744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11.bin"/><Relationship Id="rId21" Type="http://schemas.openxmlformats.org/officeDocument/2006/relationships/hyperlink" Target="file:///G:\AQ\PERMITS\Modeling\Documents\Internal%20Review%20Procedures\Review%20Templates" TargetMode="External"/><Relationship Id="rId42" Type="http://schemas.openxmlformats.org/officeDocument/2006/relationships/hyperlink" Target="http://www.legis.state.ak.us/basis/folioproxy.asp?url=http://wwwjnu01.legis.state.ak.us/cgi-bin/folioisa.dll/aac/query=%5bJUMP:'18+aac+50!2E040'%5d/doc/%7b@1%7d?firsthit" TargetMode="External"/><Relationship Id="rId63" Type="http://schemas.openxmlformats.org/officeDocument/2006/relationships/hyperlink" Target="http://www.ecfr.gov/cgi-bin/text-idx?c=ecfr&amp;SID=e1869554c50cc3ad3ac9748a8ffc000e&amp;rgn=div8&amp;view=text&amp;node=40:3.0.1.1.1.1.1.19&amp;idno=40" TargetMode="External"/><Relationship Id="rId84" Type="http://schemas.openxmlformats.org/officeDocument/2006/relationships/hyperlink" Target="https://www3.epa.gov/ttn/scram/models/aermod/aermod_implementation_guide.pdf" TargetMode="External"/><Relationship Id="rId138" Type="http://schemas.openxmlformats.org/officeDocument/2006/relationships/image" Target="media/image27.jpeg"/><Relationship Id="rId159" Type="http://schemas.openxmlformats.org/officeDocument/2006/relationships/hyperlink" Target="https://www3.epa.gov/ttn/scram/models/aermod/aermod_userguide.pdf" TargetMode="External"/><Relationship Id="rId170" Type="http://schemas.openxmlformats.org/officeDocument/2006/relationships/hyperlink" Target="http://www.legis.state.ak.us/basis/folioproxy.asp?url=http://wwwjnu01.legis.state.ak.us/cgi-bin/folioisa.dll/aac/query=%5bJUMP:'18+aac+50!2E502'%5d/doc/%7b@1%7d?firsthit" TargetMode="External"/><Relationship Id="rId191" Type="http://schemas.openxmlformats.org/officeDocument/2006/relationships/hyperlink" Target="https://www3.epa.gov/ttn/scram/guidance/guide/appw_17.pdf" TargetMode="External"/><Relationship Id="rId205" Type="http://schemas.openxmlformats.org/officeDocument/2006/relationships/hyperlink" Target="http://dec.alaska.gov/air/air-permit/dispersion-modeling/" TargetMode="External"/><Relationship Id="rId107" Type="http://schemas.openxmlformats.org/officeDocument/2006/relationships/hyperlink" Target="file:///G:\AQ\PERMITS\AIRFACS\Donlin\Construct\AQ0934CPT01\Pre-App\Modeling\Protocol\Approval%20of%20Donlin%20PSD%20Protocol.pdf" TargetMode="External"/><Relationship Id="rId11" Type="http://schemas.openxmlformats.org/officeDocument/2006/relationships/footer" Target="footer1.xml"/><Relationship Id="rId32" Type="http://schemas.openxmlformats.org/officeDocument/2006/relationships/hyperlink" Target="http://www.legis.state.ak.us/basis/folioproxy.asp?url=http://wwwjnu01.legis.state.ak.us/cgi-bin/folioisa.dll/aac/query=%5bJUMP:'18+aac+50!2E040'%5d/doc/%7b@1%7d?firsthit" TargetMode="External"/><Relationship Id="rId53" Type="http://schemas.openxmlformats.org/officeDocument/2006/relationships/hyperlink" Target="http://www.legis.state.ak.us/basis/folioproxy.asp?url=http://www.legis.state.ak.us/cgi-bin/folioisa.dll/stattx06/query=*/doc/%7B@20059%7D?prev" TargetMode="External"/><Relationship Id="rId74" Type="http://schemas.openxmlformats.org/officeDocument/2006/relationships/hyperlink" Target="http://www.legis.state.ak.us/basis/folioproxy.asp?url=http://wwwjnu01.legis.state.ak.us/cgi-bin/folioisa.dll/aac/query=%5bJUMP:'18+aac+50!2E215'%5d/doc/%7b@1%7d?firsthit" TargetMode="External"/><Relationship Id="rId128" Type="http://schemas.openxmlformats.org/officeDocument/2006/relationships/image" Target="media/image26.wmf"/><Relationship Id="rId149" Type="http://schemas.openxmlformats.org/officeDocument/2006/relationships/hyperlink" Target="https://www3.epa.gov/ttn/scram/appendix_w/2016/AppendixW_2017.pdf" TargetMode="External"/><Relationship Id="rId5" Type="http://schemas.openxmlformats.org/officeDocument/2006/relationships/webSettings" Target="webSettings.xml"/><Relationship Id="rId95" Type="http://schemas.openxmlformats.org/officeDocument/2006/relationships/oleObject" Target="embeddings/oleObject3.bin"/><Relationship Id="rId160" Type="http://schemas.openxmlformats.org/officeDocument/2006/relationships/hyperlink" Target="http://www.ecfr.gov/cgi-bin/text-idx?c=ecfr&amp;SID=e1869554c50cc3ad3ac9748a8ffc000e&amp;rgn=div8&amp;view=text&amp;node=40:2.0.1.1.1.0.1.1&amp;idno=40" TargetMode="External"/><Relationship Id="rId181" Type="http://schemas.openxmlformats.org/officeDocument/2006/relationships/hyperlink" Target="http://www.ecfr.gov/cgi-bin/text-idx?c=ecfr&amp;SID=2859404f2f92906cc83d95df2f72ebc6&amp;rgn=div8&amp;view=text&amp;node=40:2.0.1.1.2.13.9.2&amp;idno=40" TargetMode="External"/><Relationship Id="rId216" Type="http://schemas.openxmlformats.org/officeDocument/2006/relationships/footer" Target="footer10.xml"/><Relationship Id="rId22" Type="http://schemas.openxmlformats.org/officeDocument/2006/relationships/hyperlink" Target="file:///\\jn-svrfile\groups\AQ\PERMITS\Modeling\Documents\Internal%20Review%20Procedures\Review%20Checklists" TargetMode="External"/><Relationship Id="rId43" Type="http://schemas.openxmlformats.org/officeDocument/2006/relationships/hyperlink" Target="http://www.legis.state.ak.us/basis/folioproxy.asp?url=http://wwwjnu01.legis.state.ak.us/cgi-bin/folioisa.dll/aac/query=%5bJUMP:'18+aac+50!2E215'%5d/doc/%7b@1%7d?firsthit" TargetMode="External"/><Relationship Id="rId64" Type="http://schemas.openxmlformats.org/officeDocument/2006/relationships/hyperlink" Target="http://www.akleg.gov/basis/statutes.asp" TargetMode="External"/><Relationship Id="rId118" Type="http://schemas.openxmlformats.org/officeDocument/2006/relationships/image" Target="media/image21.wmf"/><Relationship Id="rId139" Type="http://schemas.openxmlformats.org/officeDocument/2006/relationships/hyperlink" Target="http://www.epa.gov/scram001/guidance/guide/gep.pdf" TargetMode="External"/><Relationship Id="rId85" Type="http://schemas.openxmlformats.org/officeDocument/2006/relationships/hyperlink" Target="http://dec.alaska.gov/media/10235/surface-parameter-geometric-mean-rev-2-061709.pdf" TargetMode="External"/><Relationship Id="rId150" Type="http://schemas.openxmlformats.org/officeDocument/2006/relationships/hyperlink" Target="https://www3.epa.gov/ttn/scram/appendix_w/2016/AppendixW_2017.pdf" TargetMode="External"/><Relationship Id="rId171" Type="http://schemas.openxmlformats.org/officeDocument/2006/relationships/hyperlink" Target="http://www.legis.state.ak.us/basis/folioproxy.asp?url=http://wwwjnu01.legis.state.ak.us/cgi-bin/folioisa.dll/aac/query=%5bJUMP:'18+aac+50!2E502'%5d/doc/%7b@1%7d?firsthit" TargetMode="External"/><Relationship Id="rId192" Type="http://schemas.openxmlformats.org/officeDocument/2006/relationships/hyperlink" Target="https://www3.epa.gov/ttn/scram/7thconf/aermod/aersurface_userguide.pdf" TargetMode="External"/><Relationship Id="rId206" Type="http://schemas.openxmlformats.org/officeDocument/2006/relationships/hyperlink" Target="https://www.faa.gov/about/office_org/headquarters_offices/ato/service_units/systemops/fs/alaskan/alaska/fai/arpt_photo/" TargetMode="External"/><Relationship Id="rId12" Type="http://schemas.openxmlformats.org/officeDocument/2006/relationships/footer" Target="footer2.xml"/><Relationship Id="rId33" Type="http://schemas.openxmlformats.org/officeDocument/2006/relationships/hyperlink" Target="http://dec.alaska.gov/air/air-permit/dispersion-modeling/" TargetMode="External"/><Relationship Id="rId108" Type="http://schemas.openxmlformats.org/officeDocument/2006/relationships/hyperlink" Target="https://www3.epa.gov/ttn/scram/models/aermod/aermod_userguide.pdf" TargetMode="External"/><Relationship Id="rId129" Type="http://schemas.openxmlformats.org/officeDocument/2006/relationships/oleObject" Target="embeddings/oleObject16.bin"/><Relationship Id="rId54" Type="http://schemas.openxmlformats.org/officeDocument/2006/relationships/hyperlink" Target="http://www.legis.state.ak.us/basis/folioproxy.asp?url=http://wwwjnu01.legis.state.ak.us/cgi-bin/folioisa.dll/aac/query=%5bJUMP:'18+aac+50!2E542'%5d/doc/%7b@1%7d?firsthit" TargetMode="External"/><Relationship Id="rId75" Type="http://schemas.openxmlformats.org/officeDocument/2006/relationships/hyperlink" Target="//jn-svrfile/groups/AQ/PERMITS/Monitoring/QAPP%20and%20Data%20Review/QAPP%20&amp;%20Data%20&amp;%20Site%20Review%20Project%20List.xlsx" TargetMode="External"/><Relationship Id="rId96" Type="http://schemas.openxmlformats.org/officeDocument/2006/relationships/image" Target="media/image12.wmf"/><Relationship Id="rId140" Type="http://schemas.openxmlformats.org/officeDocument/2006/relationships/image" Target="media/image28.jpeg"/><Relationship Id="rId161" Type="http://schemas.openxmlformats.org/officeDocument/2006/relationships/hyperlink" Target="http://www.legis.state.ak.us/basis/folioproxy.asp?url=http://www.legis.state.ak.us/cgi-bin/folioisa.dll/stattx08/query=*/doc/%7Bt20623%7D?" TargetMode="External"/><Relationship Id="rId182" Type="http://schemas.openxmlformats.org/officeDocument/2006/relationships/hyperlink" Target="https://www.nature.nps.gov/air/Permits/flag/index.cfm" TargetMode="External"/><Relationship Id="rId217" Type="http://schemas.openxmlformats.org/officeDocument/2006/relationships/fontTable" Target="fontTable.xml"/><Relationship Id="rId6" Type="http://schemas.openxmlformats.org/officeDocument/2006/relationships/footnotes" Target="footnotes.xml"/><Relationship Id="rId23" Type="http://schemas.openxmlformats.org/officeDocument/2006/relationships/hyperlink" Target="http://www.legis.state.ak.us/basis/folioproxy.asp?url=http://www.legis.state.ak.us/cgi-bin/folioisa.dll/stattx06/query=*/doc/%7B@20059%7D?prev" TargetMode="External"/><Relationship Id="rId119" Type="http://schemas.openxmlformats.org/officeDocument/2006/relationships/oleObject" Target="embeddings/oleObject12.bin"/><Relationship Id="rId44" Type="http://schemas.openxmlformats.org/officeDocument/2006/relationships/image" Target="media/image3.JPG"/><Relationship Id="rId65" Type="http://schemas.openxmlformats.org/officeDocument/2006/relationships/hyperlink" Target="http://www.akleg.gov/basis/statutes.asp" TargetMode="External"/><Relationship Id="rId86" Type="http://schemas.openxmlformats.org/officeDocument/2006/relationships/hyperlink" Target="https://www.epa.gov/scram" TargetMode="External"/><Relationship Id="rId130" Type="http://schemas.openxmlformats.org/officeDocument/2006/relationships/hyperlink" Target="http://dec.alaska.gov/air/ap/docs/Policy%20guidance%2004%2002%20104%2011-20-06.pdf" TargetMode="External"/><Relationship Id="rId151" Type="http://schemas.openxmlformats.org/officeDocument/2006/relationships/hyperlink" Target="https://www3.epa.gov/ttn/scram/models/aermod/aermod_userguide.pdf" TargetMode="External"/><Relationship Id="rId172" Type="http://schemas.openxmlformats.org/officeDocument/2006/relationships/hyperlink" Target="http://www.legis.state.ak.us/basis/folioproxy.asp?url=http://wwwjnu01.legis.state.ak.us/cgi-bin/folioisa.dll/aac/query=%5bJUMP:'18+aac+50!2E542'%5d/doc/%7b@1%7d?firsthit" TargetMode="External"/><Relationship Id="rId193" Type="http://schemas.openxmlformats.org/officeDocument/2006/relationships/hyperlink" Target="https://www3.epa.gov/ttn/scram/models/aermod/aermod_implementation_guide.pdf" TargetMode="External"/><Relationship Id="rId207" Type="http://schemas.openxmlformats.org/officeDocument/2006/relationships/hyperlink" Target="https://www3.epa.gov/ttn/scram/7thconf/aermod/aermet_userguide.pdf" TargetMode="External"/><Relationship Id="rId13" Type="http://schemas.openxmlformats.org/officeDocument/2006/relationships/header" Target="header3.xml"/><Relationship Id="rId109" Type="http://schemas.openxmlformats.org/officeDocument/2006/relationships/image" Target="media/image17.png"/><Relationship Id="rId34" Type="http://schemas.openxmlformats.org/officeDocument/2006/relationships/hyperlink" Target="https://www.epa.gov/scram" TargetMode="External"/><Relationship Id="rId55" Type="http://schemas.openxmlformats.org/officeDocument/2006/relationships/hyperlink" Target="http://www.legis.state.ak.us/basis/folioproxy.asp?url=http://www.legis.state.ak.us/cgi-bin/folioisa.dll/stattx06/query=*/doc/%7B@20059%7D?prev" TargetMode="External"/><Relationship Id="rId76" Type="http://schemas.openxmlformats.org/officeDocument/2006/relationships/hyperlink" Target="https://www3.epa.gov/ttn/scram/7thconf/aermod/aermet_userguide.pdf" TargetMode="External"/><Relationship Id="rId97" Type="http://schemas.openxmlformats.org/officeDocument/2006/relationships/oleObject" Target="embeddings/oleObject4.bin"/><Relationship Id="rId120" Type="http://schemas.openxmlformats.org/officeDocument/2006/relationships/image" Target="media/image22.wmf"/><Relationship Id="rId141" Type="http://schemas.openxmlformats.org/officeDocument/2006/relationships/image" Target="media/image29.png"/><Relationship Id="rId7" Type="http://schemas.openxmlformats.org/officeDocument/2006/relationships/endnotes" Target="endnotes.xml"/><Relationship Id="rId162" Type="http://schemas.openxmlformats.org/officeDocument/2006/relationships/hyperlink" Target="http://dec.alaska.gov/media/10238/whg.pdf" TargetMode="External"/><Relationship Id="rId183" Type="http://schemas.openxmlformats.org/officeDocument/2006/relationships/hyperlink" Target="http://www.legis.state.ak.us/basis/folioproxy.asp?url=http://wwwjnu01.legis.state.ak.us/cgi-bin/folioisa.dll/aac/query=%5bJUMP:'18+aac+50!2E010'%5d/doc/%7b@1%7d?firsthit" TargetMode="External"/><Relationship Id="rId218" Type="http://schemas.openxmlformats.org/officeDocument/2006/relationships/theme" Target="theme/theme1.xml"/><Relationship Id="rId24" Type="http://schemas.openxmlformats.org/officeDocument/2006/relationships/hyperlink" Target="https://www3.epa.gov/ttn/scram/appendix_w/2016/AppendixW_2017.pdf" TargetMode="External"/><Relationship Id="rId45" Type="http://schemas.openxmlformats.org/officeDocument/2006/relationships/image" Target="media/image4.JPG"/><Relationship Id="rId66" Type="http://schemas.openxmlformats.org/officeDocument/2006/relationships/hyperlink" Target="http://www.legis.state.ak.us/basis/folioproxy.asp?url=http://wwwjnu01.legis.state.ak.us/cgi-bin/folioisa.dll/aac/query=%5bJUMP:'18+aac+50!2E030'%5d/doc/%7b@1%7d?firsthit" TargetMode="External"/><Relationship Id="rId87" Type="http://schemas.openxmlformats.org/officeDocument/2006/relationships/hyperlink" Target="http://dec.alaska.gov/air/air-permit/aeromod-met-data/" TargetMode="External"/><Relationship Id="rId110" Type="http://schemas.openxmlformats.org/officeDocument/2006/relationships/hyperlink" Target="https://www3.epa.gov/ttn/scram/models/aermod/aermod_implementation_guide.pdf" TargetMode="External"/><Relationship Id="rId131" Type="http://schemas.openxmlformats.org/officeDocument/2006/relationships/hyperlink" Target="http://dec.alaska.gov/air/ap/docs/Policy%20Guidance%2004%2002%20105%2011-20-06.pdf" TargetMode="External"/><Relationship Id="rId152" Type="http://schemas.openxmlformats.org/officeDocument/2006/relationships/image" Target="media/image33.jpeg"/><Relationship Id="rId173" Type="http://schemas.openxmlformats.org/officeDocument/2006/relationships/hyperlink" Target="http://www.legis.state.ak.us/basis/folioproxy.asp?url=http://wwwjnu01.legis.state.ak.us/cgi-bin/folioisa.dll/aac/query=%5bJUMP:'18+aac+50!2E542'%5d/doc/%7b@1%7d?firsthit" TargetMode="External"/><Relationship Id="rId194" Type="http://schemas.openxmlformats.org/officeDocument/2006/relationships/hyperlink" Target="https://www3.epa.gov/ttn/scram/guidance/guide/EPA-454R-92-019_OCR.pdf" TargetMode="External"/><Relationship Id="rId208" Type="http://schemas.openxmlformats.org/officeDocument/2006/relationships/footer" Target="footer7.xml"/><Relationship Id="rId14" Type="http://schemas.openxmlformats.org/officeDocument/2006/relationships/footer" Target="footer3.xml"/><Relationship Id="rId30" Type="http://schemas.openxmlformats.org/officeDocument/2006/relationships/hyperlink" Target="http://www.legis.state.ak.us/basis/folioproxy.asp?url=http://wwwjnu01.legis.state.ak.us/cgi-bin/folioisa.dll/aac/query=%5bJUMP:'18+aac+50!2E215'%5d/doc/%7b@1%7d?firsthit" TargetMode="External"/><Relationship Id="rId35" Type="http://schemas.openxmlformats.org/officeDocument/2006/relationships/hyperlink" Target="http://www.legis.state.ak.us/basis/folioproxy.asp?url=http://wwwjnu01.legis.state.ak.us/cgi-bin/folioisa.dll/aac/query=%5bJUMP:'Title18Chap50'%5d/doc/%7b@1%7d?firsthit" TargetMode="External"/><Relationship Id="rId56" Type="http://schemas.openxmlformats.org/officeDocument/2006/relationships/image" Target="media/image6.jpeg"/><Relationship Id="rId77" Type="http://schemas.openxmlformats.org/officeDocument/2006/relationships/hyperlink" Target="https://www3.epa.gov/ttn/scram/guidance/clarification/20130308_Met_Data_Clarification.pdf" TargetMode="External"/><Relationship Id="rId100" Type="http://schemas.openxmlformats.org/officeDocument/2006/relationships/image" Target="media/image14.wmf"/><Relationship Id="rId105" Type="http://schemas.openxmlformats.org/officeDocument/2006/relationships/oleObject" Target="embeddings/oleObject8.bin"/><Relationship Id="rId126" Type="http://schemas.openxmlformats.org/officeDocument/2006/relationships/image" Target="media/image25.wmf"/><Relationship Id="rId147" Type="http://schemas.openxmlformats.org/officeDocument/2006/relationships/hyperlink" Target="https://www3.epa.gov/ttn/scram/appendix_w/2016/AppendixW_2017.pdf" TargetMode="External"/><Relationship Id="rId168" Type="http://schemas.openxmlformats.org/officeDocument/2006/relationships/hyperlink" Target="http://www.legis.state.ak.us/basis/folioproxy.asp?url=http://wwwjnu01.legis.state.ak.us/cgi-bin/folioisa.dll/aac/query=%5bJUMP:'18+aac+50!2E542'%5d/doc/%7b@1%7d?firsthit" TargetMode="External"/><Relationship Id="rId8" Type="http://schemas.openxmlformats.org/officeDocument/2006/relationships/image" Target="media/image1.png"/><Relationship Id="rId51" Type="http://schemas.openxmlformats.org/officeDocument/2006/relationships/hyperlink" Target="http://www.src.com/calpuff/calpuff1.htm" TargetMode="External"/><Relationship Id="rId72" Type="http://schemas.openxmlformats.org/officeDocument/2006/relationships/hyperlink" Target="http://www.akleg.gov/basis/statutes.asp" TargetMode="External"/><Relationship Id="rId93" Type="http://schemas.openxmlformats.org/officeDocument/2006/relationships/oleObject" Target="embeddings/oleObject2.bin"/><Relationship Id="rId98" Type="http://schemas.openxmlformats.org/officeDocument/2006/relationships/image" Target="media/image13.wmf"/><Relationship Id="rId121" Type="http://schemas.openxmlformats.org/officeDocument/2006/relationships/oleObject" Target="embeddings/oleObject13.bin"/><Relationship Id="rId142" Type="http://schemas.openxmlformats.org/officeDocument/2006/relationships/oleObject" Target="embeddings/oleObject17.bin"/><Relationship Id="rId163" Type="http://schemas.openxmlformats.org/officeDocument/2006/relationships/hyperlink" Target="https://www.epa.gov/scram/air-quality-dispersion-modeling-related-model-support-programs" TargetMode="External"/><Relationship Id="rId184" Type="http://schemas.openxmlformats.org/officeDocument/2006/relationships/hyperlink" Target="https://www.epa.gov/scram" TargetMode="External"/><Relationship Id="rId189" Type="http://schemas.openxmlformats.org/officeDocument/2006/relationships/hyperlink" Target="https://www3.epa.gov/ttn/scram/userg/relat/bpipdup.pdf" TargetMode="External"/><Relationship Id="rId3" Type="http://schemas.openxmlformats.org/officeDocument/2006/relationships/styles" Target="styles.xml"/><Relationship Id="rId214" Type="http://schemas.openxmlformats.org/officeDocument/2006/relationships/header" Target="header6.xml"/><Relationship Id="rId25" Type="http://schemas.openxmlformats.org/officeDocument/2006/relationships/hyperlink" Target="http://www.legis.state.ak.us/basis/statutes.asp" TargetMode="External"/><Relationship Id="rId46" Type="http://schemas.openxmlformats.org/officeDocument/2006/relationships/hyperlink" Target="http://www.legis.state.ak.us/basis/folioproxy.asp?url=http://wwwjnu01.legis.state.ak.us/cgi-bin/folioisa.dll/aac/query=%5bJUMP:'18+aac+50!2E015'%5d/doc/%7b@1%7d?firsthit" TargetMode="External"/><Relationship Id="rId67" Type="http://schemas.openxmlformats.org/officeDocument/2006/relationships/hyperlink" Target="file:///\\jn-svrfile\groups\AQ\PERMITS\Monitoring\QAPP%20and%20Data%20Review\QAPP%20&amp;%20Data%20&amp;%20Site%20Review%20Project%20List.xlsx" TargetMode="External"/><Relationship Id="rId116" Type="http://schemas.openxmlformats.org/officeDocument/2006/relationships/image" Target="media/image20.wmf"/><Relationship Id="rId137" Type="http://schemas.openxmlformats.org/officeDocument/2006/relationships/hyperlink" Target="https://www.epa.gov/scram" TargetMode="External"/><Relationship Id="rId158" Type="http://schemas.openxmlformats.org/officeDocument/2006/relationships/hyperlink" Target="https://www.epa.gov/scram" TargetMode="External"/><Relationship Id="rId20" Type="http://schemas.openxmlformats.org/officeDocument/2006/relationships/hyperlink" Target="file:///C:\Users\aschuler\Documents\ADEC%20Modeling%20Docs\Modeling%20Manual\Pending\Modeling%20Procedures%20Manual%20(Oct%208%202018).docx" TargetMode="External"/><Relationship Id="rId41" Type="http://schemas.openxmlformats.org/officeDocument/2006/relationships/hyperlink" Target="https://www3.epa.gov/ttn/scram/appendix_w/2016/AppendixW_2017.pdf" TargetMode="External"/><Relationship Id="rId62" Type="http://schemas.openxmlformats.org/officeDocument/2006/relationships/hyperlink" Target="http://www.legis.state.ak.us/basis/folioproxy.asp?url=http://wwwjnu01.legis.state.ak.us/cgi-bin/folioisa.dll/aac/query=%5bJUMP:'18+aac+50!2E215'%5d/doc/%7b@1%7d?firsthit" TargetMode="External"/><Relationship Id="rId83" Type="http://schemas.openxmlformats.org/officeDocument/2006/relationships/hyperlink" Target="https://www3.epa.gov/ttn/scram/7thconf/aermod/aermet_userguide.pdf" TargetMode="External"/><Relationship Id="rId88" Type="http://schemas.openxmlformats.org/officeDocument/2006/relationships/hyperlink" Target="file:///\\jn-svrfile\groups\AQ\PERMITS\Modeling\Approved%20AERMET%20Data" TargetMode="External"/><Relationship Id="rId111" Type="http://schemas.openxmlformats.org/officeDocument/2006/relationships/hyperlink" Target="https://www3.epa.gov/ttn/scram/models/aermod/aermod_userguide.pdf" TargetMode="External"/><Relationship Id="rId132" Type="http://schemas.openxmlformats.org/officeDocument/2006/relationships/hyperlink" Target="http://dec.alaska.gov/air/air-permit/policies/" TargetMode="External"/><Relationship Id="rId153" Type="http://schemas.openxmlformats.org/officeDocument/2006/relationships/hyperlink" Target="file:///\\jn-svrfile\groups\AQ\PERMITS\Modeling\Approved%20Ozone%20data" TargetMode="External"/><Relationship Id="rId174" Type="http://schemas.openxmlformats.org/officeDocument/2006/relationships/hyperlink" Target="http://www.legis.state.ak.us/basis/folioproxy.asp?url=http://wwwjnu01.legis.state.ak.us/cgi-bin/folioisa.dll/aac/query=%5bJUMP:'18+aac+50!2E215'%5d/doc/%7b@1%7d?firsthit" TargetMode="External"/><Relationship Id="rId179" Type="http://schemas.openxmlformats.org/officeDocument/2006/relationships/hyperlink" Target="http://www.ecfr.gov/cgi-bin/text-idx?c=ecfr&amp;SID=2859404f2f92906cc83d95df2f72ebc6&amp;rgn=div8&amp;view=text&amp;node=40:3.0.1.1.1.1.1.19&amp;idno=40" TargetMode="External"/><Relationship Id="rId195" Type="http://schemas.openxmlformats.org/officeDocument/2006/relationships/hyperlink" Target="https://www.epa.gov/scram" TargetMode="External"/><Relationship Id="rId209" Type="http://schemas.openxmlformats.org/officeDocument/2006/relationships/header" Target="header5.xml"/><Relationship Id="rId190" Type="http://schemas.openxmlformats.org/officeDocument/2006/relationships/hyperlink" Target="https://www3.epa.gov/ttn/scram/7thconf/iscprime/useguide.pdf" TargetMode="External"/><Relationship Id="rId204" Type="http://schemas.openxmlformats.org/officeDocument/2006/relationships/hyperlink" Target="https://www.epa.gov/scram" TargetMode="External"/><Relationship Id="rId15" Type="http://schemas.openxmlformats.org/officeDocument/2006/relationships/footer" Target="footer4.xml"/><Relationship Id="rId36" Type="http://schemas.openxmlformats.org/officeDocument/2006/relationships/hyperlink" Target="http://www.legis.state.ak.us/basis/folioproxy.asp?url=http://wwwjnu01.legis.state.ak.us/cgi-bin/folioisa.dll/aac/query=%5bJUMP:'18+aac+50!2E215'%5d/doc/%7b@1%7d?firsthit" TargetMode="External"/><Relationship Id="rId57" Type="http://schemas.openxmlformats.org/officeDocument/2006/relationships/hyperlink" Target="http://www.legis.state.ak.us/basis/statutes.asp" TargetMode="External"/><Relationship Id="rId106" Type="http://schemas.openxmlformats.org/officeDocument/2006/relationships/hyperlink" Target="file:///\\jn-svrfile\groups\AQ\PERMITS\AIRFACS\Usibelli\Wishbone\Minor\MSS04\Final\AQ1227MSS04%20Final%20TAR%20061014.pdf" TargetMode="External"/><Relationship Id="rId127" Type="http://schemas.openxmlformats.org/officeDocument/2006/relationships/oleObject" Target="embeddings/oleObject15.bin"/><Relationship Id="rId10" Type="http://schemas.openxmlformats.org/officeDocument/2006/relationships/header" Target="header2.xml"/><Relationship Id="rId31" Type="http://schemas.openxmlformats.org/officeDocument/2006/relationships/hyperlink" Target="https://www3.epa.gov/ttn/scram/appendix_w/2016/AppendixW_2017.pdf" TargetMode="External"/><Relationship Id="rId52" Type="http://schemas.openxmlformats.org/officeDocument/2006/relationships/footer" Target="footer6.xml"/><Relationship Id="rId73" Type="http://schemas.openxmlformats.org/officeDocument/2006/relationships/hyperlink" Target="http://www.akleg.gov/basis/statutes.asp" TargetMode="External"/><Relationship Id="rId78" Type="http://schemas.openxmlformats.org/officeDocument/2006/relationships/hyperlink" Target="http://www.esrl.noaa.gov/raobs/" TargetMode="External"/><Relationship Id="rId94" Type="http://schemas.openxmlformats.org/officeDocument/2006/relationships/image" Target="media/image11.wmf"/><Relationship Id="rId99" Type="http://schemas.openxmlformats.org/officeDocument/2006/relationships/oleObject" Target="embeddings/oleObject5.bin"/><Relationship Id="rId101" Type="http://schemas.openxmlformats.org/officeDocument/2006/relationships/oleObject" Target="embeddings/oleObject6.bin"/><Relationship Id="rId122" Type="http://schemas.openxmlformats.org/officeDocument/2006/relationships/image" Target="media/image23.wmf"/><Relationship Id="rId143" Type="http://schemas.openxmlformats.org/officeDocument/2006/relationships/image" Target="media/image30.png"/><Relationship Id="rId148" Type="http://schemas.openxmlformats.org/officeDocument/2006/relationships/image" Target="media/image32.png"/><Relationship Id="rId164" Type="http://schemas.openxmlformats.org/officeDocument/2006/relationships/hyperlink" Target="https://www3.epa.gov/ttn/scram/appendix_w/2016/AppendixW_2017.pdf" TargetMode="External"/><Relationship Id="rId169" Type="http://schemas.openxmlformats.org/officeDocument/2006/relationships/hyperlink" Target="http://www.legis.state.ak.us/basis/folioproxy.asp?url=http://wwwjnu01.legis.state.ak.us/cgi-bin/folioisa.dll/aac/query=%5bJUMP:'18+aac+50!2E542'%5d/doc/%7b@1%7d?firsthit" TargetMode="External"/><Relationship Id="rId185" Type="http://schemas.openxmlformats.org/officeDocument/2006/relationships/hyperlink" Target="https://www3.epa.gov/ttn/scram/models/screen/aerscreen_userguide.pdf"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http://www.ecfr.gov/cgi-bin/text-idx?c=ecfr&amp;SID=2859404f2f92906cc83d95df2f72ebc6&amp;rgn=div8&amp;view=text&amp;node=40:3.0.1.1.1.1.1.19&amp;idno=40" TargetMode="External"/><Relationship Id="rId210" Type="http://schemas.openxmlformats.org/officeDocument/2006/relationships/footer" Target="footer8.xml"/><Relationship Id="rId215" Type="http://schemas.openxmlformats.org/officeDocument/2006/relationships/footer" Target="footer9.xml"/><Relationship Id="rId26" Type="http://schemas.openxmlformats.org/officeDocument/2006/relationships/hyperlink" Target="http://dec.alaska.gov/air/ap/docs/Surface%20Parameter%20Geometric%20Mean%20%28Rev%202%206-17-09%29.pdf" TargetMode="External"/><Relationship Id="rId47" Type="http://schemas.openxmlformats.org/officeDocument/2006/relationships/image" Target="media/image5.jpeg"/><Relationship Id="rId68" Type="http://schemas.openxmlformats.org/officeDocument/2006/relationships/hyperlink" Target="https://www3.epa.gov/ttn/scram/models/aermod/aermod_userguide.pdf" TargetMode="External"/><Relationship Id="rId89" Type="http://schemas.openxmlformats.org/officeDocument/2006/relationships/hyperlink" Target="http://www.src.com/calpuff/calpuff1.htm" TargetMode="External"/><Relationship Id="rId112" Type="http://schemas.openxmlformats.org/officeDocument/2006/relationships/image" Target="media/image18.wmf"/><Relationship Id="rId133" Type="http://schemas.openxmlformats.org/officeDocument/2006/relationships/hyperlink" Target="http://www.legis.state.ak.us/basis/folioproxy.asp?url=http://wwwjnu01.legis.state.ak.us/cgi-bin/folioisa.dll/aac/query=%5bJUMP:'18+aac+50!2E215'%5d/doc/%7b@1%7d?firsthit" TargetMode="External"/><Relationship Id="rId154" Type="http://schemas.openxmlformats.org/officeDocument/2006/relationships/hyperlink" Target="https://www3.epa.gov/ttn/scram/models/aermod/aermod_userguide.pdf" TargetMode="External"/><Relationship Id="rId175" Type="http://schemas.openxmlformats.org/officeDocument/2006/relationships/hyperlink" Target="https://www3.epa.gov/ttn/scram/appendix_w/2016/AppendixW_2017.pdf" TargetMode="External"/><Relationship Id="rId196" Type="http://schemas.openxmlformats.org/officeDocument/2006/relationships/hyperlink" Target="https://www3.epa.gov/ttn/scram/guidance/guide/EPA-454R-92-019_OCR.pdf" TargetMode="External"/><Relationship Id="rId200" Type="http://schemas.openxmlformats.org/officeDocument/2006/relationships/hyperlink" Target="https://www.epa.gov/scram" TargetMode="External"/><Relationship Id="rId16" Type="http://schemas.openxmlformats.org/officeDocument/2006/relationships/hyperlink" Target="http://www.legis.state.ak.us/basis/folioproxy.asp?url=http://wwwjnu01.legis.state.ak.us/cgi-bin/folioisa.dll/aac/query=%5bJUMP:'18+aac+50!2E040'%5d/doc/%7b@1%7d?firsthit" TargetMode="External"/><Relationship Id="rId37" Type="http://schemas.openxmlformats.org/officeDocument/2006/relationships/hyperlink" Target="http://www.legis.state.ak.us/basis/folioproxy.asp?url=http://wwwjnu01.legis.state.ak.us/cgi-bin/folioisa.dll/aac/query=%5bJUMP:'18+aac+50!2E010'%5d/doc/%7b@1%7d?firsthit" TargetMode="External"/><Relationship Id="rId58" Type="http://schemas.openxmlformats.org/officeDocument/2006/relationships/hyperlink" Target="file:///\\jn-svrfile\groups\AQ\PERMITS\Modeling\Documents\Internal%20Review%20Procedures\Review%20Templates" TargetMode="External"/><Relationship Id="rId79" Type="http://schemas.openxmlformats.org/officeDocument/2006/relationships/hyperlink" Target="https://www.epa.gov/scram/meteorological-processors-and-accessory-programs" TargetMode="External"/><Relationship Id="rId102" Type="http://schemas.openxmlformats.org/officeDocument/2006/relationships/image" Target="media/image15.wmf"/><Relationship Id="rId123" Type="http://schemas.openxmlformats.org/officeDocument/2006/relationships/oleObject" Target="embeddings/oleObject14.bin"/><Relationship Id="rId144" Type="http://schemas.openxmlformats.org/officeDocument/2006/relationships/oleObject" Target="embeddings/oleObject18.bin"/><Relationship Id="rId90" Type="http://schemas.openxmlformats.org/officeDocument/2006/relationships/image" Target="media/image9.wmf"/><Relationship Id="rId165" Type="http://schemas.openxmlformats.org/officeDocument/2006/relationships/hyperlink" Target="http://dec.alaska.gov/media/10240/roumemo.pdf" TargetMode="External"/><Relationship Id="rId186" Type="http://schemas.openxmlformats.org/officeDocument/2006/relationships/hyperlink" Target="https://www3.epa.gov/ttn/scram/models/aermod/aermap/aermap_userguide_v18081.pdf" TargetMode="External"/><Relationship Id="rId211" Type="http://schemas.openxmlformats.org/officeDocument/2006/relationships/hyperlink" Target="https://www.epa.gov/scram" TargetMode="External"/><Relationship Id="rId27" Type="http://schemas.openxmlformats.org/officeDocument/2006/relationships/hyperlink" Target="https://www3.epa.gov/ttn/scram/appendix_w/2016/AppendixW_2017.pdf" TargetMode="External"/><Relationship Id="rId48" Type="http://schemas.openxmlformats.org/officeDocument/2006/relationships/hyperlink" Target="https://www.nature.nps.gov/air/Pubs/pdf/flag/FLAG_2010.pdf" TargetMode="External"/><Relationship Id="rId69" Type="http://schemas.openxmlformats.org/officeDocument/2006/relationships/hyperlink" Target="http://www.legis.state.ak.us/basis/folioproxy.asp?url=http://wwwjnu01.legis.state.ak.us/cgi-bin/folioisa.dll/aac/query=%5bGroup+!2718+aac+50!2E540!27!3A%5d/doc/%7b@1%7d/hits_only?firsthit" TargetMode="External"/><Relationship Id="rId113" Type="http://schemas.openxmlformats.org/officeDocument/2006/relationships/oleObject" Target="embeddings/oleObject9.bin"/><Relationship Id="rId134" Type="http://schemas.openxmlformats.org/officeDocument/2006/relationships/hyperlink" Target="http://www.legis.state.ak.us/basis/folioproxy.asp?url=http://wwwjnu01.legis.state.ak.us/cgi-bin/folioisa.dll/aac/query=%5bJUMP:'18+aac+50!2E990'%5d/doc/%7b@1%7d?firsthit" TargetMode="External"/><Relationship Id="rId80" Type="http://schemas.openxmlformats.org/officeDocument/2006/relationships/hyperlink" Target="https://www3.epa.gov/ttn/scram/7thconf/aermod/aerminute_userguide.pdf" TargetMode="External"/><Relationship Id="rId155" Type="http://schemas.openxmlformats.org/officeDocument/2006/relationships/hyperlink" Target="http://dec.alaska.gov/air/air-permit/dispersion-modeling/" TargetMode="External"/><Relationship Id="rId176" Type="http://schemas.openxmlformats.org/officeDocument/2006/relationships/hyperlink" Target="http://www.legis.state.ak.us/basis/folioproxy.asp?url=http://wwwjnu01.legis.state.ak.us/cgi-bin/folioisa.dll/aac/query=%5bJUMP:'18+aac+50!2E020'%5d/doc/%7b@1%7d?firsthit" TargetMode="External"/><Relationship Id="rId197" Type="http://schemas.openxmlformats.org/officeDocument/2006/relationships/hyperlink" Target="https://www3.epa.gov/ttn/scram/models/screen/aerscreen_userguide.pdf" TargetMode="External"/><Relationship Id="rId201" Type="http://schemas.openxmlformats.org/officeDocument/2006/relationships/hyperlink" Target="https://www3.epa.gov/ttn/scram/models/aermod/aermod_implementation_guide.pdf" TargetMode="External"/><Relationship Id="rId17" Type="http://schemas.openxmlformats.org/officeDocument/2006/relationships/header" Target="header4.xml"/><Relationship Id="rId38" Type="http://schemas.openxmlformats.org/officeDocument/2006/relationships/hyperlink" Target="http://www.legis.state.ak.us/basis/folioproxy.asp?url=http://wwwjnu01.legis.state.ak.us/cgi-bin/folioisa.dll/aac/query=%5bJUMP:'18+aac+50!2E020'%5d/doc/%7b@1%7d?firsthit" TargetMode="External"/><Relationship Id="rId59" Type="http://schemas.openxmlformats.org/officeDocument/2006/relationships/hyperlink" Target="http://www.ecfr.gov/cgi-bin/text-idx?c=ecfr&amp;SID=e1869554c50cc3ad3ac9748a8ffc000e&amp;rgn=div8&amp;view=text&amp;node=40:3.0.1.1.1.1.1.19&amp;idno=40" TargetMode="External"/><Relationship Id="rId103" Type="http://schemas.openxmlformats.org/officeDocument/2006/relationships/oleObject" Target="embeddings/oleObject7.bin"/><Relationship Id="rId124" Type="http://schemas.openxmlformats.org/officeDocument/2006/relationships/image" Target="media/image24.jpg"/><Relationship Id="rId70" Type="http://schemas.openxmlformats.org/officeDocument/2006/relationships/image" Target="media/image7.jpeg"/><Relationship Id="rId91" Type="http://schemas.openxmlformats.org/officeDocument/2006/relationships/oleObject" Target="embeddings/oleObject1.bin"/><Relationship Id="rId145" Type="http://schemas.openxmlformats.org/officeDocument/2006/relationships/image" Target="media/image31.jpeg"/><Relationship Id="rId166" Type="http://schemas.openxmlformats.org/officeDocument/2006/relationships/hyperlink" Target="http://www.legis.state.ak.us/basis/folioproxy.asp?url=http://wwwjnu01.legis.state.ak.us/cgi-bin/folioisa.dll/aac/query=%5bJUMP:'18+aac+50!2E215'%5d/doc/%7b@1%7d?firsthit" TargetMode="External"/><Relationship Id="rId187" Type="http://schemas.openxmlformats.org/officeDocument/2006/relationships/hyperlink" Target="https://www3.epa.gov/ttn/scram/7thconf/aermod/aermet_userguide.pdf" TargetMode="External"/><Relationship Id="rId1" Type="http://schemas.openxmlformats.org/officeDocument/2006/relationships/customXml" Target="../customXml/item1.xml"/><Relationship Id="rId212" Type="http://schemas.openxmlformats.org/officeDocument/2006/relationships/hyperlink" Target="https://www3.epa.gov/ttn/scram/appendix_w/2016/AppendixW_2017.pdf" TargetMode="External"/><Relationship Id="rId28" Type="http://schemas.openxmlformats.org/officeDocument/2006/relationships/hyperlink" Target="https://www.nature.nps.gov/air/Permits/flag/index.cfm" TargetMode="External"/><Relationship Id="rId49" Type="http://schemas.openxmlformats.org/officeDocument/2006/relationships/hyperlink" Target="https://www.nature.nps.gov/air/Pubs/pdf/flag/FLAG_2010.pdf" TargetMode="External"/><Relationship Id="rId114" Type="http://schemas.openxmlformats.org/officeDocument/2006/relationships/image" Target="media/image19.wmf"/><Relationship Id="rId60" Type="http://schemas.openxmlformats.org/officeDocument/2006/relationships/hyperlink" Target="http://www.legis.state.ak.us/basis/folioproxy.asp?url=http://wwwjnu01.legis.state.ak.us/cgi-bin/folioisa.dll/aac/query=%5bJUMP:'18+aac+50!2E040'%5d/doc/%7b@1%7d?firsthit" TargetMode="External"/><Relationship Id="rId81" Type="http://schemas.openxmlformats.org/officeDocument/2006/relationships/image" Target="media/image8.jpeg"/><Relationship Id="rId135" Type="http://schemas.openxmlformats.org/officeDocument/2006/relationships/hyperlink" Target="http://www.ecfr.gov/cgi-bin/text-idx?c=ecfr&amp;SID=2859404f2f92906cc83d95df2f72ebc6&amp;rgn=div8&amp;view=text&amp;node=40:3.0.1.1.1.1.1.19&amp;idno=40" TargetMode="External"/><Relationship Id="rId156" Type="http://schemas.openxmlformats.org/officeDocument/2006/relationships/hyperlink" Target="https://www3.epa.gov/ttn/scram/appendix_w/2016/AppendixW_2017.pdf" TargetMode="External"/><Relationship Id="rId177" Type="http://schemas.openxmlformats.org/officeDocument/2006/relationships/hyperlink" Target="https://www3.epa.gov/ttn/scram/models/aermod/aermod_userguide.pdf" TargetMode="External"/><Relationship Id="rId198" Type="http://schemas.openxmlformats.org/officeDocument/2006/relationships/hyperlink" Target="https://www3.epa.gov/ttn/scram/userg/screen/WB4PlumeVisualOCR.pdf" TargetMode="External"/><Relationship Id="rId202" Type="http://schemas.openxmlformats.org/officeDocument/2006/relationships/hyperlink" Target="https://www3.epa.gov/ttn/scram/models/aermod/aermap/aermap_userguide_v18081.pdf" TargetMode="External"/><Relationship Id="rId18" Type="http://schemas.openxmlformats.org/officeDocument/2006/relationships/footer" Target="footer5.xml"/><Relationship Id="rId39" Type="http://schemas.openxmlformats.org/officeDocument/2006/relationships/hyperlink" Target="http://www.legis.state.ak.us/basis/folioproxy.asp?url=http://wwwjnu01.legis.state.ak.us/cgi-bin/folioisa.dll/aac/query=%5bJUMP:'18+aac+50!2E015'%5d/doc/%7b@1%7d?firsthit" TargetMode="External"/><Relationship Id="rId50" Type="http://schemas.openxmlformats.org/officeDocument/2006/relationships/hyperlink" Target="http://dec.alaska.gov/air/air-permit/dispersion-modeling/" TargetMode="External"/><Relationship Id="rId104" Type="http://schemas.openxmlformats.org/officeDocument/2006/relationships/image" Target="media/image16.wmf"/><Relationship Id="rId125" Type="http://schemas.openxmlformats.org/officeDocument/2006/relationships/hyperlink" Target="http://www.ecfr.gov/cgi-bin/text-idx?c=ecfr&amp;SID=e1869554c50cc3ad3ac9748a8ffc000e&amp;tpl=/ecfrbrowse/Title40/40cfr60d_main_02.tpl" TargetMode="External"/><Relationship Id="rId146" Type="http://schemas.openxmlformats.org/officeDocument/2006/relationships/hyperlink" Target="http://www.legis.state.ak.us/basis/folioproxy.asp?url=http://wwwjnu01.legis.state.ak.us/cgi-bin/folioisa.dll/aac/query=%5bJUMP:'18+aac+50!2E045'%5d/doc/%7b@1%7d?firsthit" TargetMode="External"/><Relationship Id="rId167" Type="http://schemas.openxmlformats.org/officeDocument/2006/relationships/hyperlink" Target="http://www.legis.state.ak.us/basis/folioproxy.asp?url=http://wwwjnu01.legis.state.ak.us/cgi-bin/folioisa.dll/aac/query=%5bJUMP:'18+aac+50!2E502'%5d/doc/%7b@1%7d?firsthit" TargetMode="External"/><Relationship Id="rId188" Type="http://schemas.openxmlformats.org/officeDocument/2006/relationships/hyperlink" Target="https://www3.epa.gov/ttn/scram/userg/relat/bpipd.pdf" TargetMode="External"/><Relationship Id="rId71" Type="http://schemas.openxmlformats.org/officeDocument/2006/relationships/hyperlink" Target="http://www.legis.state.ak.us/basis/folioproxy.asp?url=http://wwwjnu01.legis.state.ak.us/cgi-bin/folioisa.dll/aac/query=%5bJUMP:'18+aac+50!2E035'%5d/doc/%7b@1%7d?firsthit" TargetMode="External"/><Relationship Id="rId92" Type="http://schemas.openxmlformats.org/officeDocument/2006/relationships/image" Target="media/image10.wmf"/><Relationship Id="rId213" Type="http://schemas.openxmlformats.org/officeDocument/2006/relationships/image" Target="media/image34.JPG"/><Relationship Id="rId2" Type="http://schemas.openxmlformats.org/officeDocument/2006/relationships/numbering" Target="numbering.xml"/><Relationship Id="rId29" Type="http://schemas.openxmlformats.org/officeDocument/2006/relationships/hyperlink" Target="http://www.legis.state.ak.us/basis/folioproxy.asp?url=http://wwwjnu01.legis.state.ak.us/cgi-bin/folioisa.dll/aac/query=%5bJUMP:'18+aac+50!2E215'%5d/doc/%7b@1%7d?firsthit" TargetMode="External"/><Relationship Id="rId40" Type="http://schemas.openxmlformats.org/officeDocument/2006/relationships/image" Target="media/image2.jpeg"/><Relationship Id="rId115" Type="http://schemas.openxmlformats.org/officeDocument/2006/relationships/oleObject" Target="embeddings/oleObject10.bin"/><Relationship Id="rId136" Type="http://schemas.openxmlformats.org/officeDocument/2006/relationships/hyperlink" Target="https://www3.epa.gov/ttn/scram/models/aermod/aermod_userguide.pdf" TargetMode="External"/><Relationship Id="rId157" Type="http://schemas.openxmlformats.org/officeDocument/2006/relationships/hyperlink" Target="https://www3.epa.gov/ttn/scram/models/aermod/aermod_userguide.pdf" TargetMode="External"/><Relationship Id="rId178" Type="http://schemas.openxmlformats.org/officeDocument/2006/relationships/hyperlink" Target="http://dec.alaska.gov/air/air-permit/" TargetMode="External"/><Relationship Id="rId61" Type="http://schemas.openxmlformats.org/officeDocument/2006/relationships/hyperlink" Target="http://www.legis.state.ak.us/basis/folioproxy.asp?url=http://wwwjnu01.legis.state.ak.us/cgi-bin/folioisa.dll/aac/query=%5bJUMP:'18+aac+50!2E035'%5d/doc/%7b@1%7d?firsthit" TargetMode="External"/><Relationship Id="rId82" Type="http://schemas.openxmlformats.org/officeDocument/2006/relationships/hyperlink" Target="https://www3.epa.gov/ttn/scram/models/aermod/aermod_userguide.pdf" TargetMode="External"/><Relationship Id="rId199" Type="http://schemas.openxmlformats.org/officeDocument/2006/relationships/hyperlink" Target="https://www3.epa.gov/ttn/scram/appendix_w/2016/AppendixW_2017.pdf" TargetMode="External"/><Relationship Id="rId203" Type="http://schemas.openxmlformats.org/officeDocument/2006/relationships/hyperlink" Target="https://www.usgs.gov/core-science-systems/ngp/tnm-delivery/" TargetMode="External"/><Relationship Id="rId19" Type="http://schemas.openxmlformats.org/officeDocument/2006/relationships/hyperlink" Target="file:///C:\Users\aschuler\Documents\ADEC%20Modeling%20Docs\Modeling%20Manual\Pending\Modeling%20Procedures%20Manual%20(Oct%208%202018).docx"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rockyweb.cr.usgs.gov/outreach/gps/" TargetMode="External"/><Relationship Id="rId18" Type="http://schemas.openxmlformats.org/officeDocument/2006/relationships/hyperlink" Target="https://www3.epa.gov/ttn/scram/models/aermod/aermod_implementation_guide.pdf" TargetMode="External"/><Relationship Id="rId26" Type="http://schemas.openxmlformats.org/officeDocument/2006/relationships/hyperlink" Target="https://www3.epa.gov/ttn/scram/appendix_w/2016/AppendixW_2017.pdf" TargetMode="External"/><Relationship Id="rId39" Type="http://schemas.openxmlformats.org/officeDocument/2006/relationships/hyperlink" Target="https://www3.epa.gov/scram001/7thconf/calpuff/phase2.pdf" TargetMode="External"/><Relationship Id="rId21" Type="http://schemas.openxmlformats.org/officeDocument/2006/relationships/hyperlink" Target="https://www3.epa.gov/ttn/scram/models/relat/mmif/MMIF_Evaluation_TSD.pdf" TargetMode="External"/><Relationship Id="rId34" Type="http://schemas.openxmlformats.org/officeDocument/2006/relationships/hyperlink" Target="http://www.gisdevelopment.net/technology/ip/mi03117pf.htm" TargetMode="External"/><Relationship Id="rId7" Type="http://schemas.openxmlformats.org/officeDocument/2006/relationships/hyperlink" Target="file:///\\jn-svrfile\groups\AQ\PERMITS\Modeling\Documents\Internal%20Review%20Procedures\Review%20Checklists" TargetMode="External"/><Relationship Id="rId12" Type="http://schemas.openxmlformats.org/officeDocument/2006/relationships/hyperlink" Target="https://www3.epa.gov/scram001/models/screen/aerscreen_userguide.pdf" TargetMode="External"/><Relationship Id="rId17" Type="http://schemas.openxmlformats.org/officeDocument/2006/relationships/hyperlink" Target="ftp://ftp.ncdc.noaa.gov/pub/data/asos-onemin/" TargetMode="External"/><Relationship Id="rId25" Type="http://schemas.openxmlformats.org/officeDocument/2006/relationships/hyperlink" Target="file:///G:\AQ\PERMITS\Modeling\Documents\Dispersion%20Technique%20Discussion%20(Dec%2029%202015).pdf" TargetMode="External"/><Relationship Id="rId33" Type="http://schemas.openxmlformats.org/officeDocument/2006/relationships/hyperlink" Target="https://www.epa.gov/home/advanced-search" TargetMode="External"/><Relationship Id="rId38" Type="http://schemas.openxmlformats.org/officeDocument/2006/relationships/hyperlink" Target="https://www.epa.gov/scram/air-quality-dispersion-modeling-screening-models" TargetMode="External"/><Relationship Id="rId2" Type="http://schemas.openxmlformats.org/officeDocument/2006/relationships/hyperlink" Target="https://www3.epa.gov/ttn/scram/guidance/clarification/Additional_Clarifications_AppendixW_Hourly-NO2-NAAQS_FINAL_03-01-2011.pdf" TargetMode="External"/><Relationship Id="rId16" Type="http://schemas.openxmlformats.org/officeDocument/2006/relationships/hyperlink" Target="https://www3.epa.gov/ttn/scram/guidance/clarification/20130308_Met_Data_Clarification.pdf" TargetMode="External"/><Relationship Id="rId20" Type="http://schemas.openxmlformats.org/officeDocument/2006/relationships/hyperlink" Target="https://www3.epa.gov/ttn/scram/models/relat/mmif/MMIF_Guidance.pdf" TargetMode="External"/><Relationship Id="rId29" Type="http://schemas.openxmlformats.org/officeDocument/2006/relationships/hyperlink" Target="https://www.epa.gov/scram/nitrogen-dioxidenitrogen-oxide-stack-ratio-isr-database" TargetMode="External"/><Relationship Id="rId1" Type="http://schemas.openxmlformats.org/officeDocument/2006/relationships/hyperlink" Target="https://www3.epa.gov/ttn/scram/appendix_w/2016/AppendixW_2017.pdf" TargetMode="External"/><Relationship Id="rId6" Type="http://schemas.openxmlformats.org/officeDocument/2006/relationships/hyperlink" Target="file:///G:\AQ\PERMITS\Modeling\Documents\Internal%20Review%20Procedures\Review%20Templates" TargetMode="External"/><Relationship Id="rId11" Type="http://schemas.openxmlformats.org/officeDocument/2006/relationships/hyperlink" Target="https://www3.epa.gov/ttn/naaqs/standards/so2/fr/20100622.pdf" TargetMode="External"/><Relationship Id="rId24" Type="http://schemas.openxmlformats.org/officeDocument/2006/relationships/hyperlink" Target="http://www.tandfonline.com" TargetMode="External"/><Relationship Id="rId32" Type="http://schemas.openxmlformats.org/officeDocument/2006/relationships/hyperlink" Target="http://cfpub.epa.gov/oarweb/MCHISRS/" TargetMode="External"/><Relationship Id="rId37" Type="http://schemas.openxmlformats.org/officeDocument/2006/relationships/hyperlink" Target="file:///\\jn-svrfile\groups\AQ\PERMITS\AIRFACS\Unalaska%20City%20of\Dutch%20Harbor%20Power%20Plant\PSD%20Baseline%20Inventories" TargetMode="External"/><Relationship Id="rId40" Type="http://schemas.openxmlformats.org/officeDocument/2006/relationships/hyperlink" Target="https://www.nature.nps.gov/air/Permits/flag/index.cfm" TargetMode="External"/><Relationship Id="rId5" Type="http://schemas.openxmlformats.org/officeDocument/2006/relationships/hyperlink" Target="file:///\\jn-svrfile\groups\AQ\PERMITS\Modeling\Documents\AERMOD-COARE" TargetMode="External"/><Relationship Id="rId15" Type="http://schemas.openxmlformats.org/officeDocument/2006/relationships/hyperlink" Target="http://dec.alaska.gov/media/8234/faq-re-2017-guideline-adoption-final.pdf" TargetMode="External"/><Relationship Id="rId23" Type="http://schemas.openxmlformats.org/officeDocument/2006/relationships/hyperlink" Target="https://www3.epa.gov/ttn/scram/reports/Haul_Road_Workgroup-Final_Report_Package-20120302.pdf" TargetMode="External"/><Relationship Id="rId28" Type="http://schemas.openxmlformats.org/officeDocument/2006/relationships/hyperlink" Target="http://dec.alaska.gov/air/air-permit/dispersion-modeling/" TargetMode="External"/><Relationship Id="rId36" Type="http://schemas.openxmlformats.org/officeDocument/2006/relationships/hyperlink" Target="https://www.epa.gov/scram/clean-air-act-permit-modeling-guidance" TargetMode="External"/><Relationship Id="rId10" Type="http://schemas.openxmlformats.org/officeDocument/2006/relationships/hyperlink" Target="https://www.epa.gov/scram" TargetMode="External"/><Relationship Id="rId19" Type="http://schemas.openxmlformats.org/officeDocument/2006/relationships/hyperlink" Target="https://www3.epa.gov/ttn/scram/7thconf/aermod/aersurface_userguide.pdf" TargetMode="External"/><Relationship Id="rId31" Type="http://schemas.openxmlformats.org/officeDocument/2006/relationships/hyperlink" Target="file:///\\jn-svrfile\groups\AQ\PERMITS\Modeling\Documents\Haul%20Roads%20-%20Coal%20Mines" TargetMode="External"/><Relationship Id="rId4" Type="http://schemas.openxmlformats.org/officeDocument/2006/relationships/hyperlink" Target="https://www3.epa.gov/ttn/scram/userg/regmod/ocdugsup.pdf" TargetMode="External"/><Relationship Id="rId9" Type="http://schemas.openxmlformats.org/officeDocument/2006/relationships/hyperlink" Target="http://www.ecfr.gov/cgi-bin/text-idx?c=ecfr&amp;SID=e1869554c50cc3ad3ac9748a8ffc000e&amp;rgn=div8&amp;view=text&amp;node=40:2.0.1.1.1.0.1.1&amp;idno=40" TargetMode="External"/><Relationship Id="rId14" Type="http://schemas.openxmlformats.org/officeDocument/2006/relationships/hyperlink" Target="https://www3.epa.gov/ttn/scram/guidance/met/mmgrma.pdf" TargetMode="External"/><Relationship Id="rId22" Type="http://schemas.openxmlformats.org/officeDocument/2006/relationships/hyperlink" Target="https://www3.epa.gov/ttn/scram/models/relat/mmif/MMIFv3.3_Users_Manual.pdf" TargetMode="External"/><Relationship Id="rId27" Type="http://schemas.openxmlformats.org/officeDocument/2006/relationships/hyperlink" Target="https://www3.epa.gov/ttn/scram/guidance/clarification/ClarificationMemo_AppendixW_Hourly-NO2-NAAQS_FINAL_06-28-2010.pdf" TargetMode="External"/><Relationship Id="rId30" Type="http://schemas.openxmlformats.org/officeDocument/2006/relationships/hyperlink" Target="https://nepis.epa.gov/" TargetMode="External"/><Relationship Id="rId35" Type="http://schemas.openxmlformats.org/officeDocument/2006/relationships/hyperlink" Target="http://nationalmap.gov/elevation.html" TargetMode="External"/><Relationship Id="rId8" Type="http://schemas.openxmlformats.org/officeDocument/2006/relationships/hyperlink" Target="http://eros.usgs.gov" TargetMode="External"/><Relationship Id="rId3" Type="http://schemas.openxmlformats.org/officeDocument/2006/relationships/hyperlink" Target="http://dec.alaska.gov/air/air-permit/permit-regul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3CE537-EFD1-4C7D-9B1C-7DC51168C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179</Pages>
  <Words>57990</Words>
  <Characters>314888</Characters>
  <Application>Microsoft Office Word</Application>
  <DocSecurity>0</DocSecurity>
  <Lines>6560</Lines>
  <Paragraphs>2782</Paragraphs>
  <ScaleCrop>false</ScaleCrop>
  <HeadingPairs>
    <vt:vector size="2" baseType="variant">
      <vt:variant>
        <vt:lpstr>Title</vt:lpstr>
      </vt:variant>
      <vt:variant>
        <vt:i4>1</vt:i4>
      </vt:variant>
    </vt:vector>
  </HeadingPairs>
  <TitlesOfParts>
    <vt:vector size="1" baseType="lpstr">
      <vt:lpstr>ADEC Modeling Procedures Manual</vt:lpstr>
    </vt:vector>
  </TitlesOfParts>
  <Company>DEC</Company>
  <LinksUpToDate>false</LinksUpToDate>
  <CharactersWithSpaces>370096</CharactersWithSpaces>
  <SharedDoc>false</SharedDoc>
  <HLinks>
    <vt:vector size="144" baseType="variant">
      <vt:variant>
        <vt:i4>3276901</vt:i4>
      </vt:variant>
      <vt:variant>
        <vt:i4>257</vt:i4>
      </vt:variant>
      <vt:variant>
        <vt:i4>0</vt:i4>
      </vt:variant>
      <vt:variant>
        <vt:i4>5</vt:i4>
      </vt:variant>
      <vt:variant>
        <vt:lpwstr>http://www.alaska.faa.gov/fai/airports.htm</vt:lpwstr>
      </vt:variant>
      <vt:variant>
        <vt:lpwstr/>
      </vt:variant>
      <vt:variant>
        <vt:i4>3997759</vt:i4>
      </vt:variant>
      <vt:variant>
        <vt:i4>254</vt:i4>
      </vt:variant>
      <vt:variant>
        <vt:i4>0</vt:i4>
      </vt:variant>
      <vt:variant>
        <vt:i4>5</vt:i4>
      </vt:variant>
      <vt:variant>
        <vt:lpwstr>http://www.dec.state.ak.us/air/ap/docs/roumemo.pdf</vt:lpwstr>
      </vt:variant>
      <vt:variant>
        <vt:lpwstr/>
      </vt:variant>
      <vt:variant>
        <vt:i4>3866723</vt:i4>
      </vt:variant>
      <vt:variant>
        <vt:i4>251</vt:i4>
      </vt:variant>
      <vt:variant>
        <vt:i4>0</vt:i4>
      </vt:variant>
      <vt:variant>
        <vt:i4>5</vt:i4>
      </vt:variant>
      <vt:variant>
        <vt:lpwstr>http://www.dec.state.ak.us/air/ap/modeling.htm</vt:lpwstr>
      </vt:variant>
      <vt:variant>
        <vt:lpwstr/>
      </vt:variant>
      <vt:variant>
        <vt:i4>4718668</vt:i4>
      </vt:variant>
      <vt:variant>
        <vt:i4>248</vt:i4>
      </vt:variant>
      <vt:variant>
        <vt:i4>0</vt:i4>
      </vt:variant>
      <vt:variant>
        <vt:i4>5</vt:i4>
      </vt:variant>
      <vt:variant>
        <vt:lpwstr>http://www.corpscon.com/</vt:lpwstr>
      </vt:variant>
      <vt:variant>
        <vt:lpwstr/>
      </vt:variant>
      <vt:variant>
        <vt:i4>3866723</vt:i4>
      </vt:variant>
      <vt:variant>
        <vt:i4>245</vt:i4>
      </vt:variant>
      <vt:variant>
        <vt:i4>0</vt:i4>
      </vt:variant>
      <vt:variant>
        <vt:i4>5</vt:i4>
      </vt:variant>
      <vt:variant>
        <vt:lpwstr>http://www.dec.state.ak.us/air/ap/modeling.htm</vt:lpwstr>
      </vt:variant>
      <vt:variant>
        <vt:lpwstr/>
      </vt:variant>
      <vt:variant>
        <vt:i4>524366</vt:i4>
      </vt:variant>
      <vt:variant>
        <vt:i4>242</vt:i4>
      </vt:variant>
      <vt:variant>
        <vt:i4>0</vt:i4>
      </vt:variant>
      <vt:variant>
        <vt:i4>5</vt:i4>
      </vt:variant>
      <vt:variant>
        <vt:lpwstr>http://www.usace.army.mil/publications/armytm/tm5-811-6/</vt:lpwstr>
      </vt:variant>
      <vt:variant>
        <vt:lpwstr/>
      </vt:variant>
      <vt:variant>
        <vt:i4>5636116</vt:i4>
      </vt:variant>
      <vt:variant>
        <vt:i4>51</vt:i4>
      </vt:variant>
      <vt:variant>
        <vt:i4>0</vt:i4>
      </vt:variant>
      <vt:variant>
        <vt:i4>5</vt:i4>
      </vt:variant>
      <vt:variant>
        <vt:lpwstr>http://www.epa.gov/ttn/amtic/files/ambient/criteria/reldocs/4-87-007.pdf</vt:lpwstr>
      </vt:variant>
      <vt:variant>
        <vt:lpwstr/>
      </vt:variant>
      <vt:variant>
        <vt:i4>4980759</vt:i4>
      </vt:variant>
      <vt:variant>
        <vt:i4>48</vt:i4>
      </vt:variant>
      <vt:variant>
        <vt:i4>0</vt:i4>
      </vt:variant>
      <vt:variant>
        <vt:i4>5</vt:i4>
      </vt:variant>
      <vt:variant>
        <vt:lpwstr>http://www.epa.gov/scram001/guidance/guide/scrng.pdf</vt:lpwstr>
      </vt:variant>
      <vt:variant>
        <vt:lpwstr/>
      </vt:variant>
      <vt:variant>
        <vt:i4>393261</vt:i4>
      </vt:variant>
      <vt:variant>
        <vt:i4>45</vt:i4>
      </vt:variant>
      <vt:variant>
        <vt:i4>0</vt:i4>
      </vt:variant>
      <vt:variant>
        <vt:i4>5</vt:i4>
      </vt:variant>
      <vt:variant>
        <vt:lpwstr>http://www.epa.gov/earth1r6/6pd/rcra_c/protocol/analysis.pdf</vt:lpwstr>
      </vt:variant>
      <vt:variant>
        <vt:lpwstr/>
      </vt:variant>
      <vt:variant>
        <vt:i4>6160410</vt:i4>
      </vt:variant>
      <vt:variant>
        <vt:i4>42</vt:i4>
      </vt:variant>
      <vt:variant>
        <vt:i4>0</vt:i4>
      </vt:variant>
      <vt:variant>
        <vt:i4>5</vt:i4>
      </vt:variant>
      <vt:variant>
        <vt:lpwstr>http://www.epa.gov/scram001/guidance/reports/fugdust.zip)</vt:lpwstr>
      </vt:variant>
      <vt:variant>
        <vt:lpwstr/>
      </vt:variant>
      <vt:variant>
        <vt:i4>8323129</vt:i4>
      </vt:variant>
      <vt:variant>
        <vt:i4>39</vt:i4>
      </vt:variant>
      <vt:variant>
        <vt:i4>0</vt:i4>
      </vt:variant>
      <vt:variant>
        <vt:i4>5</vt:i4>
      </vt:variant>
      <vt:variant>
        <vt:lpwstr>http://www.epa.gov/scram001/7thconf/calpuff/phase1.pdf</vt:lpwstr>
      </vt:variant>
      <vt:variant>
        <vt:lpwstr/>
      </vt:variant>
      <vt:variant>
        <vt:i4>2490468</vt:i4>
      </vt:variant>
      <vt:variant>
        <vt:i4>36</vt:i4>
      </vt:variant>
      <vt:variant>
        <vt:i4>0</vt:i4>
      </vt:variant>
      <vt:variant>
        <vt:i4>5</vt:i4>
      </vt:variant>
      <vt:variant>
        <vt:lpwstr>http://www.epa.gov/scram001/guidance/mch/cfym89.txt</vt:lpwstr>
      </vt:variant>
      <vt:variant>
        <vt:lpwstr/>
      </vt:variant>
      <vt:variant>
        <vt:i4>262152</vt:i4>
      </vt:variant>
      <vt:variant>
        <vt:i4>33</vt:i4>
      </vt:variant>
      <vt:variant>
        <vt:i4>0</vt:i4>
      </vt:variant>
      <vt:variant>
        <vt:i4>5</vt:i4>
      </vt:variant>
      <vt:variant>
        <vt:lpwstr>http://www.epa.gov/scram001/guidance/mch/ama3.txt</vt:lpwstr>
      </vt:variant>
      <vt:variant>
        <vt:lpwstr/>
      </vt:variant>
      <vt:variant>
        <vt:i4>5701644</vt:i4>
      </vt:variant>
      <vt:variant>
        <vt:i4>30</vt:i4>
      </vt:variant>
      <vt:variant>
        <vt:i4>0</vt:i4>
      </vt:variant>
      <vt:variant>
        <vt:i4>5</vt:i4>
      </vt:variant>
      <vt:variant>
        <vt:lpwstr>http://www.state.ak.us/local/akpages/ENV.CONSERV/dawq/aqm/as46.14.pdf</vt:lpwstr>
      </vt:variant>
      <vt:variant>
        <vt:lpwstr/>
      </vt:variant>
      <vt:variant>
        <vt:i4>7274554</vt:i4>
      </vt:variant>
      <vt:variant>
        <vt:i4>27</vt:i4>
      </vt:variant>
      <vt:variant>
        <vt:i4>0</vt:i4>
      </vt:variant>
      <vt:variant>
        <vt:i4>5</vt:i4>
      </vt:variant>
      <vt:variant>
        <vt:lpwstr>http://www.src.com/calpuff/calpuff1.htm</vt:lpwstr>
      </vt:variant>
      <vt:variant>
        <vt:lpwstr/>
      </vt:variant>
      <vt:variant>
        <vt:i4>2031701</vt:i4>
      </vt:variant>
      <vt:variant>
        <vt:i4>24</vt:i4>
      </vt:variant>
      <vt:variant>
        <vt:i4>0</vt:i4>
      </vt:variant>
      <vt:variant>
        <vt:i4>5</vt:i4>
      </vt:variant>
      <vt:variant>
        <vt:lpwstr>http://www.epa.gov/scram001/userg/screen/viscrdu.pdf</vt:lpwstr>
      </vt:variant>
      <vt:variant>
        <vt:lpwstr/>
      </vt:variant>
      <vt:variant>
        <vt:i4>6619236</vt:i4>
      </vt:variant>
      <vt:variant>
        <vt:i4>21</vt:i4>
      </vt:variant>
      <vt:variant>
        <vt:i4>0</vt:i4>
      </vt:variant>
      <vt:variant>
        <vt:i4>5</vt:i4>
      </vt:variant>
      <vt:variant>
        <vt:lpwstr>http://www.epa.gov/scram001/userg/ntisinfo.txt</vt:lpwstr>
      </vt:variant>
      <vt:variant>
        <vt:lpwstr/>
      </vt:variant>
      <vt:variant>
        <vt:i4>2555963</vt:i4>
      </vt:variant>
      <vt:variant>
        <vt:i4>18</vt:i4>
      </vt:variant>
      <vt:variant>
        <vt:i4>0</vt:i4>
      </vt:variant>
      <vt:variant>
        <vt:i4>5</vt:i4>
      </vt:variant>
      <vt:variant>
        <vt:lpwstr>http://www.epa.gov/scram001/userg/regmod/ocd5ug.exe</vt:lpwstr>
      </vt:variant>
      <vt:variant>
        <vt:lpwstr/>
      </vt:variant>
      <vt:variant>
        <vt:i4>4587549</vt:i4>
      </vt:variant>
      <vt:variant>
        <vt:i4>15</vt:i4>
      </vt:variant>
      <vt:variant>
        <vt:i4>0</vt:i4>
      </vt:variant>
      <vt:variant>
        <vt:i4>5</vt:i4>
      </vt:variant>
      <vt:variant>
        <vt:lpwstr>http://www.epa.gov/scram001/userg/screen/ctscreen.pdf</vt:lpwstr>
      </vt:variant>
      <vt:variant>
        <vt:lpwstr/>
      </vt:variant>
      <vt:variant>
        <vt:i4>3735662</vt:i4>
      </vt:variant>
      <vt:variant>
        <vt:i4>12</vt:i4>
      </vt:variant>
      <vt:variant>
        <vt:i4>0</vt:i4>
      </vt:variant>
      <vt:variant>
        <vt:i4>5</vt:i4>
      </vt:variant>
      <vt:variant>
        <vt:lpwstr>http://www.epa.gov/scram001/userg/regmod/isc3v1.pdf</vt:lpwstr>
      </vt:variant>
      <vt:variant>
        <vt:lpwstr/>
      </vt:variant>
      <vt:variant>
        <vt:i4>1441805</vt:i4>
      </vt:variant>
      <vt:variant>
        <vt:i4>9</vt:i4>
      </vt:variant>
      <vt:variant>
        <vt:i4>0</vt:i4>
      </vt:variant>
      <vt:variant>
        <vt:i4>5</vt:i4>
      </vt:variant>
      <vt:variant>
        <vt:lpwstr>http://www.epa.gov/scram001/userg/screen/screen3d.pdf</vt:lpwstr>
      </vt:variant>
      <vt:variant>
        <vt:lpwstr/>
      </vt:variant>
      <vt:variant>
        <vt:i4>3276907</vt:i4>
      </vt:variant>
      <vt:variant>
        <vt:i4>6</vt:i4>
      </vt:variant>
      <vt:variant>
        <vt:i4>0</vt:i4>
      </vt:variant>
      <vt:variant>
        <vt:i4>5</vt:i4>
      </vt:variant>
      <vt:variant>
        <vt:lpwstr>http://www2.nature.nps.gov/ard/flagfree/FLAG--FINAL.pdf</vt:lpwstr>
      </vt:variant>
      <vt:variant>
        <vt:lpwstr/>
      </vt:variant>
      <vt:variant>
        <vt:i4>7209075</vt:i4>
      </vt:variant>
      <vt:variant>
        <vt:i4>3</vt:i4>
      </vt:variant>
      <vt:variant>
        <vt:i4>0</vt:i4>
      </vt:variant>
      <vt:variant>
        <vt:i4>5</vt:i4>
      </vt:variant>
      <vt:variant>
        <vt:lpwstr>http://www.epa.gov/ttn/nsr/gen/wkshpman.pdf</vt:lpwstr>
      </vt:variant>
      <vt:variant>
        <vt:lpwstr/>
      </vt:variant>
      <vt:variant>
        <vt:i4>589910</vt:i4>
      </vt:variant>
      <vt:variant>
        <vt:i4>0</vt:i4>
      </vt:variant>
      <vt:variant>
        <vt:i4>0</vt:i4>
      </vt:variant>
      <vt:variant>
        <vt:i4>5</vt:i4>
      </vt:variant>
      <vt:variant>
        <vt:lpwstr>http://www.state.ak.us/dec/title18/wpfiles/50mas.pdf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ADEC Modeling Procedures Manual</dc:title>
  <dc:creator>Jack, Jesse</dc:creator>
  <cp:keywords>modeling; air</cp:keywords>
  <cp:lastModifiedBy>Nipataruedi, Nattinee (DEC)</cp:lastModifiedBy>
  <cp:revision>6</cp:revision>
  <cp:lastPrinted>2016-01-07T18:27:00Z</cp:lastPrinted>
  <dcterms:created xsi:type="dcterms:W3CDTF">2026-04-16T17:27:00Z</dcterms:created>
  <dcterms:modified xsi:type="dcterms:W3CDTF">2026-04-16T17:47:00Z</dcterms:modified>
</cp:coreProperties>
</file>